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</w:pPr>
      <w:r>
        <w:t>熔炼厂金属平衡试用版操作说明</w:t>
      </w:r>
    </w:p>
    <w:p>
      <w:pPr>
        <w:jc w:val="right"/>
      </w:pPr>
      <w:r>
        <w:t>Version. Demo</w:t>
      </w:r>
      <w:r>
        <w:tab/>
      </w:r>
      <w:r>
        <w:t>2020.08.06</w:t>
      </w:r>
    </w:p>
    <w:p>
      <w:pPr>
        <w:jc w:val="center"/>
      </w:pPr>
    </w:p>
    <w:p>
      <w:pPr>
        <w:rPr>
          <w:b/>
          <w:bCs/>
        </w:rPr>
      </w:pPr>
      <w:r>
        <w:rPr>
          <w:b/>
          <w:bCs/>
        </w:rPr>
        <w:t>0.主要功能：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数据录入到系统（MOM系统）：实现盘点数据的规范化、系统化；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盘点数据的分析与智能校准：根据实际盘点方法的现场调研，算法将依据似然推导以及优化理论得出修正厚的盘点数据；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自动计算盘点数据中涉及的各种生产要素指标，包括：铜、金、银回收率；铜、金、银直收率；铜、金、银平衡距离等。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</w:pPr>
      <w:r>
        <w:t>数据对比与数据导出：以标准格式对比、导出修正后的数据，用于进一步讨论与分析。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  <w:r>
        <w:rPr>
          <w:b/>
          <w:bCs/>
        </w:rPr>
        <w:t>1.准备流程说明（更新网页相关内容）：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在‘我的电脑’或‘文件系统’中打开如下网址：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ftp:pingheng@192.168.230.210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输入密码：123456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成功登录，如下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3675" cy="18408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进入拷贝整个dist文件夹，拷贝到本地电脑即可。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进入本地dist文件夹，双击打开pingheng.html，即可打开网页，推荐使用火狐、chrome浏览器。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spacing w:line="240" w:lineRule="auto"/>
        <w:jc w:val="both"/>
      </w:pPr>
      <w:r>
        <w:drawing>
          <wp:inline distT="0" distB="0" distL="114300" distR="114300">
            <wp:extent cx="2540635" cy="147701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r="4511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>--&gt;</w:t>
      </w:r>
      <w:r>
        <w:drawing>
          <wp:inline distT="0" distB="0" distL="114300" distR="114300">
            <wp:extent cx="2433955" cy="1498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3305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/>
          <w:bCs/>
        </w:rPr>
      </w:pPr>
      <w:r>
        <w:rPr>
          <w:b/>
          <w:bCs/>
        </w:rPr>
        <w:t>2.操作流程说明（更新网页相关内容）：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界面流程分为5步：a）数据导入、b）数据设置、c）数据校准、d）数据对比、e）数据导出。</w:t>
      </w:r>
    </w:p>
    <w:p>
      <w:pPr>
        <w:widowControl w:val="0"/>
        <w:numPr>
          <w:ilvl w:val="0"/>
          <w:numId w:val="2"/>
        </w:numPr>
        <w:jc w:val="both"/>
      </w:pPr>
      <w:r>
        <w:t>导入数据：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点击‘数据录入’按钮，选择本地编辑好的盘点数据，盘点数据的格式需要统一如下：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（可参见文件：‘2-4数据格式.xlsx</w:t>
      </w:r>
      <w:r>
        <w:rPr>
          <w:rFonts w:hint="default"/>
        </w:rPr>
        <w:t>’</w:t>
      </w:r>
      <w:r>
        <w:t>）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color w:val="0000FF"/>
        </w:rPr>
      </w:pPr>
      <w:r>
        <w:rPr>
          <w:color w:val="0000FF"/>
        </w:rPr>
        <w:t>特别提醒：</w:t>
      </w:r>
    </w:p>
    <w:p>
      <w:pPr>
        <w:widowControl w:val="0"/>
        <w:numPr>
          <w:ilvl w:val="0"/>
          <w:numId w:val="3"/>
        </w:numPr>
        <w:jc w:val="both"/>
        <w:rPr>
          <w:color w:val="0000FF"/>
        </w:rPr>
      </w:pPr>
      <w:r>
        <w:rPr>
          <w:color w:val="0000FF"/>
        </w:rPr>
        <w:t>录入时注意空值将被当作零，比如‘铜精矿上期结存干量’如果不填值，则算法计算时被认为上期结存是0。</w:t>
      </w:r>
    </w:p>
    <w:p>
      <w:pPr>
        <w:widowControl w:val="0"/>
        <w:numPr>
          <w:ilvl w:val="0"/>
          <w:numId w:val="3"/>
        </w:numPr>
        <w:jc w:val="both"/>
        <w:rPr>
          <w:color w:val="0000FF"/>
        </w:rPr>
      </w:pPr>
      <w:r>
        <w:rPr>
          <w:color w:val="0000FF"/>
        </w:rPr>
        <w:t>注意录入时表头内容请按照‘2-4数据格式’要求的列不能变，如果变化网页将无法导入数据，运算前请确认网页是否成功导入了所有在excel的列，以避免后续计算遇到问题。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center"/>
      </w:pPr>
      <w:r>
        <w:drawing>
          <wp:inline distT="0" distB="0" distL="114300" distR="114300">
            <wp:extent cx="5263515" cy="2383155"/>
            <wp:effectExtent l="0" t="0" r="698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center"/>
      </w:pPr>
      <w:r>
        <w:t>附表：关于盘点方法参考值的设置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center"/>
      </w:pPr>
      <w:r>
        <w:drawing>
          <wp:inline distT="0" distB="0" distL="114300" distR="114300">
            <wp:extent cx="2415540" cy="1945005"/>
            <wp:effectExtent l="0" t="0" r="1016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left"/>
      </w:pPr>
      <w:r>
        <w:t>导入后的网页显示：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8595" cy="249936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关于每一项的物料，除了在excel中设置其类型外，网页也提供了物料类型选项的下拉框，以便实际使用中的操作需求。物料类型下拉框</w:t>
      </w:r>
      <w:r>
        <w:t>请按照</w:t>
      </w:r>
      <w:r>
        <w:t>实际生产流程设置，不同的物料类型将会影响最终直收、回收率等计算。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注：两种收率计算如下（均以铜为例）：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 xml:space="preserve">Cu直收率 = 所有产品类含Cu（熔炼厂则只有阳极铜）/ 所有原料类含Cu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Cu回收率 =</w:t>
      </w:r>
      <w:r>
        <w:rPr>
          <w:rFonts w:hint="default"/>
        </w:rPr>
        <w:t>产品、</w:t>
      </w:r>
      <w:r>
        <w:rPr>
          <w:rFonts w:hint="eastAsia"/>
        </w:rPr>
        <w:t>回收品</w:t>
      </w:r>
      <w:r>
        <w:rPr>
          <w:rFonts w:hint="default"/>
        </w:rPr>
        <w:t>、有</w:t>
      </w:r>
      <w:r>
        <w:rPr>
          <w:rFonts w:hint="eastAsia"/>
        </w:rPr>
        <w:t>价值的渣类、烟尘等</w:t>
      </w:r>
      <w:r>
        <w:rPr>
          <w:rFonts w:hint="default"/>
        </w:rPr>
        <w:t>所有含Cu的物料</w:t>
      </w:r>
      <w:r>
        <w:rPr>
          <w:rFonts w:hint="eastAsia"/>
        </w:rPr>
        <w:t>(仅仅除去</w:t>
      </w:r>
      <w:r>
        <w:rPr>
          <w:rFonts w:hint="default"/>
        </w:rPr>
        <w:t>无法回收的损失、</w:t>
      </w:r>
      <w:bookmarkStart w:id="0" w:name="_GoBack"/>
      <w:bookmarkEnd w:id="0"/>
      <w:r>
        <w:rPr>
          <w:rFonts w:hint="eastAsia"/>
        </w:rPr>
        <w:t>废料)</w:t>
      </w:r>
      <w:r>
        <w:t xml:space="preserve"> / 所有原料类含Cu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92090" cy="319849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l="6401" t="3901" r="3303" b="-9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数据设置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数据设置界面，将根据导入的数据，逐项设置算法需要额外用到的相关值，包括每一项的最小、最大值，测量标准差。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但考虑到使用的易用性，使用界面将根据所选择的具体’盘点方法‘自动确定这三个值。比如下图所示：当对‘废铜制品（南丹）’采用人工计量盘点的方式时，请相应选择人工盘点或卷尺’，随后‘最小、最大值，测量标准差’这些所需变量会自动计算得到。实际使用时只需要根据实际情况选择盘点方法就可以完成设置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另外，如果想修改不同盘点方式对应的各项经验值，请在需要录入的excel中直接修改。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drawing>
          <wp:inline distT="0" distB="0" distL="114300" distR="114300">
            <wp:extent cx="5205730" cy="3009265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rcRect l="5907" t="3300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数据校准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数据校准将分析‘数据录入’以及‘数据设置’两个页面中的数据，结合各自盘点方式的特征，自动调用云端服务器的智能优化算法，进行并行计算，最终返回结果给用户，该计算时长大概为1～2分钟左右，期间请耐心等待，如果超时时间太长（比如超过了3分钟仍未返回结果），可能是网络问题，可尝试再点一次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2405" cy="3225800"/>
            <wp:effectExtent l="0" t="0" r="1079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数据对比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rPr>
          <w:b w:val="0"/>
          <w:bCs w:val="0"/>
        </w:rPr>
        <w:t>数据对比界面负责直观的动态对比录入的‘原始数据’和‘校准后数据’之间的差距。同时，页面最下方也可以对比观察到校准前后各元素回收率对比的结果。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  <w:r>
        <w:drawing>
          <wp:inline distT="0" distB="0" distL="114300" distR="114300">
            <wp:extent cx="5273675" cy="2492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b w:val="0"/>
          <w:bCs w:val="0"/>
        </w:rPr>
      </w:pPr>
    </w:p>
    <w:p>
      <w:pPr>
        <w:widowControl w:val="0"/>
        <w:numPr>
          <w:ilvl w:val="0"/>
          <w:numId w:val="2"/>
        </w:numPr>
        <w:jc w:val="both"/>
        <w:rPr>
          <w:b w:val="0"/>
          <w:bCs w:val="0"/>
        </w:rPr>
      </w:pPr>
      <w:r>
        <w:rPr>
          <w:b w:val="0"/>
          <w:bCs w:val="0"/>
        </w:rPr>
        <w:t>数据导出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数据导出页面负责导出数据，点击‘数据导出’即可将校准过后的新数据下载到本地电脑，以供进一步使用。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3515" cy="2987040"/>
            <wp:effectExtent l="0" t="0" r="698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导出的数据格式和导入时的保持统一，方便进一步使用与交互：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3515" cy="2383155"/>
            <wp:effectExtent l="0" t="0" r="698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——END——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技术支持与反馈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如使用中有任何问题请联系反馈： limengwei@deepsingularity.com.cn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黑体">
    <w:altName w:val="AR PL UMing CN"/>
    <w:panose1 w:val="02010609060101010101"/>
    <w:charset w:val="00"/>
    <w:family w:val="roman"/>
    <w:pitch w:val="default"/>
    <w:sig w:usb0="00000000" w:usb1="00000000" w:usb2="00000016" w:usb3="00000000" w:csb0="00040001" w:csb1="00000000"/>
  </w:font>
  <w:font w:name="仿宋_GB2312">
    <w:altName w:val="宋体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96617573">
    <w:nsid w:val="5F2A7365"/>
    <w:multiLevelType w:val="singleLevel"/>
    <w:tmpl w:val="5F2A7365"/>
    <w:lvl w:ilvl="0" w:tentative="1">
      <w:start w:val="1"/>
      <w:numFmt w:val="upperLetter"/>
      <w:suff w:val="nothing"/>
      <w:lvlText w:val="%1）"/>
      <w:lvlJc w:val="left"/>
    </w:lvl>
  </w:abstractNum>
  <w:abstractNum w:abstractNumId="1596682739">
    <w:nsid w:val="5F2B71F3"/>
    <w:multiLevelType w:val="singleLevel"/>
    <w:tmpl w:val="5F2B71F3"/>
    <w:lvl w:ilvl="0" w:tentative="1">
      <w:start w:val="1"/>
      <w:numFmt w:val="decimal"/>
      <w:suff w:val="nothing"/>
      <w:lvlText w:val="%1、"/>
      <w:lvlJc w:val="left"/>
    </w:lvl>
  </w:abstractNum>
  <w:abstractNum w:abstractNumId="1596617417">
    <w:nsid w:val="5F2A72C9"/>
    <w:multiLevelType w:val="singleLevel"/>
    <w:tmpl w:val="5F2A72C9"/>
    <w:lvl w:ilvl="0" w:tentative="1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596617417"/>
  </w:num>
  <w:num w:numId="2">
    <w:abstractNumId w:val="1596617573"/>
  </w:num>
  <w:num w:numId="3">
    <w:abstractNumId w:val="15966827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75A9EB"/>
    <w:rsid w:val="1EEF79A4"/>
    <w:rsid w:val="29CF1853"/>
    <w:rsid w:val="2DAD079F"/>
    <w:rsid w:val="363DE464"/>
    <w:rsid w:val="36FA07F0"/>
    <w:rsid w:val="47FFC452"/>
    <w:rsid w:val="597D1A44"/>
    <w:rsid w:val="5BFBCF08"/>
    <w:rsid w:val="5BFF6327"/>
    <w:rsid w:val="5CFD3603"/>
    <w:rsid w:val="5EDF86BE"/>
    <w:rsid w:val="65DF46F3"/>
    <w:rsid w:val="6F585181"/>
    <w:rsid w:val="6F7BC8A5"/>
    <w:rsid w:val="725FBCCC"/>
    <w:rsid w:val="737BCE02"/>
    <w:rsid w:val="73BBC132"/>
    <w:rsid w:val="73BFD151"/>
    <w:rsid w:val="79E7205F"/>
    <w:rsid w:val="7AFDC0BB"/>
    <w:rsid w:val="7BCE4631"/>
    <w:rsid w:val="7D9B1E98"/>
    <w:rsid w:val="7F75A9EB"/>
    <w:rsid w:val="7F7DF493"/>
    <w:rsid w:val="7F7E11DB"/>
    <w:rsid w:val="7FD5473F"/>
    <w:rsid w:val="7FD57A0B"/>
    <w:rsid w:val="89FDF9D6"/>
    <w:rsid w:val="8BC77518"/>
    <w:rsid w:val="8EFD68D8"/>
    <w:rsid w:val="AFBB9524"/>
    <w:rsid w:val="B4DD3A60"/>
    <w:rsid w:val="B7DC8B82"/>
    <w:rsid w:val="B7F88E20"/>
    <w:rsid w:val="B9FF3285"/>
    <w:rsid w:val="BFBF4C71"/>
    <w:rsid w:val="D5EF6F14"/>
    <w:rsid w:val="D8EB35E9"/>
    <w:rsid w:val="DAFD76A0"/>
    <w:rsid w:val="DAFFAF80"/>
    <w:rsid w:val="DBDE3613"/>
    <w:rsid w:val="ECFEF7B3"/>
    <w:rsid w:val="EE7F4543"/>
    <w:rsid w:val="EF2D7116"/>
    <w:rsid w:val="EFBF4313"/>
    <w:rsid w:val="F6DF2B3E"/>
    <w:rsid w:val="FCD40547"/>
    <w:rsid w:val="FCFFEB37"/>
    <w:rsid w:val="FF173941"/>
    <w:rsid w:val="FF7104D8"/>
    <w:rsid w:val="FF7F24FC"/>
    <w:rsid w:val="FFCE7FFA"/>
    <w:rsid w:val="FFFDEAF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paragraph" w:customStyle="1" w:styleId="6">
    <w:name w:val="毕论正文"/>
    <w:basedOn w:val="1"/>
    <w:link w:val="7"/>
    <w:qFormat/>
    <w:uiPriority w:val="0"/>
    <w:pPr>
      <w:spacing w:line="400" w:lineRule="exact"/>
      <w:ind w:leftChars="0" w:firstLine="420" w:firstLineChars="200"/>
      <w:jc w:val="left"/>
    </w:pPr>
    <w:rPr>
      <w:rFonts w:ascii="Times New Roman" w:hAnsi="Times New Roman" w:eastAsia="宋体"/>
      <w:sz w:val="24"/>
    </w:rPr>
  </w:style>
  <w:style w:type="character" w:customStyle="1" w:styleId="7">
    <w:name w:val="毕业论文正文 Char"/>
    <w:link w:val="6"/>
    <w:qFormat/>
    <w:uiPriority w:val="0"/>
    <w:rPr>
      <w:rFonts w:ascii="Times New Roman" w:hAnsi="Times New Roman" w:eastAsia="宋体"/>
      <w:sz w:val="24"/>
    </w:rPr>
  </w:style>
  <w:style w:type="paragraph" w:customStyle="1" w:styleId="8">
    <w:name w:val="章的标题"/>
    <w:basedOn w:val="3"/>
    <w:link w:val="9"/>
    <w:qFormat/>
    <w:uiPriority w:val="0"/>
    <w:pPr>
      <w:spacing w:after="100" w:afterLines="100" w:line="240" w:lineRule="auto"/>
      <w:jc w:val="center"/>
      <w:outlineLvl w:val="0"/>
    </w:pPr>
    <w:rPr>
      <w:rFonts w:ascii="Times New Roman" w:hAnsi="Times New Roman" w:eastAsia="黑体"/>
      <w:sz w:val="32"/>
    </w:rPr>
  </w:style>
  <w:style w:type="character" w:customStyle="1" w:styleId="9">
    <w:name w:val="章的标题 Char"/>
    <w:link w:val="8"/>
    <w:qFormat/>
    <w:uiPriority w:val="0"/>
    <w:rPr>
      <w:rFonts w:ascii="Times New Roman" w:hAnsi="Times New Roman" w:eastAsia="黑体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2020-08-06T23:29:00Z</dcterms:created>
  <dc:creator>myt</dc:creator>
  <cp:lastModifiedBy>user</cp:lastModifiedBy>
  <dcterms:modified xsi:type="dcterms:W3CDTF">2020-08-11T15:07:45Z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