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</w:pPr>
      <w:bookmarkStart w:id="0" w:name="_GoBack"/>
      <w:bookmarkEnd w:id="0"/>
      <w:r>
        <w:t>金属平衡</w:t>
      </w:r>
      <w:r>
        <w:t>试运行</w:t>
      </w:r>
      <w:r>
        <w:t>操作说明</w:t>
      </w:r>
    </w:p>
    <w:p>
      <w:pPr>
        <w:jc w:val="right"/>
      </w:pPr>
      <w:r>
        <w:t xml:space="preserve">Version. </w:t>
      </w:r>
      <w:r>
        <w:t>Trail</w:t>
      </w:r>
      <w:r>
        <w:tab/>
      </w:r>
      <w:r>
        <w:t>2020.0</w:t>
      </w:r>
      <w:r>
        <w:t>9</w:t>
      </w:r>
      <w:r>
        <w:t>.06</w:t>
      </w:r>
    </w:p>
    <w:p>
      <w:pPr>
        <w:jc w:val="center"/>
      </w:pPr>
    </w:p>
    <w:p>
      <w:pPr>
        <w:rPr>
          <w:b/>
          <w:bCs/>
        </w:rPr>
      </w:pPr>
      <w:r>
        <w:rPr>
          <w:b/>
          <w:bCs/>
        </w:rPr>
        <w:t>0.主要功能：</w:t>
      </w:r>
    </w:p>
    <w:p>
      <w:pPr>
        <w:numPr>
          <w:ilvl w:val="0"/>
          <w:numId w:val="1"/>
        </w:numPr>
        <w:tabs>
          <w:tab w:val="left" w:pos="420"/>
        </w:tabs>
        <w:ind w:left="420" w:leftChars="0" w:hanging="420" w:firstLineChars="0"/>
      </w:pPr>
      <w:r>
        <w:t>未来可实现</w:t>
      </w:r>
      <w:r>
        <w:t>数据</w:t>
      </w:r>
      <w:r>
        <w:t>与生产管理平台的共享</w:t>
      </w:r>
      <w:r>
        <w:t>：实现盘点数据的规范化、系统化；</w:t>
      </w:r>
    </w:p>
    <w:p>
      <w:pPr>
        <w:numPr>
          <w:ilvl w:val="0"/>
          <w:numId w:val="1"/>
        </w:numPr>
        <w:tabs>
          <w:tab w:val="left" w:pos="420"/>
        </w:tabs>
        <w:ind w:left="420" w:leftChars="0" w:hanging="420" w:firstLineChars="0"/>
      </w:pPr>
      <w:r>
        <w:t>盘点数据的分析与智能校准：根据实际盘点方法的现场调研，算法将依据似然推导以及优化理论得出修正</w:t>
      </w:r>
      <w:r>
        <w:t>后</w:t>
      </w:r>
      <w:r>
        <w:t>的盘点数据；</w:t>
      </w:r>
    </w:p>
    <w:p>
      <w:pPr>
        <w:numPr>
          <w:ilvl w:val="0"/>
          <w:numId w:val="1"/>
        </w:numPr>
        <w:tabs>
          <w:tab w:val="left" w:pos="420"/>
        </w:tabs>
        <w:ind w:left="420" w:leftChars="0" w:hanging="420" w:firstLineChars="0"/>
      </w:pPr>
      <w:r>
        <w:t>自动计算盘点数据中涉及的各种生产要素指标，包括：铜、金、银回收率；铜、金、银直收率；铜、金、银平衡距离等</w:t>
      </w:r>
      <w:r>
        <w:t>；系统各元素的平衡状态</w:t>
      </w:r>
      <w:r>
        <w:t>。</w:t>
      </w:r>
    </w:p>
    <w:p>
      <w:pPr>
        <w:numPr>
          <w:ilvl w:val="0"/>
          <w:numId w:val="1"/>
        </w:numPr>
        <w:tabs>
          <w:tab w:val="left" w:pos="420"/>
        </w:tabs>
        <w:ind w:left="420" w:leftChars="0" w:hanging="420" w:firstLineChars="0"/>
      </w:pPr>
      <w:r>
        <w:t>数据对比与数据导出：以标准格式对比、导出修正后的数据，用于进一步讨论与分析。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b/>
          <w:bCs/>
        </w:rPr>
      </w:pPr>
      <w:r>
        <w:rPr>
          <w:b/>
          <w:bCs/>
        </w:rPr>
        <w:t>使用</w:t>
      </w:r>
      <w:r>
        <w:rPr>
          <w:b/>
          <w:bCs/>
        </w:rPr>
        <w:t>说明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b/>
          <w:bCs/>
        </w:rPr>
      </w:pPr>
      <w:r>
        <w:rPr>
          <w:b/>
          <w:bCs/>
        </w:rPr>
        <w:t>1</w:t>
      </w:r>
      <w:r>
        <w:rPr>
          <w:b/>
          <w:bCs/>
        </w:rPr>
        <w:t>.</w:t>
      </w:r>
      <w:r>
        <w:rPr>
          <w:b/>
          <w:bCs/>
        </w:rPr>
        <w:t>登录网页地址</w:t>
      </w:r>
      <w:r>
        <w:rPr>
          <w:b/>
          <w:bCs/>
        </w:rPr>
        <w:t>：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浏览器输入地址：</w:t>
      </w:r>
      <w:r>
        <w:rPr>
          <w:rFonts w:hint="eastAsia"/>
        </w:rPr>
        <w:t>http://192.168.230.210:8080/nanfang/pingheng.html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推荐使用火狐、chrome浏览器。</w:t>
      </w:r>
      <w:r>
        <w:t>成功</w:t>
      </w:r>
      <w:r>
        <w:t>打开</w:t>
      </w:r>
      <w:r>
        <w:t>，如下</w:t>
      </w:r>
      <w:r>
        <w:t>：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drawing>
          <wp:inline distT="0" distB="0" distL="114300" distR="114300">
            <wp:extent cx="5360035" cy="3155315"/>
            <wp:effectExtent l="0" t="0" r="1206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b/>
          <w:bCs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b/>
          <w:bCs/>
        </w:rPr>
      </w:pPr>
      <w:r>
        <w:rPr>
          <w:b/>
          <w:bCs/>
        </w:rPr>
        <w:t>2.操作流程（</w:t>
      </w:r>
      <w:r>
        <w:rPr>
          <w:b/>
          <w:bCs/>
        </w:rPr>
        <w:t>以某一个厂为例</w:t>
      </w:r>
      <w:r>
        <w:rPr>
          <w:b/>
          <w:bCs/>
        </w:rPr>
        <w:t>）：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b w:val="0"/>
          <w:bCs w:val="0"/>
        </w:rPr>
      </w:pPr>
      <w:r>
        <w:rPr>
          <w:b w:val="0"/>
          <w:bCs w:val="0"/>
        </w:rPr>
        <w:t>界面</w:t>
      </w:r>
      <w:r>
        <w:rPr>
          <w:b w:val="0"/>
          <w:bCs w:val="0"/>
        </w:rPr>
        <w:t>操作</w:t>
      </w:r>
      <w:r>
        <w:rPr>
          <w:b w:val="0"/>
          <w:bCs w:val="0"/>
        </w:rPr>
        <w:t>流程分为5步：a）数据导入、b）数据设置、c）数据校准、d）数据对比、e）数据导出。</w:t>
      </w:r>
      <w:r>
        <w:rPr>
          <w:b w:val="0"/>
          <w:bCs w:val="0"/>
        </w:rPr>
        <w:t>每个页面上都有温馨提示，请操作时注意提示的内容。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b w:val="0"/>
          <w:bCs w:val="0"/>
        </w:rPr>
      </w:pPr>
    </w:p>
    <w:p>
      <w:pPr>
        <w:widowControl w:val="0"/>
        <w:numPr>
          <w:ilvl w:val="0"/>
          <w:numId w:val="2"/>
        </w:numPr>
        <w:jc w:val="both"/>
      </w:pPr>
      <w:r>
        <w:t>导入数据：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点击‘数据录入’按钮，选择本地编辑好的盘点数据，盘点数据的格式需要统一如下：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（可参见文件：‘2-4数据格式.xlsx</w:t>
      </w:r>
      <w:r>
        <w:rPr>
          <w:rFonts w:hint="default"/>
        </w:rPr>
        <w:t>’</w:t>
      </w:r>
      <w:r>
        <w:t>）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center"/>
      </w:pPr>
      <w:r>
        <w:drawing>
          <wp:inline distT="0" distB="0" distL="114300" distR="114300">
            <wp:extent cx="5263515" cy="2383155"/>
            <wp:effectExtent l="0" t="0" r="698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8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center"/>
      </w:pPr>
      <w:r>
        <w:t>附表：关于盘点方法参考值的设置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center"/>
      </w:pPr>
      <w:r>
        <w:drawing>
          <wp:inline distT="0" distB="0" distL="114300" distR="114300">
            <wp:extent cx="2415540" cy="1945005"/>
            <wp:effectExtent l="0" t="0" r="1016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94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color w:val="0000FF"/>
        </w:rPr>
      </w:pPr>
      <w:r>
        <w:rPr>
          <w:color w:val="0000FF"/>
        </w:rPr>
        <w:t>特别提醒：</w:t>
      </w:r>
    </w:p>
    <w:p>
      <w:pPr>
        <w:widowControl w:val="0"/>
        <w:numPr>
          <w:ilvl w:val="0"/>
          <w:numId w:val="3"/>
        </w:numPr>
        <w:jc w:val="both"/>
        <w:rPr>
          <w:color w:val="0000FF"/>
        </w:rPr>
      </w:pPr>
      <w:r>
        <w:rPr>
          <w:color w:val="0000FF"/>
        </w:rPr>
        <w:t>录入时注意空值将被当作零，比如‘铜精矿上期结存干量’如果不填值，则算法计算时被认为上期结存是0。</w:t>
      </w:r>
    </w:p>
    <w:p>
      <w:pPr>
        <w:widowControl w:val="0"/>
        <w:numPr>
          <w:ilvl w:val="0"/>
          <w:numId w:val="3"/>
        </w:numPr>
        <w:jc w:val="both"/>
        <w:rPr>
          <w:color w:val="0000FF"/>
        </w:rPr>
      </w:pPr>
      <w:r>
        <w:rPr>
          <w:color w:val="0000FF"/>
        </w:rPr>
        <w:t>注意录入时表头内容请按照‘2-4数据格式’要求的列不能变，如果变化网页将无法导入数据，运算前请确认网页是否成功导入了所有在excel的列，以避免后续计算遇到问题。</w:t>
      </w:r>
    </w:p>
    <w:p>
      <w:pPr>
        <w:widowControl w:val="0"/>
        <w:numPr>
          <w:ilvl w:val="0"/>
          <w:numId w:val="3"/>
        </w:numPr>
        <w:jc w:val="both"/>
        <w:rPr>
          <w:color w:val="0000FF"/>
        </w:rPr>
      </w:pPr>
      <w:r>
        <w:rPr>
          <w:color w:val="0000FF"/>
        </w:rPr>
        <w:t>再输入原始数据的时候，原则上不需要您进行任何计算，也就是说对于需要计算量（比如上期结存Cu/Au/Ag干量、本期结存Cu/Au/Ag干量、本期使用等）均不需要填值，网页导入数据后将会自动计算这些量。</w:t>
      </w:r>
    </w:p>
    <w:p>
      <w:pPr>
        <w:widowControl w:val="0"/>
        <w:numPr>
          <w:ilvl w:val="0"/>
          <w:numId w:val="3"/>
        </w:numPr>
        <w:jc w:val="both"/>
        <w:rPr>
          <w:color w:val="0000FF"/>
        </w:rPr>
      </w:pPr>
      <w:r>
        <w:rPr>
          <w:rFonts w:hint="eastAsia"/>
          <w:color w:val="0000FF"/>
        </w:rPr>
        <w:t>正常</w:t>
      </w:r>
      <w:r>
        <w:rPr>
          <w:rFonts w:hint="default"/>
          <w:color w:val="0000FF"/>
        </w:rPr>
        <w:t>使用</w:t>
      </w:r>
      <w:r>
        <w:rPr>
          <w:rFonts w:hint="eastAsia"/>
          <w:color w:val="0000FF"/>
        </w:rPr>
        <w:t>情况下</w:t>
      </w:r>
      <w:r>
        <w:rPr>
          <w:rFonts w:hint="default"/>
          <w:color w:val="0000FF"/>
        </w:rPr>
        <w:t>盘点方法对应的统计值不需要更改。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left"/>
      </w:pPr>
      <w:r>
        <w:t>导入后的网页显示：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drawing>
          <wp:inline distT="0" distB="0" distL="114300" distR="114300">
            <wp:extent cx="5268595" cy="2499360"/>
            <wp:effectExtent l="0" t="0" r="190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各个厂</w:t>
      </w:r>
      <w:r>
        <w:t>两种收率计算</w:t>
      </w:r>
      <w:r>
        <w:t>方法都已注明在页面上，只要将鼠标放到收率文字上即可显示提示: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drawing>
          <wp:inline distT="0" distB="0" distL="114300" distR="114300">
            <wp:extent cx="5285105" cy="3148965"/>
            <wp:effectExtent l="0" t="0" r="1079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rcRect l="5895" t="3879" r="3351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314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</w:p>
    <w:p>
      <w:pPr>
        <w:widowControl w:val="0"/>
        <w:numPr>
          <w:ilvl w:val="0"/>
          <w:numId w:val="2"/>
        </w:numPr>
        <w:jc w:val="both"/>
        <w:rPr>
          <w:b w:val="0"/>
          <w:bCs w:val="0"/>
        </w:rPr>
      </w:pPr>
      <w:r>
        <w:rPr>
          <w:b w:val="0"/>
          <w:bCs w:val="0"/>
        </w:rPr>
        <w:t>数据设置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数据设置界面，</w:t>
      </w:r>
      <w:r>
        <w:t>可设置的内容包括：物料分类、干量盘点方法、化学元素盘点（测量）方法。</w:t>
      </w:r>
      <w:r>
        <w:t>逐项设置</w:t>
      </w:r>
      <w:r>
        <w:t>后</w:t>
      </w:r>
      <w:r>
        <w:t>算法</w:t>
      </w:r>
      <w:r>
        <w:t>获得需要</w:t>
      </w:r>
      <w:r>
        <w:t>用到的相关值，包括每一项的最小、最大值，测量标准差。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考虑到使用的易用性，使用界面将根据所选择的具体’盘点方法‘自动确定这三个值。比如下图所示：当对‘废铜制品（南丹）’采用人工计量盘点的方式时，请相应选择人工盘点或卷尺’，随后‘最小、最大值，测量标准差’这些所需变量会自动计算得到。实际使用时只需要根据实际情况选择盘点方法就可以完成设置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另外，如果想修改不同盘点方式对应的各项经验值，请在需要录入的excel中直接修改。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drawing>
          <wp:inline distT="0" distB="0" distL="114300" distR="114300">
            <wp:extent cx="5288280" cy="3293745"/>
            <wp:effectExtent l="0" t="0" r="762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rcRect l="6124" r="3556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29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05730" cy="3009265"/>
            <wp:effectExtent l="0" t="0" r="127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rcRect l="5907" t="3300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</w:p>
    <w:p>
      <w:pPr>
        <w:widowControl w:val="0"/>
        <w:numPr>
          <w:ilvl w:val="0"/>
          <w:numId w:val="2"/>
        </w:numPr>
        <w:jc w:val="both"/>
        <w:rPr>
          <w:b w:val="0"/>
          <w:bCs w:val="0"/>
        </w:rPr>
      </w:pPr>
      <w:r>
        <w:rPr>
          <w:b w:val="0"/>
          <w:bCs w:val="0"/>
        </w:rPr>
        <w:t>数据校准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b w:val="0"/>
          <w:bCs w:val="0"/>
        </w:rPr>
      </w:pPr>
      <w:r>
        <w:rPr>
          <w:b w:val="0"/>
          <w:bCs w:val="0"/>
        </w:rPr>
        <w:t>数据校准将分析‘数据录入’以及‘数据设置’两个页面中的数据，结合各自盘点方式的特征，自动调用云端服务器的智能优化算法，进行并行计算，最终返回结果给用户，该计算时长大概为1～2分钟左右，期间请耐心等待，如果超时时间太长（比如超过了3分钟仍未返回结果），可能是网络问题，可尝试再点一次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b w:val="0"/>
          <w:bCs w:val="0"/>
        </w:rPr>
      </w:pPr>
      <w:r>
        <w:rPr>
          <w:color w:val="0000FF"/>
        </w:rPr>
        <w:t>特别提醒：</w:t>
      </w:r>
      <w:r>
        <w:rPr>
          <w:color w:val="0000FF"/>
        </w:rPr>
        <w:t>注意在计算期间避免进行其他与服务器交互的操作，比如导入数据、校准其他厂数据等，将影响服务器运算结果，请等待计算返回结果后再进行其他操作。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drawing>
          <wp:inline distT="0" distB="0" distL="114300" distR="114300">
            <wp:extent cx="5272405" cy="3225800"/>
            <wp:effectExtent l="0" t="0" r="1079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</w:p>
    <w:p>
      <w:pPr>
        <w:widowControl w:val="0"/>
        <w:numPr>
          <w:ilvl w:val="0"/>
          <w:numId w:val="2"/>
        </w:numPr>
        <w:jc w:val="both"/>
        <w:rPr>
          <w:b w:val="0"/>
          <w:bCs w:val="0"/>
        </w:rPr>
      </w:pPr>
      <w:r>
        <w:rPr>
          <w:b w:val="0"/>
          <w:bCs w:val="0"/>
        </w:rPr>
        <w:t>数据对比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b w:val="0"/>
          <w:bCs w:val="0"/>
        </w:rPr>
      </w:pPr>
      <w:r>
        <w:rPr>
          <w:b w:val="0"/>
          <w:bCs w:val="0"/>
        </w:rPr>
        <w:t>数据对比界面负责直观的动态对比录入的‘原始数据’和‘校准后数据’之间的差距。同时，页面最下方也可以对比观察到校准前后各元素回收率对比的结果。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b w:val="0"/>
          <w:bCs w:val="0"/>
        </w:rPr>
      </w:pPr>
      <w:r>
        <w:drawing>
          <wp:inline distT="0" distB="0" distL="114300" distR="114300">
            <wp:extent cx="5273675" cy="24923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9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b w:val="0"/>
          <w:bCs w:val="0"/>
        </w:rPr>
      </w:pPr>
    </w:p>
    <w:p>
      <w:pPr>
        <w:widowControl w:val="0"/>
        <w:numPr>
          <w:ilvl w:val="0"/>
          <w:numId w:val="2"/>
        </w:numPr>
        <w:jc w:val="both"/>
        <w:rPr>
          <w:b w:val="0"/>
          <w:bCs w:val="0"/>
        </w:rPr>
      </w:pPr>
      <w:r>
        <w:rPr>
          <w:b w:val="0"/>
          <w:bCs w:val="0"/>
        </w:rPr>
        <w:t>数据导出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数据导出页面负责导出数据，点击‘数据导出’即可将校准过后的新数据下载到本地电脑，以供进一步使用。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drawing>
          <wp:inline distT="0" distB="0" distL="114300" distR="114300">
            <wp:extent cx="5263515" cy="2987040"/>
            <wp:effectExtent l="0" t="0" r="698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导出的数据格式和导入时的保持统一，方便进一步使用与交互：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drawing>
          <wp:inline distT="0" distB="0" distL="114300" distR="114300">
            <wp:extent cx="5263515" cy="2383155"/>
            <wp:effectExtent l="0" t="0" r="698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8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b/>
          <w:bCs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b/>
          <w:bCs/>
        </w:rPr>
      </w:pPr>
      <w:r>
        <w:rPr>
          <w:b/>
          <w:bCs/>
        </w:rPr>
        <w:t>3</w:t>
      </w:r>
      <w:r>
        <w:rPr>
          <w:b/>
          <w:bCs/>
        </w:rPr>
        <w:t>.</w:t>
      </w:r>
      <w:r>
        <w:rPr>
          <w:b/>
          <w:bCs/>
        </w:rPr>
        <w:t>全厂数据</w:t>
      </w:r>
      <w:r>
        <w:rPr>
          <w:b/>
          <w:bCs/>
        </w:rPr>
        <w:t>：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b w:val="0"/>
          <w:bCs w:val="0"/>
        </w:rPr>
      </w:pPr>
      <w:r>
        <w:rPr>
          <w:b w:val="0"/>
          <w:bCs w:val="0"/>
        </w:rPr>
        <w:t>当且仅当前三个厂房数据都已校准、人工核对、手工调整完成后，再考虑生成全厂数据。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b w:val="0"/>
          <w:bCs w:val="0"/>
        </w:rPr>
      </w:pPr>
      <w:r>
        <w:rPr>
          <w:b w:val="0"/>
          <w:bCs w:val="0"/>
        </w:rPr>
        <w:t>点击“生成”，即可归纳前三个厂的金属平衡校准结果并输出。可导出保存数据。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b w:val="0"/>
          <w:bCs w:val="0"/>
        </w:rPr>
      </w:pPr>
      <w:r>
        <w:drawing>
          <wp:inline distT="0" distB="0" distL="114300" distR="114300">
            <wp:extent cx="5271135" cy="3110230"/>
            <wp:effectExtent l="0" t="0" r="1206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1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同样，全厂的各元素回收率将按照其特有的计算方式。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——END——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技术支持与反馈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 xml:space="preserve">如使用中有任何问题请联系反馈： </w:t>
      </w:r>
      <w:r>
        <w:t>qixiaoya</w:t>
      </w:r>
      <w:r>
        <w:t>@deepsingularity.com.cn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黑体">
    <w:altName w:val="AR PL UMing CN"/>
    <w:panose1 w:val="02010609060101010101"/>
    <w:charset w:val="00"/>
    <w:family w:val="decorative"/>
    <w:pitch w:val="default"/>
    <w:sig w:usb0="00000000" w:usb1="00000000" w:usb2="00000016" w:usb3="00000000" w:csb0="00040001" w:csb1="00000000"/>
  </w:font>
  <w:font w:name="仿宋_GB2312">
    <w:altName w:val="AR PL UMing CN"/>
    <w:panose1 w:val="02010609030101010101"/>
    <w:charset w:val="00"/>
    <w:family w:val="roman"/>
    <w:pitch w:val="default"/>
    <w:sig w:usb0="00000000" w:usb1="00000000" w:usb2="00000010" w:usb3="00000000" w:csb0="00040000" w:csb1="0000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NanumBarunGothic">
    <w:panose1 w:val="020B0603020101020101"/>
    <w:charset w:val="81"/>
    <w:family w:val="auto"/>
    <w:pitch w:val="default"/>
    <w:sig w:usb0="800002A7" w:usb1="01D77CFB" w:usb2="00000010" w:usb3="00000000" w:csb0="00080001" w:csb1="0000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adea">
    <w:altName w:val="FreeSerif"/>
    <w:panose1 w:val="02040503050406030204"/>
    <w:charset w:val="00"/>
    <w:family w:val="auto"/>
    <w:pitch w:val="default"/>
    <w:sig w:usb0="00000000" w:usb1="00000000" w:usb2="00000000" w:usb3="00000000" w:csb0="20000093" w:csb1="00000000"/>
  </w:font>
  <w:font w:name="Wingdings">
    <w:altName w:val="Abyssinica SIL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 PL UMing CN">
    <w:panose1 w:val="020B0309010101010101"/>
    <w:charset w:val="00"/>
    <w:family w:val="auto"/>
    <w:pitch w:val="default"/>
    <w:sig w:usb0="00000000" w:usb1="00000000" w:usb2="00000000" w:usb3="00000000" w:csb0="00140105" w:csb1="00000000"/>
  </w:font>
  <w:font w:name="FreeSerif">
    <w:panose1 w:val="02020603050405020304"/>
    <w:charset w:val="00"/>
    <w:family w:val="auto"/>
    <w:pitch w:val="default"/>
    <w:sig w:usb0="00000000" w:usb1="00000000" w:usb2="00000000" w:usb3="00000000" w:csb0="0001016D" w:csb1="00000000"/>
  </w:font>
  <w:font w:name="Abyssinica SIL">
    <w:panose1 w:val="02000603020000020004"/>
    <w:charset w:val="00"/>
    <w:family w:val="auto"/>
    <w:pitch w:val="default"/>
    <w:sig w:usb0="00000000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96617573">
    <w:nsid w:val="5F2A7365"/>
    <w:multiLevelType w:val="singleLevel"/>
    <w:tmpl w:val="5F2A7365"/>
    <w:lvl w:ilvl="0" w:tentative="1">
      <w:start w:val="1"/>
      <w:numFmt w:val="upperLetter"/>
      <w:suff w:val="nothing"/>
      <w:lvlText w:val="%1）"/>
      <w:lvlJc w:val="left"/>
    </w:lvl>
  </w:abstractNum>
  <w:abstractNum w:abstractNumId="1596682739">
    <w:nsid w:val="5F2B71F3"/>
    <w:multiLevelType w:val="singleLevel"/>
    <w:tmpl w:val="5F2B71F3"/>
    <w:lvl w:ilvl="0" w:tentative="1">
      <w:start w:val="1"/>
      <w:numFmt w:val="decimal"/>
      <w:suff w:val="nothing"/>
      <w:lvlText w:val="%1、"/>
      <w:lvlJc w:val="left"/>
    </w:lvl>
  </w:abstractNum>
  <w:abstractNum w:abstractNumId="1596617417">
    <w:nsid w:val="5F2A72C9"/>
    <w:multiLevelType w:val="singleLevel"/>
    <w:tmpl w:val="5F2A72C9"/>
    <w:lvl w:ilvl="0" w:tentative="1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596617417"/>
  </w:num>
  <w:num w:numId="2">
    <w:abstractNumId w:val="1596617573"/>
  </w:num>
  <w:num w:numId="3">
    <w:abstractNumId w:val="15966827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75A9EB"/>
    <w:rsid w:val="1EEF79A4"/>
    <w:rsid w:val="29CF1853"/>
    <w:rsid w:val="2DAD079F"/>
    <w:rsid w:val="2FEFB8DE"/>
    <w:rsid w:val="363DE464"/>
    <w:rsid w:val="36FA07F0"/>
    <w:rsid w:val="3BFA70BD"/>
    <w:rsid w:val="3FF66F5F"/>
    <w:rsid w:val="47FFC452"/>
    <w:rsid w:val="597D1A44"/>
    <w:rsid w:val="5BFBCF08"/>
    <w:rsid w:val="5BFF6327"/>
    <w:rsid w:val="5CFD3603"/>
    <w:rsid w:val="5D5FDAB9"/>
    <w:rsid w:val="5EDF86BE"/>
    <w:rsid w:val="65DF46F3"/>
    <w:rsid w:val="6AB76D61"/>
    <w:rsid w:val="6F585181"/>
    <w:rsid w:val="6F7BC8A5"/>
    <w:rsid w:val="725FBCCC"/>
    <w:rsid w:val="737BCE02"/>
    <w:rsid w:val="73BBC132"/>
    <w:rsid w:val="73BFD151"/>
    <w:rsid w:val="75BFF295"/>
    <w:rsid w:val="793315E8"/>
    <w:rsid w:val="79E7205F"/>
    <w:rsid w:val="7AF7D0EA"/>
    <w:rsid w:val="7AFDC0BB"/>
    <w:rsid w:val="7BCE4631"/>
    <w:rsid w:val="7D9B1E98"/>
    <w:rsid w:val="7F75A9EB"/>
    <w:rsid w:val="7F7DF493"/>
    <w:rsid w:val="7F7E11DB"/>
    <w:rsid w:val="7FD5473F"/>
    <w:rsid w:val="7FD57A0B"/>
    <w:rsid w:val="7FFEEC2B"/>
    <w:rsid w:val="7FFF0735"/>
    <w:rsid w:val="89FDF9D6"/>
    <w:rsid w:val="8BC77518"/>
    <w:rsid w:val="8EFD68D8"/>
    <w:rsid w:val="A00DBD86"/>
    <w:rsid w:val="AFBB9524"/>
    <w:rsid w:val="B4DD3A60"/>
    <w:rsid w:val="B7DC8B82"/>
    <w:rsid w:val="B7F88E20"/>
    <w:rsid w:val="B9FF3285"/>
    <w:rsid w:val="BF5BF725"/>
    <w:rsid w:val="BFBF4C71"/>
    <w:rsid w:val="BFCFA6D1"/>
    <w:rsid w:val="D5EF6F14"/>
    <w:rsid w:val="D8EB35E9"/>
    <w:rsid w:val="DAFD76A0"/>
    <w:rsid w:val="DAFFAF80"/>
    <w:rsid w:val="DBBA2EEE"/>
    <w:rsid w:val="DBDE3613"/>
    <w:rsid w:val="DEFFA402"/>
    <w:rsid w:val="DF7DAEE1"/>
    <w:rsid w:val="ECFEF7B3"/>
    <w:rsid w:val="EE7F4543"/>
    <w:rsid w:val="EF2D7116"/>
    <w:rsid w:val="EF5FA82C"/>
    <w:rsid w:val="EFBF4313"/>
    <w:rsid w:val="F6DF2B3E"/>
    <w:rsid w:val="FCD40547"/>
    <w:rsid w:val="FCFFEB37"/>
    <w:rsid w:val="FF173941"/>
    <w:rsid w:val="FF7104D8"/>
    <w:rsid w:val="FF7DEFAF"/>
    <w:rsid w:val="FF7F24FC"/>
    <w:rsid w:val="FFCE7FFA"/>
    <w:rsid w:val="FFEF742F"/>
    <w:rsid w:val="FFFDEAFD"/>
    <w:rsid w:val="FFFF6A8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1"/>
    <w:basedOn w:val="1"/>
    <w:next w:val="1"/>
    <w:qFormat/>
    <w:uiPriority w:val="0"/>
  </w:style>
  <w:style w:type="paragraph" w:customStyle="1" w:styleId="6">
    <w:name w:val="毕论正文"/>
    <w:basedOn w:val="1"/>
    <w:link w:val="7"/>
    <w:qFormat/>
    <w:uiPriority w:val="0"/>
    <w:pPr>
      <w:spacing w:line="400" w:lineRule="exact"/>
      <w:ind w:leftChars="0" w:firstLine="420" w:firstLineChars="200"/>
      <w:jc w:val="left"/>
    </w:pPr>
    <w:rPr>
      <w:rFonts w:ascii="Times New Roman" w:hAnsi="Times New Roman" w:eastAsia="宋体"/>
      <w:sz w:val="24"/>
    </w:rPr>
  </w:style>
  <w:style w:type="character" w:customStyle="1" w:styleId="7">
    <w:name w:val="毕业论文正文 Char"/>
    <w:link w:val="6"/>
    <w:qFormat/>
    <w:uiPriority w:val="0"/>
    <w:rPr>
      <w:rFonts w:ascii="Times New Roman" w:hAnsi="Times New Roman" w:eastAsia="宋体"/>
      <w:sz w:val="24"/>
    </w:rPr>
  </w:style>
  <w:style w:type="paragraph" w:customStyle="1" w:styleId="8">
    <w:name w:val="章的标题"/>
    <w:basedOn w:val="3"/>
    <w:link w:val="9"/>
    <w:qFormat/>
    <w:uiPriority w:val="0"/>
    <w:pPr>
      <w:spacing w:after="100" w:afterLines="100" w:line="240" w:lineRule="auto"/>
      <w:jc w:val="center"/>
      <w:outlineLvl w:val="0"/>
    </w:pPr>
    <w:rPr>
      <w:rFonts w:ascii="Times New Roman" w:hAnsi="Times New Roman" w:eastAsia="黑体"/>
      <w:sz w:val="32"/>
    </w:rPr>
  </w:style>
  <w:style w:type="character" w:customStyle="1" w:styleId="9">
    <w:name w:val="章的标题 Char"/>
    <w:link w:val="8"/>
    <w:qFormat/>
    <w:uiPriority w:val="0"/>
    <w:rPr>
      <w:rFonts w:ascii="Times New Roman" w:hAnsi="Times New Roman" w:eastAsia="黑体"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2020-08-07T07:29:00Z</dcterms:created>
  <dc:creator>myt</dc:creator>
  <cp:lastModifiedBy>myt</cp:lastModifiedBy>
  <dcterms:modified xsi:type="dcterms:W3CDTF">2020-09-09T09:22:02Z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