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pStyle w:val="2"/>
      </w:pPr>
      <w:r>
        <w:t>金属平衡试运行操作说明</w:t>
      </w:r>
    </w:p>
    <w:p>
      <w:pPr>
        <w:jc w:val="right"/>
      </w:pPr>
      <w:r>
        <w:t>Version. Trail</w:t>
      </w:r>
      <w:r>
        <w:tab/>
      </w:r>
      <w:r>
        <w:t>2020.09.06</w:t>
      </w:r>
    </w:p>
    <w:p>
      <w:pPr>
        <w:jc w:val="center"/>
      </w:pPr>
    </w:p>
    <w:p>
      <w:pPr>
        <w:rPr>
          <w:b/>
          <w:bCs/>
        </w:rPr>
      </w:pPr>
      <w:r>
        <w:rPr>
          <w:b/>
          <w:bCs/>
        </w:rPr>
        <w:t>0.主要功能：</w:t>
      </w:r>
    </w:p>
    <w:p>
      <w:pPr>
        <w:numPr>
          <w:ilvl w:val="0"/>
          <w:numId w:val="1"/>
        </w:numPr>
        <w:tabs>
          <w:tab w:val="left" w:pos="420"/>
        </w:tabs>
        <w:ind w:left="420" w:leftChars="0" w:hanging="420" w:firstLineChars="0"/>
      </w:pPr>
      <w:r>
        <w:t>未来可实现数据与生产管理平台的共享：实现盘点数据的规范化、系统化；</w:t>
      </w:r>
    </w:p>
    <w:p>
      <w:pPr>
        <w:numPr>
          <w:ilvl w:val="0"/>
          <w:numId w:val="1"/>
        </w:numPr>
        <w:tabs>
          <w:tab w:val="left" w:pos="420"/>
        </w:tabs>
        <w:ind w:left="420" w:leftChars="0" w:hanging="420" w:firstLineChars="0"/>
      </w:pPr>
      <w:r>
        <w:t>盘点数据的分析与智能校准：根据实际盘点方法的现场调研，算法将依据似然推导以及优化理论得出修正后的盘点数据；</w:t>
      </w:r>
    </w:p>
    <w:p>
      <w:pPr>
        <w:numPr>
          <w:ilvl w:val="0"/>
          <w:numId w:val="1"/>
        </w:numPr>
        <w:tabs>
          <w:tab w:val="left" w:pos="420"/>
        </w:tabs>
        <w:ind w:left="420" w:leftChars="0" w:hanging="420" w:firstLineChars="0"/>
      </w:pPr>
      <w:r>
        <w:t>自动计算盘点数据中涉及的各种生产要素指标，包括：铜、金、银回收率；铜、金、银直收率；铜、金、银平衡距离等；系统各元素的平衡状态。</w:t>
      </w:r>
    </w:p>
    <w:p>
      <w:pPr>
        <w:numPr>
          <w:ilvl w:val="0"/>
          <w:numId w:val="1"/>
        </w:numPr>
        <w:tabs>
          <w:tab w:val="left" w:pos="420"/>
        </w:tabs>
        <w:ind w:left="420" w:leftChars="0" w:hanging="420" w:firstLineChars="0"/>
      </w:pPr>
      <w:r>
        <w:t>数据对比与数据导出：以标准格式对比、导出修正后的数据，用于进一步讨论与分析。</w:t>
      </w:r>
    </w:p>
    <w:p>
      <w:pPr>
        <w:widowControl w:val="0"/>
        <w:numPr>
          <w:ilvl w:val="0"/>
          <w:numId w:val="0"/>
        </w:numPr>
        <w:tabs>
          <w:tab w:val="clear" w:pos="420"/>
        </w:tabs>
        <w:jc w:val="both"/>
      </w:pPr>
    </w:p>
    <w:p>
      <w:pPr>
        <w:widowControl w:val="0"/>
        <w:numPr>
          <w:ilvl w:val="0"/>
          <w:numId w:val="0"/>
        </w:numPr>
        <w:tabs>
          <w:tab w:val="clear" w:pos="420"/>
        </w:tabs>
        <w:jc w:val="both"/>
        <w:rPr>
          <w:b/>
          <w:bCs/>
        </w:rPr>
      </w:pPr>
      <w:r>
        <w:rPr>
          <w:b/>
          <w:bCs/>
        </w:rPr>
        <w:t>使用说明</w:t>
      </w:r>
    </w:p>
    <w:p>
      <w:pPr>
        <w:widowControl w:val="0"/>
        <w:numPr>
          <w:ilvl w:val="0"/>
          <w:numId w:val="0"/>
        </w:numPr>
        <w:tabs>
          <w:tab w:val="clear" w:pos="420"/>
        </w:tabs>
        <w:jc w:val="both"/>
        <w:rPr>
          <w:b/>
          <w:bCs/>
        </w:rPr>
      </w:pPr>
      <w:r>
        <w:rPr>
          <w:b/>
          <w:bCs/>
        </w:rPr>
        <w:t>1.登录网页地址：</w:t>
      </w:r>
    </w:p>
    <w:p>
      <w:pPr>
        <w:widowControl w:val="0"/>
        <w:numPr>
          <w:ilvl w:val="0"/>
          <w:numId w:val="0"/>
        </w:numPr>
        <w:tabs>
          <w:tab w:val="clear" w:pos="420"/>
        </w:tabs>
        <w:jc w:val="both"/>
      </w:pPr>
      <w:r>
        <w:t>浏览器输入地址：</w:t>
      </w:r>
      <w:r>
        <w:rPr>
          <w:rFonts w:hint="eastAsia"/>
        </w:rPr>
        <w:t>http://192.168.230.210:8080/nanfang/pingheng.html</w:t>
      </w:r>
    </w:p>
    <w:p>
      <w:pPr>
        <w:widowControl w:val="0"/>
        <w:numPr>
          <w:ilvl w:val="0"/>
          <w:numId w:val="0"/>
        </w:numPr>
        <w:tabs>
          <w:tab w:val="clear" w:pos="420"/>
        </w:tabs>
        <w:jc w:val="both"/>
      </w:pPr>
      <w:r>
        <w:t>推荐使用火狐、chrome浏览器。成功打开，如下：</w:t>
      </w:r>
    </w:p>
    <w:p>
      <w:pPr>
        <w:widowControl w:val="0"/>
        <w:numPr>
          <w:ilvl w:val="0"/>
          <w:numId w:val="0"/>
        </w:numPr>
        <w:tabs>
          <w:tab w:val="clear" w:pos="420"/>
        </w:tabs>
        <w:jc w:val="both"/>
      </w:pPr>
      <w:r>
        <w:drawing>
          <wp:inline distT="0" distB="0" distL="114300" distR="114300">
            <wp:extent cx="5360035" cy="3155315"/>
            <wp:effectExtent l="0" t="0" r="12065" b="698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4"/>
                    <a:stretch>
                      <a:fillRect/>
                    </a:stretch>
                  </pic:blipFill>
                  <pic:spPr>
                    <a:xfrm>
                      <a:off x="0" y="0"/>
                      <a:ext cx="5360035" cy="3155315"/>
                    </a:xfrm>
                    <a:prstGeom prst="rect">
                      <a:avLst/>
                    </a:prstGeom>
                    <a:noFill/>
                    <a:ln w="9525">
                      <a:noFill/>
                      <a:miter/>
                    </a:ln>
                  </pic:spPr>
                </pic:pic>
              </a:graphicData>
            </a:graphic>
          </wp:inline>
        </w:drawing>
      </w:r>
    </w:p>
    <w:p>
      <w:pPr>
        <w:widowControl w:val="0"/>
        <w:numPr>
          <w:ilvl w:val="0"/>
          <w:numId w:val="0"/>
        </w:numPr>
        <w:tabs>
          <w:tab w:val="clear" w:pos="420"/>
        </w:tabs>
        <w:jc w:val="both"/>
        <w:rPr>
          <w:b/>
          <w:bCs/>
        </w:rPr>
      </w:pPr>
    </w:p>
    <w:p>
      <w:pPr>
        <w:widowControl w:val="0"/>
        <w:numPr>
          <w:ilvl w:val="0"/>
          <w:numId w:val="0"/>
        </w:numPr>
        <w:tabs>
          <w:tab w:val="clear" w:pos="420"/>
        </w:tabs>
        <w:jc w:val="both"/>
        <w:rPr>
          <w:b/>
          <w:bCs/>
        </w:rPr>
      </w:pPr>
      <w:r>
        <w:rPr>
          <w:b/>
          <w:bCs/>
        </w:rPr>
        <w:t>2.操作流程（以某一个厂为例）：</w:t>
      </w:r>
    </w:p>
    <w:p>
      <w:pPr>
        <w:widowControl w:val="0"/>
        <w:numPr>
          <w:ilvl w:val="0"/>
          <w:numId w:val="0"/>
        </w:numPr>
        <w:tabs>
          <w:tab w:val="clear" w:pos="420"/>
        </w:tabs>
        <w:jc w:val="both"/>
        <w:rPr>
          <w:b w:val="0"/>
          <w:bCs w:val="0"/>
        </w:rPr>
      </w:pPr>
      <w:r>
        <w:rPr>
          <w:b w:val="0"/>
          <w:bCs w:val="0"/>
        </w:rPr>
        <w:t>界面操作流程分为5步：a）数据导入、b）数据设置、c）数据校准、d）数据对比、e）数据导出。每个页面上都有温馨提示，请操作时注意提示的内容。</w:t>
      </w:r>
    </w:p>
    <w:p>
      <w:pPr>
        <w:widowControl w:val="0"/>
        <w:numPr>
          <w:ilvl w:val="0"/>
          <w:numId w:val="0"/>
        </w:numPr>
        <w:tabs>
          <w:tab w:val="clear" w:pos="420"/>
        </w:tabs>
        <w:jc w:val="both"/>
        <w:rPr>
          <w:b w:val="0"/>
          <w:bCs w:val="0"/>
        </w:rPr>
      </w:pPr>
    </w:p>
    <w:p>
      <w:pPr>
        <w:widowControl w:val="0"/>
        <w:numPr>
          <w:ilvl w:val="0"/>
          <w:numId w:val="2"/>
        </w:numPr>
        <w:jc w:val="both"/>
      </w:pPr>
      <w:r>
        <w:t>导入数据：</w:t>
      </w:r>
    </w:p>
    <w:p>
      <w:pPr>
        <w:widowControl w:val="0"/>
        <w:numPr>
          <w:ilvl w:val="0"/>
          <w:numId w:val="0"/>
        </w:numPr>
        <w:tabs>
          <w:tab w:val="clear" w:pos="420"/>
        </w:tabs>
        <w:jc w:val="both"/>
      </w:pPr>
      <w:r>
        <w:t>点击‘数据录入’按钮，选择本地编辑好的盘点数据，盘点数据的格式需要统一如下：</w:t>
      </w:r>
    </w:p>
    <w:p>
      <w:pPr>
        <w:widowControl w:val="0"/>
        <w:numPr>
          <w:ilvl w:val="0"/>
          <w:numId w:val="0"/>
        </w:numPr>
        <w:tabs>
          <w:tab w:val="clear" w:pos="420"/>
        </w:tabs>
        <w:jc w:val="both"/>
      </w:pPr>
      <w:r>
        <w:t>（可参见文件：‘2-4数据格式.xlsx</w:t>
      </w:r>
      <w:r>
        <w:rPr>
          <w:rFonts w:hint="default"/>
        </w:rPr>
        <w:t>’</w:t>
      </w:r>
      <w:r>
        <w:t>）</w:t>
      </w:r>
    </w:p>
    <w:p>
      <w:pPr>
        <w:widowControl w:val="0"/>
        <w:numPr>
          <w:ilvl w:val="0"/>
          <w:numId w:val="0"/>
        </w:numPr>
        <w:tabs>
          <w:tab w:val="clear" w:pos="420"/>
        </w:tabs>
        <w:jc w:val="center"/>
      </w:pPr>
      <w:r>
        <w:drawing>
          <wp:inline distT="0" distB="0" distL="114300" distR="114300">
            <wp:extent cx="5273675" cy="1739900"/>
            <wp:effectExtent l="0" t="0" r="9525" b="0"/>
            <wp:docPr id="1" name="图片 1" descr="2020-09-12 10-26-01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2020-09-12 10-26-01屏幕截图"/>
                    <pic:cNvPicPr>
                      <a:picLocks noChangeAspect="1"/>
                    </pic:cNvPicPr>
                  </pic:nvPicPr>
                  <pic:blipFill>
                    <a:blip r:embed="rId5"/>
                    <a:stretch>
                      <a:fillRect/>
                    </a:stretch>
                  </pic:blipFill>
                  <pic:spPr>
                    <a:xfrm>
                      <a:off x="0" y="0"/>
                      <a:ext cx="5273675" cy="1739900"/>
                    </a:xfrm>
                    <a:prstGeom prst="rect">
                      <a:avLst/>
                    </a:prstGeom>
                  </pic:spPr>
                </pic:pic>
              </a:graphicData>
            </a:graphic>
          </wp:inline>
        </w:drawing>
      </w:r>
    </w:p>
    <w:p>
      <w:pPr>
        <w:widowControl w:val="0"/>
        <w:numPr>
          <w:ilvl w:val="0"/>
          <w:numId w:val="0"/>
        </w:numPr>
        <w:tabs>
          <w:tab w:val="clear" w:pos="420"/>
        </w:tabs>
        <w:jc w:val="left"/>
      </w:pPr>
      <w:r>
        <w:t>数据编辑说明：</w:t>
      </w:r>
    </w:p>
    <w:p>
      <w:pPr>
        <w:widowControl w:val="0"/>
        <w:numPr>
          <w:ilvl w:val="0"/>
          <w:numId w:val="3"/>
        </w:numPr>
        <w:jc w:val="left"/>
      </w:pPr>
      <w:r>
        <w:t>对于所需的“上期结存、本期结存、各种含量”这些列按照实际数据填写即可，直接对应您盘点表中的如下对应列：</w:t>
      </w:r>
    </w:p>
    <w:p>
      <w:pPr>
        <w:widowControl w:val="0"/>
        <w:numPr>
          <w:ilvl w:val="0"/>
          <w:numId w:val="0"/>
        </w:numPr>
        <w:tabs>
          <w:tab w:val="clear" w:pos="420"/>
        </w:tabs>
        <w:jc w:val="center"/>
      </w:pPr>
      <w:r>
        <w:drawing>
          <wp:inline distT="0" distB="0" distL="114300" distR="114300">
            <wp:extent cx="5124450" cy="2304415"/>
            <wp:effectExtent l="0" t="0" r="6350"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6"/>
                    <a:stretch>
                      <a:fillRect/>
                    </a:stretch>
                  </pic:blipFill>
                  <pic:spPr>
                    <a:xfrm>
                      <a:off x="0" y="0"/>
                      <a:ext cx="5124450" cy="2304415"/>
                    </a:xfrm>
                    <a:prstGeom prst="rect">
                      <a:avLst/>
                    </a:prstGeom>
                    <a:noFill/>
                    <a:ln w="9525">
                      <a:noFill/>
                      <a:miter/>
                    </a:ln>
                  </pic:spPr>
                </pic:pic>
              </a:graphicData>
            </a:graphic>
          </wp:inline>
        </w:drawing>
      </w:r>
    </w:p>
    <w:p>
      <w:pPr>
        <w:widowControl w:val="0"/>
        <w:numPr>
          <w:ilvl w:val="0"/>
          <w:numId w:val="3"/>
        </w:numPr>
        <w:jc w:val="left"/>
      </w:pPr>
      <w:r>
        <w:t>对于所需的“本期收入/支出”这一列，需要仔细处理，它代表的意义是：跟该系统交互的系统外变量，包括移入系统、从系统移出两种情况，其中移入为正，移出为负。比如，对熔炼厂来说，原料类物料其“移入（</w:t>
      </w:r>
      <w:r>
        <w:rPr>
          <w:strike/>
          <w:dstrike w:val="0"/>
        </w:rPr>
        <w:t>出</w:t>
      </w:r>
      <w:r>
        <w:t>）系统的量”即对应您盘点表中的“本期收入”，对于产出物来说，其“移出（</w:t>
      </w:r>
      <w:r>
        <w:rPr>
          <w:strike/>
          <w:dstrike w:val="0"/>
        </w:rPr>
        <w:t>入</w:t>
      </w:r>
      <w:r>
        <w:t>）系统的量”对应您盘点表中的“本期调拨、使用”，如下图。把这两列组合起来形成输入数据所需的“收入/支出”项目。注意对于支出的部分，需要加</w:t>
      </w:r>
      <w:r>
        <w:rPr>
          <w:b/>
          <w:bCs/>
          <w:color w:val="FF0000"/>
          <w:highlight w:val="yellow"/>
          <w:shd w:val="clear" w:color="FFFFFF" w:fill="D9D9D9"/>
        </w:rPr>
        <w:t>负号</w:t>
      </w:r>
      <w:r>
        <w:t>。</w:t>
      </w:r>
    </w:p>
    <w:p>
      <w:pPr>
        <w:widowControl w:val="0"/>
        <w:numPr>
          <w:ilvl w:val="0"/>
          <w:numId w:val="0"/>
        </w:numPr>
        <w:tabs>
          <w:tab w:val="clear" w:pos="420"/>
        </w:tabs>
        <w:jc w:val="left"/>
      </w:pPr>
      <w:r>
        <w:drawing>
          <wp:inline distT="0" distB="0" distL="114300" distR="114300">
            <wp:extent cx="5267325" cy="1763395"/>
            <wp:effectExtent l="0" t="0" r="3175" b="190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7"/>
                    <a:stretch>
                      <a:fillRect/>
                    </a:stretch>
                  </pic:blipFill>
                  <pic:spPr>
                    <a:xfrm>
                      <a:off x="0" y="0"/>
                      <a:ext cx="5267325" cy="1763395"/>
                    </a:xfrm>
                    <a:prstGeom prst="rect">
                      <a:avLst/>
                    </a:prstGeom>
                    <a:noFill/>
                    <a:ln w="9525">
                      <a:noFill/>
                      <a:miter/>
                    </a:ln>
                  </pic:spPr>
                </pic:pic>
              </a:graphicData>
            </a:graphic>
          </wp:inline>
        </w:drawing>
      </w:r>
    </w:p>
    <w:p>
      <w:pPr>
        <w:widowControl w:val="0"/>
        <w:numPr>
          <w:ilvl w:val="0"/>
          <w:numId w:val="0"/>
        </w:numPr>
        <w:tabs>
          <w:tab w:val="clear" w:pos="420"/>
        </w:tabs>
        <w:jc w:val="left"/>
      </w:pPr>
      <w:r>
        <w:drawing>
          <wp:inline distT="0" distB="0" distL="114300" distR="114300">
            <wp:extent cx="5273675" cy="2606675"/>
            <wp:effectExtent l="0" t="0" r="9525"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8"/>
                    <a:stretch>
                      <a:fillRect/>
                    </a:stretch>
                  </pic:blipFill>
                  <pic:spPr>
                    <a:xfrm>
                      <a:off x="0" y="0"/>
                      <a:ext cx="5273675" cy="2606675"/>
                    </a:xfrm>
                    <a:prstGeom prst="rect">
                      <a:avLst/>
                    </a:prstGeom>
                    <a:noFill/>
                    <a:ln w="9525">
                      <a:noFill/>
                      <a:miter/>
                    </a:ln>
                  </pic:spPr>
                </pic:pic>
              </a:graphicData>
            </a:graphic>
          </wp:inline>
        </w:drawing>
      </w:r>
    </w:p>
    <w:p>
      <w:pPr>
        <w:widowControl w:val="0"/>
        <w:numPr>
          <w:ilvl w:val="0"/>
          <w:numId w:val="0"/>
        </w:numPr>
        <w:tabs>
          <w:tab w:val="clear" w:pos="420"/>
        </w:tabs>
        <w:jc w:val="center"/>
      </w:pPr>
      <w:r>
        <w:t>附表：关于盘点方法参考值的设置，</w:t>
      </w:r>
    </w:p>
    <w:p>
      <w:pPr>
        <w:widowControl w:val="0"/>
        <w:numPr>
          <w:ilvl w:val="0"/>
          <w:numId w:val="0"/>
        </w:numPr>
        <w:tabs>
          <w:tab w:val="clear" w:pos="420"/>
        </w:tabs>
        <w:jc w:val="center"/>
      </w:pPr>
      <w:r>
        <w:t>通常这个表格不需要修改，另外可以在此处自定义盘点方式。</w:t>
      </w:r>
    </w:p>
    <w:p>
      <w:pPr>
        <w:widowControl w:val="0"/>
        <w:numPr>
          <w:ilvl w:val="0"/>
          <w:numId w:val="0"/>
        </w:numPr>
        <w:tabs>
          <w:tab w:val="clear" w:pos="420"/>
        </w:tabs>
        <w:jc w:val="center"/>
      </w:pPr>
      <w:r>
        <w:drawing>
          <wp:inline distT="0" distB="0" distL="114300" distR="114300">
            <wp:extent cx="2415540" cy="1945005"/>
            <wp:effectExtent l="0" t="0" r="10160" b="1079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9"/>
                    <a:stretch>
                      <a:fillRect/>
                    </a:stretch>
                  </pic:blipFill>
                  <pic:spPr>
                    <a:xfrm>
                      <a:off x="0" y="0"/>
                      <a:ext cx="2415540" cy="1945005"/>
                    </a:xfrm>
                    <a:prstGeom prst="rect">
                      <a:avLst/>
                    </a:prstGeom>
                    <a:noFill/>
                    <a:ln w="9525">
                      <a:noFill/>
                      <a:miter/>
                    </a:ln>
                  </pic:spPr>
                </pic:pic>
              </a:graphicData>
            </a:graphic>
          </wp:inline>
        </w:drawing>
      </w:r>
    </w:p>
    <w:p>
      <w:pPr>
        <w:widowControl w:val="0"/>
        <w:numPr>
          <w:ilvl w:val="0"/>
          <w:numId w:val="0"/>
        </w:numPr>
        <w:tabs>
          <w:tab w:val="clear" w:pos="420"/>
        </w:tabs>
        <w:jc w:val="both"/>
        <w:rPr>
          <w:color w:val="0000FF"/>
        </w:rPr>
      </w:pPr>
      <w:r>
        <w:rPr>
          <w:color w:val="0000FF"/>
        </w:rPr>
        <w:t>特别提醒：</w:t>
      </w:r>
    </w:p>
    <w:p>
      <w:pPr>
        <w:widowControl w:val="0"/>
        <w:numPr>
          <w:ilvl w:val="0"/>
          <w:numId w:val="4"/>
        </w:numPr>
        <w:jc w:val="both"/>
        <w:rPr>
          <w:color w:val="0000FF"/>
        </w:rPr>
      </w:pPr>
      <w:r>
        <w:rPr>
          <w:color w:val="0000FF"/>
        </w:rPr>
        <w:t>录入时注意空值将被当作零，比如‘铜精矿上期结存干量’如果不填值，则算法计算时被认为上期结存是0。</w:t>
      </w:r>
    </w:p>
    <w:p>
      <w:pPr>
        <w:widowControl w:val="0"/>
        <w:numPr>
          <w:ilvl w:val="0"/>
          <w:numId w:val="4"/>
        </w:numPr>
        <w:jc w:val="both"/>
        <w:rPr>
          <w:color w:val="0000FF"/>
        </w:rPr>
      </w:pPr>
      <w:r>
        <w:rPr>
          <w:color w:val="0000FF"/>
        </w:rPr>
        <w:t>注意录入时表头内容请按照‘2-4数据格式’要求的列不能变，如果变化网页将无法导入数据，运算前请确认网页是否成功导入了所有在excel的列，以避免后续计算遇到问题。</w:t>
      </w:r>
    </w:p>
    <w:p>
      <w:pPr>
        <w:widowControl w:val="0"/>
        <w:numPr>
          <w:ilvl w:val="0"/>
          <w:numId w:val="4"/>
        </w:numPr>
        <w:jc w:val="both"/>
        <w:rPr>
          <w:color w:val="0000FF"/>
        </w:rPr>
      </w:pPr>
      <w:r>
        <w:rPr>
          <w:color w:val="0000FF"/>
        </w:rPr>
        <w:t>再输入原始数据的时候，原则上不需要您进行任何计算，也就是说对于需要计算量（比如上期结存Cu/Au/Ag干量、本期结存Cu/Au/Ag干量、本期使用等）均不需要填值，网页导入数据后将会自动计算这些量。</w:t>
      </w:r>
    </w:p>
    <w:p>
      <w:pPr>
        <w:widowControl w:val="0"/>
        <w:numPr>
          <w:ilvl w:val="0"/>
          <w:numId w:val="4"/>
        </w:numPr>
        <w:jc w:val="both"/>
        <w:rPr>
          <w:color w:val="0000FF"/>
        </w:rPr>
      </w:pPr>
      <w:r>
        <w:rPr>
          <w:rFonts w:hint="eastAsia"/>
          <w:color w:val="0000FF"/>
        </w:rPr>
        <w:t>正常</w:t>
      </w:r>
      <w:r>
        <w:rPr>
          <w:rFonts w:hint="default"/>
          <w:color w:val="0000FF"/>
        </w:rPr>
        <w:t>使用</w:t>
      </w:r>
      <w:r>
        <w:rPr>
          <w:rFonts w:hint="eastAsia"/>
          <w:color w:val="0000FF"/>
        </w:rPr>
        <w:t>情况下</w:t>
      </w:r>
      <w:r>
        <w:rPr>
          <w:rFonts w:hint="default"/>
          <w:color w:val="0000FF"/>
        </w:rPr>
        <w:t>盘点方法对应的统计值不需要更改。</w:t>
      </w:r>
    </w:p>
    <w:p>
      <w:pPr>
        <w:widowControl w:val="0"/>
        <w:numPr>
          <w:ilvl w:val="0"/>
          <w:numId w:val="0"/>
        </w:numPr>
        <w:tabs>
          <w:tab w:val="clear" w:pos="420"/>
        </w:tabs>
        <w:jc w:val="left"/>
      </w:pPr>
      <w:r>
        <w:t>导入后的网页显示：</w:t>
      </w:r>
    </w:p>
    <w:p>
      <w:pPr>
        <w:widowControl w:val="0"/>
        <w:numPr>
          <w:ilvl w:val="0"/>
          <w:numId w:val="0"/>
        </w:numPr>
        <w:tabs>
          <w:tab w:val="clear" w:pos="420"/>
        </w:tabs>
        <w:jc w:val="both"/>
      </w:pPr>
      <w:bookmarkStart w:id="0" w:name="_GoBack"/>
      <w:bookmarkEnd w:id="0"/>
    </w:p>
    <w:p>
      <w:pPr>
        <w:widowControl w:val="0"/>
        <w:numPr>
          <w:ilvl w:val="0"/>
          <w:numId w:val="0"/>
        </w:numPr>
        <w:tabs>
          <w:tab w:val="clear" w:pos="420"/>
        </w:tabs>
        <w:jc w:val="both"/>
      </w:pPr>
      <w:r>
        <w:drawing>
          <wp:inline distT="0" distB="0" distL="114300" distR="114300">
            <wp:extent cx="5236845" cy="2781300"/>
            <wp:effectExtent l="0" t="0" r="825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0"/>
                    <a:srcRect l="6691" t="11895"/>
                    <a:stretch>
                      <a:fillRect/>
                    </a:stretch>
                  </pic:blipFill>
                  <pic:spPr>
                    <a:xfrm>
                      <a:off x="0" y="0"/>
                      <a:ext cx="5236845" cy="2781300"/>
                    </a:xfrm>
                    <a:prstGeom prst="rect">
                      <a:avLst/>
                    </a:prstGeom>
                    <a:noFill/>
                    <a:ln w="9525">
                      <a:noFill/>
                      <a:miter/>
                    </a:ln>
                  </pic:spPr>
                </pic:pic>
              </a:graphicData>
            </a:graphic>
          </wp:inline>
        </w:drawing>
      </w:r>
    </w:p>
    <w:p>
      <w:pPr>
        <w:widowControl w:val="0"/>
        <w:numPr>
          <w:ilvl w:val="0"/>
          <w:numId w:val="0"/>
        </w:numPr>
        <w:tabs>
          <w:tab w:val="clear" w:pos="420"/>
        </w:tabs>
        <w:jc w:val="both"/>
      </w:pPr>
      <w:r>
        <w:t>各个厂两种收率计算方法都已注明在页面上（每个厂的计算方法有所不同，计算的基本依据是不同的“物料分类”），只要将鼠标放到收率文字上即可显示提示:</w:t>
      </w:r>
    </w:p>
    <w:p>
      <w:pPr>
        <w:widowControl w:val="0"/>
        <w:numPr>
          <w:ilvl w:val="0"/>
          <w:numId w:val="0"/>
        </w:numPr>
        <w:tabs>
          <w:tab w:val="clear" w:pos="420"/>
        </w:tabs>
        <w:jc w:val="both"/>
      </w:pPr>
      <w:r>
        <w:drawing>
          <wp:inline distT="0" distB="0" distL="114300" distR="114300">
            <wp:extent cx="5285105" cy="3148965"/>
            <wp:effectExtent l="0" t="0" r="10795"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1"/>
                    <a:srcRect l="5895" t="3879" r="3351"/>
                    <a:stretch>
                      <a:fillRect/>
                    </a:stretch>
                  </pic:blipFill>
                  <pic:spPr>
                    <a:xfrm>
                      <a:off x="0" y="0"/>
                      <a:ext cx="5285105" cy="3148965"/>
                    </a:xfrm>
                    <a:prstGeom prst="rect">
                      <a:avLst/>
                    </a:prstGeom>
                    <a:noFill/>
                    <a:ln w="9525">
                      <a:noFill/>
                      <a:miter/>
                    </a:ln>
                  </pic:spPr>
                </pic:pic>
              </a:graphicData>
            </a:graphic>
          </wp:inline>
        </w:drawing>
      </w:r>
    </w:p>
    <w:p>
      <w:pPr>
        <w:widowControl w:val="0"/>
        <w:numPr>
          <w:ilvl w:val="0"/>
          <w:numId w:val="0"/>
        </w:numPr>
        <w:tabs>
          <w:tab w:val="clear" w:pos="420"/>
        </w:tabs>
        <w:jc w:val="both"/>
      </w:pPr>
    </w:p>
    <w:p>
      <w:pPr>
        <w:widowControl w:val="0"/>
        <w:numPr>
          <w:ilvl w:val="0"/>
          <w:numId w:val="2"/>
        </w:numPr>
        <w:jc w:val="both"/>
        <w:rPr>
          <w:b w:val="0"/>
          <w:bCs w:val="0"/>
        </w:rPr>
      </w:pPr>
      <w:r>
        <w:rPr>
          <w:b w:val="0"/>
          <w:bCs w:val="0"/>
        </w:rPr>
        <w:t>数据设置</w:t>
      </w:r>
    </w:p>
    <w:p>
      <w:pPr>
        <w:widowControl w:val="0"/>
        <w:numPr>
          <w:ilvl w:val="0"/>
          <w:numId w:val="0"/>
        </w:numPr>
        <w:tabs>
          <w:tab w:val="clear" w:pos="420"/>
        </w:tabs>
        <w:jc w:val="both"/>
      </w:pPr>
      <w:r>
        <w:t>数据设置界面，可设置的内容包括：物料分类、干量盘点方法、化学元素盘点（测量）方法。逐项设置后算法获得需要用到的相关值，包括每一项的最小、最大值，测量标准差。</w:t>
      </w:r>
    </w:p>
    <w:p>
      <w:pPr>
        <w:widowControl w:val="0"/>
        <w:numPr>
          <w:ilvl w:val="0"/>
          <w:numId w:val="0"/>
        </w:numPr>
        <w:tabs>
          <w:tab w:val="clear" w:pos="420"/>
        </w:tabs>
        <w:jc w:val="both"/>
      </w:pPr>
      <w:r>
        <w:t>考虑到使用的易用性，使用界面将根据所选择的具体’盘点方法‘自动确定这三个值。比如下图所示：当对‘废铜制品（南丹）’采用人工计量盘点的方式时，请相应选择人工盘点或卷尺’，随后‘最小、最大值，测量标准差’这些所需变量会自动计算得到。实际使用时只需要根据实际情况选择盘点方法就可以完成设置。</w:t>
      </w:r>
    </w:p>
    <w:p>
      <w:pPr>
        <w:widowControl w:val="0"/>
        <w:numPr>
          <w:ilvl w:val="0"/>
          <w:numId w:val="0"/>
        </w:numPr>
        <w:tabs>
          <w:tab w:val="clear" w:pos="420"/>
        </w:tabs>
        <w:jc w:val="both"/>
      </w:pPr>
      <w:r>
        <w:t>另外，如果想修改不同盘点方式对应的各项经验值，请在需要录入的excel中直接修改。</w:t>
      </w:r>
    </w:p>
    <w:p>
      <w:pPr>
        <w:widowControl w:val="0"/>
        <w:numPr>
          <w:ilvl w:val="0"/>
          <w:numId w:val="0"/>
        </w:numPr>
        <w:tabs>
          <w:tab w:val="clear" w:pos="420"/>
        </w:tabs>
        <w:jc w:val="both"/>
      </w:pPr>
      <w:r>
        <w:drawing>
          <wp:inline distT="0" distB="0" distL="114300" distR="114300">
            <wp:extent cx="5288280" cy="3293745"/>
            <wp:effectExtent l="0" t="0" r="7620" b="825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2"/>
                    <a:srcRect l="6124" r="3556"/>
                    <a:stretch>
                      <a:fillRect/>
                    </a:stretch>
                  </pic:blipFill>
                  <pic:spPr>
                    <a:xfrm>
                      <a:off x="0" y="0"/>
                      <a:ext cx="5288280" cy="3293745"/>
                    </a:xfrm>
                    <a:prstGeom prst="rect">
                      <a:avLst/>
                    </a:prstGeom>
                    <a:noFill/>
                    <a:ln w="9525">
                      <a:noFill/>
                      <a:miter/>
                    </a:ln>
                  </pic:spPr>
                </pic:pic>
              </a:graphicData>
            </a:graphic>
          </wp:inline>
        </w:drawing>
      </w:r>
      <w:r>
        <w:drawing>
          <wp:inline distT="0" distB="0" distL="114300" distR="114300">
            <wp:extent cx="5205730" cy="3009265"/>
            <wp:effectExtent l="0" t="0" r="1270"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3"/>
                    <a:srcRect l="5907" t="3300"/>
                    <a:stretch>
                      <a:fillRect/>
                    </a:stretch>
                  </pic:blipFill>
                  <pic:spPr>
                    <a:xfrm>
                      <a:off x="0" y="0"/>
                      <a:ext cx="5205730" cy="3009265"/>
                    </a:xfrm>
                    <a:prstGeom prst="rect">
                      <a:avLst/>
                    </a:prstGeom>
                    <a:noFill/>
                    <a:ln w="9525">
                      <a:noFill/>
                      <a:miter/>
                    </a:ln>
                  </pic:spPr>
                </pic:pic>
              </a:graphicData>
            </a:graphic>
          </wp:inline>
        </w:drawing>
      </w:r>
    </w:p>
    <w:p>
      <w:pPr>
        <w:widowControl w:val="0"/>
        <w:numPr>
          <w:ilvl w:val="0"/>
          <w:numId w:val="0"/>
        </w:numPr>
        <w:tabs>
          <w:tab w:val="clear" w:pos="420"/>
        </w:tabs>
        <w:jc w:val="both"/>
      </w:pPr>
    </w:p>
    <w:p>
      <w:pPr>
        <w:widowControl w:val="0"/>
        <w:numPr>
          <w:ilvl w:val="0"/>
          <w:numId w:val="2"/>
        </w:numPr>
        <w:jc w:val="both"/>
        <w:rPr>
          <w:b w:val="0"/>
          <w:bCs w:val="0"/>
        </w:rPr>
      </w:pPr>
      <w:r>
        <w:rPr>
          <w:b w:val="0"/>
          <w:bCs w:val="0"/>
        </w:rPr>
        <w:t>数据校准</w:t>
      </w:r>
    </w:p>
    <w:p>
      <w:pPr>
        <w:widowControl w:val="0"/>
        <w:numPr>
          <w:ilvl w:val="0"/>
          <w:numId w:val="0"/>
        </w:numPr>
        <w:tabs>
          <w:tab w:val="clear" w:pos="420"/>
        </w:tabs>
        <w:jc w:val="both"/>
        <w:rPr>
          <w:b w:val="0"/>
          <w:bCs w:val="0"/>
        </w:rPr>
      </w:pPr>
      <w:r>
        <w:rPr>
          <w:b w:val="0"/>
          <w:bCs w:val="0"/>
        </w:rPr>
        <w:t>数据校准将分析‘数据录入’以及‘数据设置’两个页面中的数据，结合各自盘点方式的特征，自动调用云端服务器的智能优化算法，进行并行计算，最终返回结果给用户，该计算时长大概为1～2分钟左右，期间请耐心等待，如果超时时间太长（比如超过了3分钟仍未返回结果），可能是网络问题，可尝试再点一次。</w:t>
      </w:r>
    </w:p>
    <w:p>
      <w:pPr>
        <w:widowControl w:val="0"/>
        <w:numPr>
          <w:ilvl w:val="0"/>
          <w:numId w:val="0"/>
        </w:numPr>
        <w:tabs>
          <w:tab w:val="clear" w:pos="420"/>
        </w:tabs>
        <w:jc w:val="both"/>
        <w:rPr>
          <w:b w:val="0"/>
          <w:bCs w:val="0"/>
        </w:rPr>
      </w:pPr>
      <w:r>
        <w:rPr>
          <w:color w:val="0000FF"/>
        </w:rPr>
        <w:t>特别提醒：注意在计算期间避免进行其他与服务器交互的操作，比如导入数据、校准其他厂数据等，将影响服务器运算结果，请等待计算返回结果后再进行其他操作。</w:t>
      </w:r>
    </w:p>
    <w:p>
      <w:pPr>
        <w:widowControl w:val="0"/>
        <w:numPr>
          <w:ilvl w:val="0"/>
          <w:numId w:val="0"/>
        </w:numPr>
        <w:tabs>
          <w:tab w:val="clear" w:pos="420"/>
        </w:tabs>
        <w:jc w:val="both"/>
      </w:pPr>
      <w:r>
        <w:drawing>
          <wp:inline distT="0" distB="0" distL="114300" distR="114300">
            <wp:extent cx="5272405" cy="3225800"/>
            <wp:effectExtent l="0" t="0" r="1079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4"/>
                    <a:stretch>
                      <a:fillRect/>
                    </a:stretch>
                  </pic:blipFill>
                  <pic:spPr>
                    <a:xfrm>
                      <a:off x="0" y="0"/>
                      <a:ext cx="5272405" cy="3225800"/>
                    </a:xfrm>
                    <a:prstGeom prst="rect">
                      <a:avLst/>
                    </a:prstGeom>
                    <a:noFill/>
                    <a:ln w="9525">
                      <a:noFill/>
                      <a:miter/>
                    </a:ln>
                  </pic:spPr>
                </pic:pic>
              </a:graphicData>
            </a:graphic>
          </wp:inline>
        </w:drawing>
      </w:r>
    </w:p>
    <w:p>
      <w:pPr>
        <w:widowControl w:val="0"/>
        <w:numPr>
          <w:ilvl w:val="0"/>
          <w:numId w:val="0"/>
        </w:numPr>
        <w:tabs>
          <w:tab w:val="clear" w:pos="420"/>
        </w:tabs>
        <w:jc w:val="both"/>
      </w:pPr>
    </w:p>
    <w:p>
      <w:pPr>
        <w:widowControl w:val="0"/>
        <w:numPr>
          <w:ilvl w:val="0"/>
          <w:numId w:val="2"/>
        </w:numPr>
        <w:jc w:val="both"/>
        <w:rPr>
          <w:b w:val="0"/>
          <w:bCs w:val="0"/>
        </w:rPr>
      </w:pPr>
      <w:r>
        <w:rPr>
          <w:b w:val="0"/>
          <w:bCs w:val="0"/>
        </w:rPr>
        <w:t>数据对比</w:t>
      </w:r>
    </w:p>
    <w:p>
      <w:pPr>
        <w:widowControl w:val="0"/>
        <w:numPr>
          <w:ilvl w:val="0"/>
          <w:numId w:val="0"/>
        </w:numPr>
        <w:tabs>
          <w:tab w:val="clear" w:pos="420"/>
        </w:tabs>
        <w:jc w:val="both"/>
        <w:rPr>
          <w:b w:val="0"/>
          <w:bCs w:val="0"/>
        </w:rPr>
      </w:pPr>
      <w:r>
        <w:rPr>
          <w:b w:val="0"/>
          <w:bCs w:val="0"/>
        </w:rPr>
        <w:t>数据对比界面负责直观的动态对比录入的‘原始数据’和‘校准后数据’之间的差距。同时，页面最下方也可以对比观察到校准前后各元素回收率对比的结果。</w:t>
      </w:r>
    </w:p>
    <w:p>
      <w:pPr>
        <w:widowControl w:val="0"/>
        <w:numPr>
          <w:ilvl w:val="0"/>
          <w:numId w:val="0"/>
        </w:numPr>
        <w:tabs>
          <w:tab w:val="clear" w:pos="420"/>
        </w:tabs>
        <w:jc w:val="both"/>
        <w:rPr>
          <w:b w:val="0"/>
          <w:bCs w:val="0"/>
        </w:rPr>
      </w:pPr>
      <w:r>
        <w:drawing>
          <wp:inline distT="0" distB="0" distL="114300" distR="114300">
            <wp:extent cx="5273675" cy="2492375"/>
            <wp:effectExtent l="0" t="0" r="9525"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5"/>
                    <a:stretch>
                      <a:fillRect/>
                    </a:stretch>
                  </pic:blipFill>
                  <pic:spPr>
                    <a:xfrm>
                      <a:off x="0" y="0"/>
                      <a:ext cx="5273675" cy="2492375"/>
                    </a:xfrm>
                    <a:prstGeom prst="rect">
                      <a:avLst/>
                    </a:prstGeom>
                    <a:noFill/>
                    <a:ln w="9525">
                      <a:noFill/>
                      <a:miter/>
                    </a:ln>
                  </pic:spPr>
                </pic:pic>
              </a:graphicData>
            </a:graphic>
          </wp:inline>
        </w:drawing>
      </w:r>
    </w:p>
    <w:p>
      <w:pPr>
        <w:widowControl w:val="0"/>
        <w:numPr>
          <w:ilvl w:val="0"/>
          <w:numId w:val="0"/>
        </w:numPr>
        <w:tabs>
          <w:tab w:val="clear" w:pos="420"/>
        </w:tabs>
        <w:jc w:val="both"/>
        <w:rPr>
          <w:b w:val="0"/>
          <w:bCs w:val="0"/>
        </w:rPr>
      </w:pPr>
    </w:p>
    <w:p>
      <w:pPr>
        <w:widowControl w:val="0"/>
        <w:numPr>
          <w:ilvl w:val="0"/>
          <w:numId w:val="2"/>
        </w:numPr>
        <w:jc w:val="both"/>
        <w:rPr>
          <w:b w:val="0"/>
          <w:bCs w:val="0"/>
        </w:rPr>
      </w:pPr>
      <w:r>
        <w:rPr>
          <w:b w:val="0"/>
          <w:bCs w:val="0"/>
        </w:rPr>
        <w:t>数据导出</w:t>
      </w:r>
    </w:p>
    <w:p>
      <w:pPr>
        <w:widowControl w:val="0"/>
        <w:numPr>
          <w:ilvl w:val="0"/>
          <w:numId w:val="0"/>
        </w:numPr>
        <w:tabs>
          <w:tab w:val="clear" w:pos="420"/>
        </w:tabs>
        <w:jc w:val="both"/>
      </w:pPr>
      <w:r>
        <w:t>数据导出页面负责导出数据，点击‘数据导出’即可将校准过后的新数据下载到本地电脑，以供进一步使用。</w:t>
      </w:r>
    </w:p>
    <w:p>
      <w:pPr>
        <w:widowControl w:val="0"/>
        <w:numPr>
          <w:ilvl w:val="0"/>
          <w:numId w:val="0"/>
        </w:numPr>
        <w:tabs>
          <w:tab w:val="clear" w:pos="420"/>
        </w:tabs>
        <w:jc w:val="both"/>
      </w:pPr>
      <w:r>
        <w:drawing>
          <wp:inline distT="0" distB="0" distL="114300" distR="114300">
            <wp:extent cx="5263515" cy="2987040"/>
            <wp:effectExtent l="0" t="0" r="6985" b="1016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6"/>
                    <a:stretch>
                      <a:fillRect/>
                    </a:stretch>
                  </pic:blipFill>
                  <pic:spPr>
                    <a:xfrm>
                      <a:off x="0" y="0"/>
                      <a:ext cx="5263515" cy="2987040"/>
                    </a:xfrm>
                    <a:prstGeom prst="rect">
                      <a:avLst/>
                    </a:prstGeom>
                    <a:noFill/>
                    <a:ln w="9525">
                      <a:noFill/>
                      <a:miter/>
                    </a:ln>
                  </pic:spPr>
                </pic:pic>
              </a:graphicData>
            </a:graphic>
          </wp:inline>
        </w:drawing>
      </w:r>
    </w:p>
    <w:p>
      <w:pPr>
        <w:widowControl w:val="0"/>
        <w:numPr>
          <w:ilvl w:val="0"/>
          <w:numId w:val="0"/>
        </w:numPr>
        <w:tabs>
          <w:tab w:val="clear" w:pos="420"/>
        </w:tabs>
        <w:jc w:val="both"/>
      </w:pPr>
      <w:r>
        <w:t>导出的数据格式和导入时的保持统一，方便进一步使用与交互：</w:t>
      </w:r>
    </w:p>
    <w:p>
      <w:pPr>
        <w:widowControl w:val="0"/>
        <w:numPr>
          <w:ilvl w:val="0"/>
          <w:numId w:val="0"/>
        </w:numPr>
        <w:tabs>
          <w:tab w:val="clear" w:pos="420"/>
        </w:tabs>
        <w:jc w:val="both"/>
      </w:pPr>
      <w:r>
        <w:drawing>
          <wp:inline distT="0" distB="0" distL="114300" distR="114300">
            <wp:extent cx="5263515" cy="2383155"/>
            <wp:effectExtent l="0" t="0" r="6985" b="444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7"/>
                    <a:stretch>
                      <a:fillRect/>
                    </a:stretch>
                  </pic:blipFill>
                  <pic:spPr>
                    <a:xfrm>
                      <a:off x="0" y="0"/>
                      <a:ext cx="5263515" cy="2383155"/>
                    </a:xfrm>
                    <a:prstGeom prst="rect">
                      <a:avLst/>
                    </a:prstGeom>
                    <a:noFill/>
                    <a:ln w="9525">
                      <a:noFill/>
                      <a:miter/>
                    </a:ln>
                  </pic:spPr>
                </pic:pic>
              </a:graphicData>
            </a:graphic>
          </wp:inline>
        </w:drawing>
      </w:r>
    </w:p>
    <w:p>
      <w:pPr>
        <w:widowControl w:val="0"/>
        <w:numPr>
          <w:ilvl w:val="0"/>
          <w:numId w:val="0"/>
        </w:numPr>
        <w:tabs>
          <w:tab w:val="clear" w:pos="420"/>
        </w:tabs>
        <w:jc w:val="both"/>
        <w:rPr>
          <w:b/>
          <w:bCs/>
        </w:rPr>
      </w:pPr>
    </w:p>
    <w:p>
      <w:pPr>
        <w:widowControl w:val="0"/>
        <w:numPr>
          <w:ilvl w:val="0"/>
          <w:numId w:val="0"/>
        </w:numPr>
        <w:tabs>
          <w:tab w:val="clear" w:pos="420"/>
        </w:tabs>
        <w:jc w:val="both"/>
        <w:rPr>
          <w:b/>
          <w:bCs/>
        </w:rPr>
      </w:pPr>
      <w:r>
        <w:rPr>
          <w:b/>
          <w:bCs/>
        </w:rPr>
        <w:t>3.全厂数据：</w:t>
      </w:r>
    </w:p>
    <w:p>
      <w:pPr>
        <w:widowControl w:val="0"/>
        <w:numPr>
          <w:ilvl w:val="0"/>
          <w:numId w:val="0"/>
        </w:numPr>
        <w:tabs>
          <w:tab w:val="clear" w:pos="420"/>
        </w:tabs>
        <w:jc w:val="both"/>
        <w:rPr>
          <w:b w:val="0"/>
          <w:bCs w:val="0"/>
        </w:rPr>
      </w:pPr>
      <w:r>
        <w:rPr>
          <w:b w:val="0"/>
          <w:bCs w:val="0"/>
        </w:rPr>
        <w:t>当且仅当前三个厂房数据都已校准、人工核对、手工调整完成后，再考虑生成全厂数据。</w:t>
      </w:r>
    </w:p>
    <w:p>
      <w:pPr>
        <w:widowControl w:val="0"/>
        <w:numPr>
          <w:ilvl w:val="0"/>
          <w:numId w:val="0"/>
        </w:numPr>
        <w:tabs>
          <w:tab w:val="clear" w:pos="420"/>
        </w:tabs>
        <w:jc w:val="both"/>
        <w:rPr>
          <w:b w:val="0"/>
          <w:bCs w:val="0"/>
        </w:rPr>
      </w:pPr>
      <w:r>
        <w:rPr>
          <w:b w:val="0"/>
          <w:bCs w:val="0"/>
        </w:rPr>
        <w:t>点击“生成”，即可归纳前三个厂的金属平衡校准结果，生成结果的同时已经考虑到不同物料对于全厂来说的分类将会发生变化，系统将根据物料名称分配默认类型，比如‘阳极铜’将被从熔炼厂的‘产品’自动更改为全厂的‘中间物料’，但对于某些名称不相符的项目需要您手动再修改。</w:t>
      </w:r>
    </w:p>
    <w:p>
      <w:pPr>
        <w:widowControl w:val="0"/>
        <w:numPr>
          <w:ilvl w:val="0"/>
          <w:numId w:val="0"/>
        </w:numPr>
        <w:tabs>
          <w:tab w:val="clear" w:pos="420"/>
        </w:tabs>
        <w:jc w:val="both"/>
        <w:rPr>
          <w:b w:val="0"/>
          <w:bCs w:val="0"/>
        </w:rPr>
      </w:pPr>
      <w:r>
        <w:drawing>
          <wp:inline distT="0" distB="0" distL="114300" distR="114300">
            <wp:extent cx="5271135" cy="3110230"/>
            <wp:effectExtent l="0" t="0" r="12065" b="127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8"/>
                    <a:stretch>
                      <a:fillRect/>
                    </a:stretch>
                  </pic:blipFill>
                  <pic:spPr>
                    <a:xfrm>
                      <a:off x="0" y="0"/>
                      <a:ext cx="5271135" cy="3110230"/>
                    </a:xfrm>
                    <a:prstGeom prst="rect">
                      <a:avLst/>
                    </a:prstGeom>
                    <a:noFill/>
                    <a:ln w="9525">
                      <a:noFill/>
                      <a:miter/>
                    </a:ln>
                  </pic:spPr>
                </pic:pic>
              </a:graphicData>
            </a:graphic>
          </wp:inline>
        </w:drawing>
      </w:r>
    </w:p>
    <w:p>
      <w:pPr>
        <w:widowControl w:val="0"/>
        <w:numPr>
          <w:ilvl w:val="0"/>
          <w:numId w:val="0"/>
        </w:numPr>
        <w:tabs>
          <w:tab w:val="clear" w:pos="420"/>
        </w:tabs>
        <w:jc w:val="both"/>
      </w:pPr>
      <w:r>
        <w:rPr>
          <w:b w:val="0"/>
          <w:bCs w:val="0"/>
        </w:rPr>
        <w:t>可导出保存数据。</w:t>
      </w:r>
      <w:r>
        <w:t>同样，全厂的各元素回收率将按照其特有的计算方式。</w:t>
      </w:r>
    </w:p>
    <w:p>
      <w:pPr>
        <w:widowControl w:val="0"/>
        <w:numPr>
          <w:ilvl w:val="0"/>
          <w:numId w:val="0"/>
        </w:numPr>
        <w:tabs>
          <w:tab w:val="clear" w:pos="420"/>
        </w:tabs>
        <w:jc w:val="both"/>
      </w:pPr>
    </w:p>
    <w:p>
      <w:pPr>
        <w:widowControl w:val="0"/>
        <w:numPr>
          <w:ilvl w:val="0"/>
          <w:numId w:val="0"/>
        </w:numPr>
        <w:tabs>
          <w:tab w:val="clear" w:pos="420"/>
        </w:tabs>
        <w:jc w:val="both"/>
      </w:pPr>
    </w:p>
    <w:p>
      <w:pPr>
        <w:widowControl w:val="0"/>
        <w:numPr>
          <w:ilvl w:val="0"/>
          <w:numId w:val="0"/>
        </w:numPr>
        <w:tabs>
          <w:tab w:val="clear" w:pos="420"/>
        </w:tabs>
        <w:jc w:val="both"/>
      </w:pPr>
    </w:p>
    <w:p>
      <w:pPr>
        <w:widowControl w:val="0"/>
        <w:numPr>
          <w:ilvl w:val="0"/>
          <w:numId w:val="0"/>
        </w:numPr>
        <w:tabs>
          <w:tab w:val="clear" w:pos="420"/>
        </w:tabs>
        <w:jc w:val="both"/>
      </w:pPr>
    </w:p>
    <w:p>
      <w:pPr>
        <w:widowControl w:val="0"/>
        <w:numPr>
          <w:ilvl w:val="0"/>
          <w:numId w:val="0"/>
        </w:numPr>
        <w:tabs>
          <w:tab w:val="clear" w:pos="420"/>
        </w:tabs>
        <w:jc w:val="both"/>
      </w:pPr>
    </w:p>
    <w:p>
      <w:pPr>
        <w:widowControl w:val="0"/>
        <w:numPr>
          <w:ilvl w:val="0"/>
          <w:numId w:val="0"/>
        </w:numPr>
        <w:tabs>
          <w:tab w:val="clear" w:pos="420"/>
        </w:tabs>
        <w:jc w:val="both"/>
      </w:pPr>
    </w:p>
    <w:p>
      <w:pPr>
        <w:widowControl w:val="0"/>
        <w:numPr>
          <w:ilvl w:val="0"/>
          <w:numId w:val="0"/>
        </w:numPr>
        <w:tabs>
          <w:tab w:val="clear" w:pos="420"/>
        </w:tabs>
        <w:jc w:val="both"/>
      </w:pPr>
    </w:p>
    <w:p>
      <w:pPr>
        <w:widowControl w:val="0"/>
        <w:numPr>
          <w:ilvl w:val="0"/>
          <w:numId w:val="0"/>
        </w:numPr>
        <w:tabs>
          <w:tab w:val="clear" w:pos="420"/>
        </w:tabs>
        <w:jc w:val="both"/>
      </w:pPr>
      <w:r>
        <w:t>——END——</w:t>
      </w:r>
    </w:p>
    <w:p>
      <w:pPr>
        <w:widowControl w:val="0"/>
        <w:numPr>
          <w:ilvl w:val="0"/>
          <w:numId w:val="0"/>
        </w:numPr>
        <w:tabs>
          <w:tab w:val="clear" w:pos="420"/>
        </w:tabs>
        <w:jc w:val="both"/>
      </w:pPr>
    </w:p>
    <w:p>
      <w:pPr>
        <w:widowControl w:val="0"/>
        <w:numPr>
          <w:ilvl w:val="0"/>
          <w:numId w:val="0"/>
        </w:numPr>
        <w:tabs>
          <w:tab w:val="clear" w:pos="420"/>
        </w:tabs>
        <w:jc w:val="both"/>
      </w:pPr>
      <w:r>
        <w:t>技术支持与反馈</w:t>
      </w:r>
    </w:p>
    <w:p>
      <w:pPr>
        <w:widowControl w:val="0"/>
        <w:numPr>
          <w:ilvl w:val="0"/>
          <w:numId w:val="0"/>
        </w:numPr>
        <w:tabs>
          <w:tab w:val="clear" w:pos="420"/>
        </w:tabs>
        <w:jc w:val="both"/>
      </w:pPr>
      <w:r>
        <w:t>如使用中有任何问题请联系反馈： qixiaoya@deepsingularity.com.cn</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AR PL UKai CN"/>
    <w:panose1 w:val="00000000000000000000"/>
    <w:charset w:val="86"/>
    <w:family w:val="auto"/>
    <w:pitch w:val="default"/>
    <w:sig w:usb0="00000000" w:usb1="00000000" w:usb2="00000000" w:usb3="00000000" w:csb0="00000000" w:csb1="00000000"/>
  </w:font>
  <w:font w:name="DejaVu Sans">
    <w:panose1 w:val="020B0603030804020204"/>
    <w:charset w:val="00"/>
    <w:family w:val="roman"/>
    <w:pitch w:val="default"/>
    <w:sig w:usb0="E7006EFF" w:usb1="D200FDFF" w:usb2="0A246029" w:usb3="0400200C" w:csb0="600001FF" w:csb1="DFFF0000"/>
  </w:font>
  <w:font w:name="方正书宋_GBK">
    <w:altName w:val="AR PL UKai CN"/>
    <w:panose1 w:val="02000000000000000000"/>
    <w:charset w:val="86"/>
    <w:family w:val="auto"/>
    <w:pitch w:val="default"/>
    <w:sig w:usb0="00000001" w:usb1="08000000" w:usb2="00000000" w:usb3="00000000" w:csb0="00040000" w:csb1="00000000"/>
  </w:font>
  <w:font w:name="方正黑体_GBK">
    <w:altName w:val="AR PL UKai CN"/>
    <w:panose1 w:val="02000000000000000000"/>
    <w:charset w:val="00"/>
    <w:family w:val="auto"/>
    <w:pitch w:val="default"/>
    <w:sig w:usb0="00000001" w:usb1="08000000" w:usb2="00000000" w:usb3="00000000" w:csb0="00040000" w:csb1="00000000"/>
  </w:font>
  <w:font w:name="Cambria">
    <w:altName w:val="FreeSerif"/>
    <w:panose1 w:val="02040503050406030204"/>
    <w:charset w:val="00"/>
    <w:family w:val="swiss"/>
    <w:pitch w:val="default"/>
    <w:sig w:usb0="00000000" w:usb1="00000000" w:usb2="00000000" w:usb3="00000000" w:csb0="0000019F" w:csb1="00000000"/>
  </w:font>
  <w:font w:name="Calibri">
    <w:altName w:val="DejaVu Sans"/>
    <w:panose1 w:val="020F0502020204030204"/>
    <w:charset w:val="00"/>
    <w:family w:val="roman"/>
    <w:pitch w:val="default"/>
    <w:sig w:usb0="00000000" w:usb1="00000000" w:usb2="00000001" w:usb3="00000000" w:csb0="0000019F" w:csb1="00000000"/>
  </w:font>
  <w:font w:name="AR PL UKai CN">
    <w:panose1 w:val="02000503000000000000"/>
    <w:charset w:val="86"/>
    <w:family w:val="auto"/>
    <w:pitch w:val="default"/>
    <w:sig w:usb0="A00002FF" w:usb1="3ACFFDFF" w:usb2="00000036" w:usb3="00000000" w:csb0="2016009F" w:csb1="DFD70000"/>
  </w:font>
  <w:font w:name="FreeSerif">
    <w:panose1 w:val="02020603050405020304"/>
    <w:charset w:val="00"/>
    <w:family w:val="auto"/>
    <w:pitch w:val="default"/>
    <w:sig w:usb0="E59FAFFF" w:usb1="C200FDFF" w:usb2="43501B29" w:usb3="04000043" w:csb0="600101FF" w:csb1="FFFF0000"/>
  </w:font>
  <w:font w:name="黑体">
    <w:altName w:val="AR PL UMing CN"/>
    <w:panose1 w:val="02010609060101010101"/>
    <w:charset w:val="00"/>
    <w:family w:val="decorative"/>
    <w:pitch w:val="default"/>
    <w:sig w:usb0="00000000" w:usb1="00000000" w:usb2="00000016" w:usb3="00000000" w:csb0="00040001" w:csb1="00000000"/>
  </w:font>
  <w:font w:name="仿宋_GB2312">
    <w:altName w:val="AR PL UMing CN"/>
    <w:panose1 w:val="02010609030101010101"/>
    <w:charset w:val="00"/>
    <w:family w:val="roman"/>
    <w:pitch w:val="default"/>
    <w:sig w:usb0="00000000" w:usb1="00000000" w:usb2="00000010" w:usb3="00000000" w:csb0="00040000" w:csb1="00000000"/>
  </w:font>
  <w:font w:name="AR PL UMing CN">
    <w:panose1 w:val="020B0309010101010101"/>
    <w:charset w:val="86"/>
    <w:family w:val="auto"/>
    <w:pitch w:val="default"/>
    <w:sig w:usb0="A00002FF" w:usb1="3ACFFDFF" w:usb2="00000036" w:usb3="00000000" w:csb0="20160097" w:csb1="CFD60000"/>
  </w:font>
  <w:font w:name="NanumBarunGothic">
    <w:panose1 w:val="020B0603020101020101"/>
    <w:charset w:val="81"/>
    <w:family w:val="auto"/>
    <w:pitch w:val="default"/>
    <w:sig w:usb0="800002A7" w:usb1="01D77CFB" w:usb2="00000010" w:usb3="00000000" w:csb0="00080001" w:csb1="00000000"/>
  </w:font>
  <w:font w:name="DejaVa Sans">
    <w:altName w:val="Abyssinica SIL"/>
    <w:panose1 w:val="00000000000000000000"/>
    <w:charset w:val="00"/>
    <w:family w:val="auto"/>
    <w:pitch w:val="default"/>
    <w:sig w:usb0="00000000" w:usb1="00000000" w:usb2="00000000" w:usb3="00000000" w:csb0="00000000" w:csb1="00000000"/>
  </w:font>
  <w:font w:name="Abyssinica SIL">
    <w:panose1 w:val="02000603020000020004"/>
    <w:charset w:val="00"/>
    <w:family w:val="auto"/>
    <w:pitch w:val="default"/>
    <w:sig w:usb0="800000EF" w:usb1="5000A04B" w:usb2="00000828" w:usb3="00000000" w:csb0="20000001" w:csb1="00000000"/>
  </w:font>
  <w:font w:name="Ubuntu">
    <w:panose1 w:val="020B0604030602030204"/>
    <w:charset w:val="00"/>
    <w:family w:val="auto"/>
    <w:pitch w:val="default"/>
    <w:sig w:usb0="E00002FF" w:usb1="5000205B" w:usb2="00000000" w:usb3="00000000" w:csb0="2000009F" w:csb1="56010000"/>
  </w:font>
  <w:font w:name="Tahoma">
    <w:altName w:val="Abyssinica SIL"/>
    <w:panose1 w:val="00000000000000000000"/>
    <w:charset w:val="00"/>
    <w:family w:val="auto"/>
    <w:pitch w:val="default"/>
    <w:sig w:usb0="00000000" w:usb1="00000000" w:usb2="00000000" w:usb3="00000000" w:csb0="00000000" w:csb1="00000000"/>
  </w:font>
  <w:font w:name="Caladea">
    <w:altName w:val="FreeSerif"/>
    <w:panose1 w:val="02040503050406030204"/>
    <w:charset w:val="00"/>
    <w:family w:val="auto"/>
    <w:pitch w:val="default"/>
    <w:sig w:usb0="00000000" w:usb1="00000000" w:usb2="00000000" w:usb3="00000000" w:csb0="20000093" w:csb1="00000000"/>
  </w:font>
  <w:font w:name="Wingdings">
    <w:altName w:val="Abyssinica SIL"/>
    <w:panose1 w:val="05000000000000000000"/>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596617573">
    <w:nsid w:val="5F2A7365"/>
    <w:multiLevelType w:val="singleLevel"/>
    <w:tmpl w:val="5F2A7365"/>
    <w:lvl w:ilvl="0" w:tentative="1">
      <w:start w:val="1"/>
      <w:numFmt w:val="upperLetter"/>
      <w:suff w:val="nothing"/>
      <w:lvlText w:val="%1）"/>
      <w:lvlJc w:val="left"/>
    </w:lvl>
  </w:abstractNum>
  <w:abstractNum w:abstractNumId="1599878054">
    <w:nsid w:val="5F5C33A6"/>
    <w:multiLevelType w:val="singleLevel"/>
    <w:tmpl w:val="5F5C33A6"/>
    <w:lvl w:ilvl="0" w:tentative="1">
      <w:start w:val="1"/>
      <w:numFmt w:val="decimal"/>
      <w:suff w:val="nothing"/>
      <w:lvlText w:val="%1、"/>
      <w:lvlJc w:val="left"/>
    </w:lvl>
  </w:abstractNum>
  <w:abstractNum w:abstractNumId="1596682739">
    <w:nsid w:val="5F2B71F3"/>
    <w:multiLevelType w:val="singleLevel"/>
    <w:tmpl w:val="5F2B71F3"/>
    <w:lvl w:ilvl="0" w:tentative="1">
      <w:start w:val="1"/>
      <w:numFmt w:val="decimal"/>
      <w:suff w:val="nothing"/>
      <w:lvlText w:val="%1、"/>
      <w:lvlJc w:val="left"/>
    </w:lvl>
  </w:abstractNum>
  <w:abstractNum w:abstractNumId="1596617417">
    <w:nsid w:val="5F2A72C9"/>
    <w:multiLevelType w:val="singleLevel"/>
    <w:tmpl w:val="5F2A72C9"/>
    <w:lvl w:ilvl="0" w:tentative="1">
      <w:start w:val="1"/>
      <w:numFmt w:val="bullet"/>
      <w:lvlText w:val=""/>
      <w:lvlJc w:val="left"/>
      <w:pPr>
        <w:tabs>
          <w:tab w:val="left" w:pos="420"/>
        </w:tabs>
        <w:ind w:left="420" w:leftChars="0" w:hanging="420" w:firstLineChars="0"/>
      </w:pPr>
      <w:rPr>
        <w:rFonts w:hint="default" w:ascii="Wingdings" w:hAnsi="Wingdings"/>
      </w:rPr>
    </w:lvl>
  </w:abstractNum>
  <w:num w:numId="1">
    <w:abstractNumId w:val="1596617417"/>
  </w:num>
  <w:num w:numId="2">
    <w:abstractNumId w:val="1596617573"/>
  </w:num>
  <w:num w:numId="3">
    <w:abstractNumId w:val="1599878054"/>
  </w:num>
  <w:num w:numId="4">
    <w:abstractNumId w:val="15966827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2"/>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F75A9EB"/>
    <w:rsid w:val="1EEF79A4"/>
    <w:rsid w:val="29CF1853"/>
    <w:rsid w:val="2DAD079F"/>
    <w:rsid w:val="2FEFB8DE"/>
    <w:rsid w:val="363DE464"/>
    <w:rsid w:val="36FA07F0"/>
    <w:rsid w:val="3BFA70BD"/>
    <w:rsid w:val="3DFDDC73"/>
    <w:rsid w:val="3FF66F5F"/>
    <w:rsid w:val="47FFC452"/>
    <w:rsid w:val="597D1A44"/>
    <w:rsid w:val="5BFBCF08"/>
    <w:rsid w:val="5BFF6327"/>
    <w:rsid w:val="5CFD3603"/>
    <w:rsid w:val="5D5FDAB9"/>
    <w:rsid w:val="5EDF86BE"/>
    <w:rsid w:val="65DF46F3"/>
    <w:rsid w:val="6AB76D61"/>
    <w:rsid w:val="6BBCCA1B"/>
    <w:rsid w:val="6F585181"/>
    <w:rsid w:val="6F7BC8A5"/>
    <w:rsid w:val="725FBCCC"/>
    <w:rsid w:val="737BCE02"/>
    <w:rsid w:val="73BBC132"/>
    <w:rsid w:val="73BFD151"/>
    <w:rsid w:val="75BFF295"/>
    <w:rsid w:val="793315E8"/>
    <w:rsid w:val="79E7205F"/>
    <w:rsid w:val="7AF7D0EA"/>
    <w:rsid w:val="7AFDC0BB"/>
    <w:rsid w:val="7BCE4631"/>
    <w:rsid w:val="7D9B1E98"/>
    <w:rsid w:val="7F555726"/>
    <w:rsid w:val="7F75A9EB"/>
    <w:rsid w:val="7F7DF493"/>
    <w:rsid w:val="7F7E11DB"/>
    <w:rsid w:val="7FD5473F"/>
    <w:rsid w:val="7FD57A0B"/>
    <w:rsid w:val="7FFEEC2B"/>
    <w:rsid w:val="7FFF0735"/>
    <w:rsid w:val="89FDF9D6"/>
    <w:rsid w:val="8BC77518"/>
    <w:rsid w:val="8EFD68D8"/>
    <w:rsid w:val="A00DBD86"/>
    <w:rsid w:val="AFBB9524"/>
    <w:rsid w:val="B4DD3A60"/>
    <w:rsid w:val="B7BF1EB0"/>
    <w:rsid w:val="B7DC8B82"/>
    <w:rsid w:val="B7F88E20"/>
    <w:rsid w:val="B9FF3285"/>
    <w:rsid w:val="BF5BF725"/>
    <w:rsid w:val="BFBF4C71"/>
    <w:rsid w:val="BFCFA6D1"/>
    <w:rsid w:val="D5EF6F14"/>
    <w:rsid w:val="D8EB35E9"/>
    <w:rsid w:val="DAFD76A0"/>
    <w:rsid w:val="DAFFAF80"/>
    <w:rsid w:val="DBBA2EEE"/>
    <w:rsid w:val="DBDE3613"/>
    <w:rsid w:val="DEFFA402"/>
    <w:rsid w:val="DF7DAEE1"/>
    <w:rsid w:val="ECFEF7B3"/>
    <w:rsid w:val="EE7F4543"/>
    <w:rsid w:val="EF2D7116"/>
    <w:rsid w:val="EF5FA82C"/>
    <w:rsid w:val="EFBF4313"/>
    <w:rsid w:val="F6DF2B3E"/>
    <w:rsid w:val="FAF7AEBC"/>
    <w:rsid w:val="FCD40547"/>
    <w:rsid w:val="FCFFEB37"/>
    <w:rsid w:val="FD6E08B0"/>
    <w:rsid w:val="FEB6FE2E"/>
    <w:rsid w:val="FF173941"/>
    <w:rsid w:val="FF7104D8"/>
    <w:rsid w:val="FF7DEFAF"/>
    <w:rsid w:val="FF7F24FC"/>
    <w:rsid w:val="FFCE7FFA"/>
    <w:rsid w:val="FFEF742F"/>
    <w:rsid w:val="FFFDEAFD"/>
    <w:rsid w:val="FFFF6A80"/>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character" w:default="1" w:styleId="4">
    <w:name w:val="Default Paragraph Font"/>
    <w:semiHidden/>
    <w:qFormat/>
    <w:uiPriority w:val="0"/>
  </w:style>
  <w:style w:type="table" w:default="1" w:styleId="5">
    <w:name w:val="Normal Table"/>
    <w:semiHidden/>
    <w:qFormat/>
    <w:uiPriority w:val="0"/>
    <w:tblPr>
      <w:tblLayout w:type="fixed"/>
      <w:tblCellMar>
        <w:top w:w="0" w:type="dxa"/>
        <w:left w:w="108" w:type="dxa"/>
        <w:bottom w:w="0" w:type="dxa"/>
        <w:right w:w="108" w:type="dxa"/>
      </w:tblCellMar>
    </w:tblPr>
  </w:style>
  <w:style w:type="paragraph" w:styleId="3">
    <w:name w:val="toc 1"/>
    <w:basedOn w:val="1"/>
    <w:next w:val="1"/>
    <w:qFormat/>
    <w:uiPriority w:val="0"/>
  </w:style>
  <w:style w:type="paragraph" w:customStyle="1" w:styleId="6">
    <w:name w:val="毕论正文"/>
    <w:basedOn w:val="1"/>
    <w:link w:val="7"/>
    <w:qFormat/>
    <w:uiPriority w:val="0"/>
    <w:pPr>
      <w:spacing w:line="400" w:lineRule="exact"/>
      <w:ind w:leftChars="0" w:firstLine="420" w:firstLineChars="200"/>
      <w:jc w:val="left"/>
    </w:pPr>
    <w:rPr>
      <w:rFonts w:ascii="Times New Roman" w:hAnsi="Times New Roman" w:eastAsia="宋体"/>
      <w:sz w:val="24"/>
    </w:rPr>
  </w:style>
  <w:style w:type="character" w:customStyle="1" w:styleId="7">
    <w:name w:val="毕业论文正文 Char"/>
    <w:link w:val="6"/>
    <w:qFormat/>
    <w:uiPriority w:val="0"/>
    <w:rPr>
      <w:rFonts w:ascii="Times New Roman" w:hAnsi="Times New Roman" w:eastAsia="宋体"/>
      <w:sz w:val="24"/>
    </w:rPr>
  </w:style>
  <w:style w:type="paragraph" w:customStyle="1" w:styleId="8">
    <w:name w:val="章的标题"/>
    <w:basedOn w:val="3"/>
    <w:link w:val="9"/>
    <w:qFormat/>
    <w:uiPriority w:val="0"/>
    <w:pPr>
      <w:spacing w:after="100" w:afterLines="100" w:line="240" w:lineRule="auto"/>
      <w:jc w:val="center"/>
      <w:outlineLvl w:val="0"/>
    </w:pPr>
    <w:rPr>
      <w:rFonts w:ascii="Times New Roman" w:hAnsi="Times New Roman" w:eastAsia="黑体"/>
      <w:sz w:val="32"/>
    </w:rPr>
  </w:style>
  <w:style w:type="character" w:customStyle="1" w:styleId="9">
    <w:name w:val="章的标题 Char"/>
    <w:link w:val="8"/>
    <w:qFormat/>
    <w:uiPriority w:val="0"/>
    <w:rPr>
      <w:rFonts w:ascii="Times New Roman" w:hAnsi="Times New Roman" w:eastAsia="黑体"/>
      <w:sz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1" Type="http://schemas.openxmlformats.org/officeDocument/2006/relationships/fontTable" Target="fontTable.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customXml" Target="../customXml/item1.xml"/><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4C4C4C"/>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 社区版_10.1.0.5707_F1E327BC-269C-435d-A152-05C5408002CA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2020-08-08T07:29:00Z</dcterms:created>
  <dc:creator>myt</dc:creator>
  <cp:lastModifiedBy>myt</cp:lastModifiedBy>
  <dcterms:modified xsi:type="dcterms:W3CDTF">2020-09-14T13:48:49Z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2052-10.1.0.5707</vt:lpwstr>
  </property>
</Properties>
</file>