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sz w:val="32"/>
          <w:szCs w:val="32"/>
        </w:rPr>
        <w:t xml:space="preserve">Response to Reviewers</w:t>
      </w:r>
    </w:p>
    <w:p>
      <w:pPr>
        <w:spacing w:after="40"/>
        <w:jc w:val="center"/>
      </w:pPr>
      <w:r>
        <w:rPr>
          <w:b/>
          <w:bCs/>
          <w:sz w:val="24"/>
          <w:szCs w:val="24"/>
        </w:rPr>
        <w:t xml:space="preserve">Manuscript TII-26-5047</w:t>
      </w:r>
    </w:p>
    <w:p>
      <w:pPr>
        <w:spacing w:after="240"/>
        <w:jc w:val="center"/>
      </w:pPr>
      <w:r>
        <w:rPr>
          <w:i/>
          <w:iCs/>
        </w:rPr>
        <w:t xml:space="preserve">RAMSES: Hierarchical Memory Orchestration for Single-Node Industrial AI Inference</w:t>
      </w:r>
    </w:p>
    <w:p>
      <w:pPr>
        <w:spacing w:after="120"/>
      </w:pPr>
      <w:r>
        <w:t xml:space="preserve">We thank the Associate Editor and the three reviewers for a careful and constructive reading. The manuscript has been substantially revised. In brief: (i) the theoretical model was reconstructed from independent, measurable observables and the circular α–β threshold, both theorems, and the duplicated transfer equation were removed; (ii) all deterministic-latency, WCET, control-stability, and IEC 61508/SIL claims (including the former SIL table) were removed or recast as empirical QoS observations with explicit non-safety disclaimers; (iii) the regime-aware controller and the single-node implementation are now fully specified, and a controller-disabled (policy-off) ablation isolates the policy from its mechanisms; (iv) energy is now measured as synchronized whole-node power (GPU NVML + CPU/DRAM RAPL) with a PDU cross-check; (v) baselines are external state-of-the-art systems, a named industrial task (MVTec AD/VisA/AI4I 2020) with task accuracy is added, and the four flagged references were corrected; and (vi) numerous consistency, symbol-definition, and presentation issues were fixed. Changed text is highlighted in the revised manuscript. Reviewer comments are quoted in brief; each response names the section changed.</w:t>
      </w:r>
    </w:p>
    <w:p>
      <w:pPr>
        <w:spacing w:after="240"/>
      </w:pPr>
      <w:r>
        <w:t xml:space="preserve">Note on format: this review version is typeset to the 10-page limit; author biographies and photographs, which IEEE requests only at acceptance, are omitted here and will be added at camera-ready.</w:t>
      </w:r>
    </w:p>
    <w:p>
      <w:pPr>
        <w:pStyle w:val="Heading1"/>
        <w:spacing w:after="120" w:before="240"/>
      </w:pPr>
      <w:r>
        <w:rPr>
          <w:b/>
          <w:bCs/>
        </w:rPr>
        <w:t xml:space="preserve">Associate Editor</w:t>
      </w:r>
    </w:p>
    <w:p>
      <w:pPr>
        <w:pBdr>
          <w:left w:val="single" w:color="999999" w:sz="12" w:space="8"/>
        </w:pBdr>
        <w:spacing w:after="40"/>
        <w:ind w:left="360"/>
      </w:pPr>
      <w:r>
        <w:rPr>
          <w:b/>
          <w:bCs/>
          <w:i/>
          <w:iCs/>
          <w:color w:val="555555"/>
        </w:rPr>
        <w:t xml:space="preserve">Comment. </w:t>
      </w:r>
      <w:r>
        <w:rPr>
          <w:i/>
          <w:iCs/>
          <w:color w:val="555555"/>
        </w:rPr>
        <w:t xml:space="preserve">(1) Fundamental inconsistencies and insufficient justification in the theoretical model, including the α/β regimes, the theorems, and the treatment of asynchronous transfer.</w:t>
      </w:r>
    </w:p>
    <w:p>
      <w:pPr>
        <w:spacing w:after="160"/>
      </w:pPr>
      <w:r>
        <w:rPr>
          <w:b/>
          <w:bCs/>
        </w:rPr>
        <w:t xml:space="preserve">Response. </w:t>
      </w:r>
      <w:r>
        <w:t xml:space="preserve">Section III was rebuilt. The two pressure ratios are now defined from independent observables — demand D, fast-tier capacity C_f, bidirectional transfer volumes V↑/V↓, direction-specific bandwidths B↑/B↓, prefetch-hit fraction h, fixed latency L₀, and measured queueing q. α=D/C_f and β are computed from these, so no boundary is defined by substituting itself (the former circular α_critical is gone). Asynchronous overlap is modeled with an explicit max{·} service-time term rather than adding the full transfer time. Both theorems and the unsupported convexity/bounded-variance arguments were removed; the model is now presented as an engineering classification tool with operational labels (capacity-limited / transfer-limited / coordination-dominated).</w:t>
      </w:r>
    </w:p>
    <w:p>
      <w:pPr>
        <w:pBdr>
          <w:left w:val="single" w:color="999999" w:sz="12" w:space="8"/>
        </w:pBdr>
        <w:spacing w:after="40"/>
        <w:ind w:left="360"/>
      </w:pPr>
      <w:r>
        <w:rPr>
          <w:b/>
          <w:bCs/>
          <w:i/>
          <w:iCs/>
          <w:color w:val="555555"/>
        </w:rPr>
        <w:t xml:space="preserve">Comment. </w:t>
      </w:r>
      <w:r>
        <w:rPr>
          <w:i/>
          <w:iCs/>
          <w:color w:val="555555"/>
        </w:rPr>
        <w:t xml:space="preserve">(2) Unsupported deterministic-latency, WCET, control-stability, and especially IEC 61508/SIL claims.</w:t>
      </w:r>
    </w:p>
    <w:p>
      <w:pPr>
        <w:spacing w:after="160"/>
      </w:pPr>
      <w:r>
        <w:rPr>
          <w:b/>
          <w:bCs/>
        </w:rPr>
        <w:t xml:space="preserve">Response. </w:t>
      </w:r>
      <w:r>
        <w:t xml:space="preserve">All such claims and the former SIL/PFD table were removed. Section III now states explicitly that the measured latencies are QoS observations for non-safety serving and are not WCET bounds, determinism guarantees, stability proofs, or SIL/PFD evidence; a deadline-miss fraction is explicitly distinguished from a probability of dangerous failure on demand.</w:t>
      </w:r>
    </w:p>
    <w:p>
      <w:pPr>
        <w:pBdr>
          <w:left w:val="single" w:color="999999" w:sz="12" w:space="8"/>
        </w:pBdr>
        <w:spacing w:after="40"/>
        <w:ind w:left="360"/>
      </w:pPr>
      <w:r>
        <w:rPr>
          <w:b/>
          <w:bCs/>
          <w:i/>
          <w:iCs/>
          <w:color w:val="555555"/>
        </w:rPr>
        <w:t xml:space="preserve">Comment. </w:t>
      </w:r>
      <w:r>
        <w:rPr>
          <w:i/>
          <w:iCs/>
          <w:color w:val="555555"/>
        </w:rPr>
        <w:t xml:space="preserve">(3) Insufficient experimental evidence for the industrial claims (synthetic traces, unclear workload configurations, limited multi-GPU, 2-ms/SLA inconsistencies).</w:t>
      </w:r>
    </w:p>
    <w:p>
      <w:pPr>
        <w:spacing w:after="160"/>
      </w:pPr>
      <w:r>
        <w:rPr>
          <w:b/>
          <w:bCs/>
        </w:rPr>
        <w:t xml:space="preserve">Response. </w:t>
      </w:r>
      <w:r>
        <w:t xml:space="preserve">The abstract, introduction, evaluation, and conclusion identify the 72-hour input as a parameterized synthetic trace and scope the contribution to single-node laboratory serving (reflected in the revised title). The 2-ms/TSN/deterministic claims were removed; one QoS event (latency &gt; 1.5× configuration median) and one rate (0.60% vs 8.70%) are used consistently. A named, reproducible industrial task (MVTec AD, VisA, AI4I 2020) with task accuracy is added. Multi-GPU results are explicitly bounded to two-GPU intra-node placement.</w:t>
      </w:r>
    </w:p>
    <w:p>
      <w:pPr>
        <w:pBdr>
          <w:left w:val="single" w:color="999999" w:sz="12" w:space="8"/>
        </w:pBdr>
        <w:spacing w:after="40"/>
        <w:ind w:left="360"/>
      </w:pPr>
      <w:r>
        <w:rPr>
          <w:b/>
          <w:bCs/>
          <w:i/>
          <w:iCs/>
          <w:color w:val="555555"/>
        </w:rPr>
        <w:t xml:space="preserve">Comment. </w:t>
      </w:r>
      <w:r>
        <w:rPr>
          <w:i/>
          <w:iCs/>
          <w:color w:val="555555"/>
        </w:rPr>
        <w:t xml:space="preserve">(4) Inadequate comparison with state-of-the-art, incomplete implementation/parameter details, insufficient reproducibility.</w:t>
      </w:r>
    </w:p>
    <w:p>
      <w:pPr>
        <w:spacing w:after="160"/>
      </w:pPr>
      <w:r>
        <w:rPr>
          <w:b/>
          <w:bCs/>
        </w:rPr>
        <w:t xml:space="preserve">Response. </w:t>
      </w:r>
      <w:r>
        <w:t xml:space="preserve">Baselines are now external systems (FlexGen, SwapAdvisor, NEO, SpecOffload, vLLM; Orca positioned as related work). The controller (200 ms sampling, 5% hysteresis, three-sample switching, per-state actions, lexicographic objective, O(1)/O(log n)/O(n) complexity) and the GPU Booster (LD_PRELOAD interception, GDS path with staged fallback, 4 MB alignment, partial reload, output-equivalence checks) are specified. The review artifact bundles the runtime layer, trace generator, baseline scripts, measurement schema, and raw per-run logs.</w:t>
      </w:r>
    </w:p>
    <w:p>
      <w:pPr>
        <w:pBdr>
          <w:left w:val="single" w:color="999999" w:sz="12" w:space="8"/>
        </w:pBdr>
        <w:spacing w:after="40"/>
        <w:ind w:left="360"/>
      </w:pPr>
      <w:r>
        <w:rPr>
          <w:b/>
          <w:bCs/>
          <w:i/>
          <w:iCs/>
          <w:color w:val="555555"/>
        </w:rPr>
        <w:t xml:space="preserve">Comment. </w:t>
      </w:r>
      <w:r>
        <w:rPr>
          <w:i/>
          <w:iCs/>
          <w:color w:val="555555"/>
        </w:rPr>
        <w:t xml:space="preserve">(5) Presentation and consistency: duplicated equations, undefined symbols, reference inaccuracies, limited statistical/energy reporting.</w:t>
      </w:r>
    </w:p>
    <w:p>
      <w:pPr>
        <w:spacing w:after="160"/>
      </w:pPr>
      <w:r>
        <w:rPr>
          <w:b/>
          <w:bCs/>
        </w:rPr>
        <w:t xml:space="preserve">Response. </w:t>
      </w:r>
      <w:r>
        <w:t xml:space="preserve">The duplicate equation was removed; α, β, γ, and EDP are defined at first use; the four flagged references were corrected against primary records; FlexGen is positioned as GPU–CPU–disk; and energy is reported as synchronized whole-node power with confidence intervals computed from released raw runs.</w:t>
      </w:r>
    </w:p>
    <w:p>
      <w:pPr>
        <w:pBdr>
          <w:bottom w:val="single" w:color="CCCCCC" w:sz="6" w:space="4"/>
        </w:pBdr>
        <w:spacing w:after="120"/>
      </w:pPr>
    </w:p>
    <w:p>
      <w:pPr>
        <w:pStyle w:val="Heading1"/>
        <w:spacing w:after="120" w:before="240"/>
      </w:pPr>
      <w:r>
        <w:rPr>
          <w:b/>
          <w:bCs/>
        </w:rPr>
        <w:t xml:space="preserve">Reviewer 1</w:t>
      </w:r>
    </w:p>
    <w:p>
      <w:pPr>
        <w:pBdr>
          <w:left w:val="single" w:color="999999" w:sz="12" w:space="8"/>
        </w:pBdr>
        <w:spacing w:after="40"/>
        <w:ind w:left="360"/>
      </w:pPr>
      <w:r>
        <w:rPr>
          <w:b/>
          <w:bCs/>
          <w:i/>
          <w:iCs/>
          <w:color w:val="555555"/>
        </w:rPr>
        <w:t xml:space="preserve">Comment. </w:t>
      </w:r>
      <w:r>
        <w:rPr>
          <w:i/>
          <w:iCs/>
          <w:color w:val="555555"/>
        </w:rPr>
        <w:t xml:space="preserve">Theorem 1 mostly restates the regime definitions and Theorem 2 derives bounded variance from bounded second moments — temper the language, or derive.</w:t>
      </w:r>
    </w:p>
    <w:p>
      <w:pPr>
        <w:spacing w:after="160"/>
      </w:pPr>
      <w:r>
        <w:rPr>
          <w:b/>
          <w:bCs/>
        </w:rPr>
        <w:t xml:space="preserve">Response. </w:t>
      </w:r>
      <w:r>
        <w:t xml:space="preserve">Both theorems were removed rather than restated. Section III now presents an overlap-aware operating model with operational labels and an explicit statement that these are not theorems and imply neither zero swapping nor a worst-case bound.</w:t>
      </w:r>
    </w:p>
    <w:p>
      <w:pPr>
        <w:pBdr>
          <w:left w:val="single" w:color="999999" w:sz="12" w:space="8"/>
        </w:pBdr>
        <w:spacing w:after="40"/>
        <w:ind w:left="360"/>
      </w:pPr>
      <w:r>
        <w:rPr>
          <w:b/>
          <w:bCs/>
          <w:i/>
          <w:iCs/>
          <w:color w:val="555555"/>
        </w:rPr>
        <w:t xml:space="preserve">Comment. </w:t>
      </w:r>
      <w:r>
        <w:rPr>
          <w:i/>
          <w:iCs/>
          <w:color w:val="555555"/>
        </w:rPr>
        <w:t xml:space="preserve">The industrial validation rests on a synthetic trace, yet the abstract and introduction read as field results — describe it as a statistically-calibrated synthetic trace.</w:t>
      </w:r>
    </w:p>
    <w:p>
      <w:pPr>
        <w:spacing w:after="160"/>
      </w:pPr>
      <w:r>
        <w:rPr>
          <w:b/>
          <w:bCs/>
        </w:rPr>
        <w:t xml:space="preserve">Response. </w:t>
      </w:r>
      <w:r>
        <w:t xml:space="preserve">The abstract, introduction, evaluation, and conclusion now describe the 72-hour input as a parameterized synthetic arrival trace and make no field-result claim.</w:t>
      </w:r>
    </w:p>
    <w:p>
      <w:pPr>
        <w:pBdr>
          <w:left w:val="single" w:color="999999" w:sz="12" w:space="8"/>
        </w:pBdr>
        <w:spacing w:after="40"/>
        <w:ind w:left="360"/>
      </w:pPr>
      <w:r>
        <w:rPr>
          <w:b/>
          <w:bCs/>
          <w:i/>
          <w:iCs/>
          <w:color w:val="555555"/>
        </w:rPr>
        <w:t xml:space="preserve">Comment. </w:t>
      </w:r>
      <w:r>
        <w:rPr>
          <w:i/>
          <w:iCs/>
          <w:color w:val="555555"/>
        </w:rPr>
        <w:t xml:space="preserve">Single-node scope sits awkwardly against the industrial-fleet framing; multi-GPU results are brief and lack failure analysis — expand, or scope to single-node serving.</w:t>
      </w:r>
    </w:p>
    <w:p>
      <w:pPr>
        <w:spacing w:after="160"/>
      </w:pPr>
      <w:r>
        <w:rPr>
          <w:b/>
          <w:bCs/>
        </w:rPr>
        <w:t xml:space="preserve">Response. </w:t>
      </w:r>
      <w:r>
        <w:t xml:space="preserve">The contribution and title are scoped to single-node serving. The Multi-GPU Scope paragraph limits results to two-GPU intra-node placement and explicitly withdraws 4/8-GPU and fleet-level claims, noting the absent fabric-saturation and failure-injection analysis.</w:t>
      </w:r>
    </w:p>
    <w:p>
      <w:pPr>
        <w:pBdr>
          <w:left w:val="single" w:color="999999" w:sz="12" w:space="8"/>
        </w:pBdr>
        <w:spacing w:after="40"/>
        <w:ind w:left="360"/>
      </w:pPr>
      <w:r>
        <w:rPr>
          <w:b/>
          <w:bCs/>
          <w:i/>
          <w:iCs/>
          <w:color w:val="555555"/>
        </w:rPr>
        <w:t xml:space="preserve">Comment. </w:t>
      </w:r>
      <w:r>
        <w:rPr>
          <w:i/>
          <w:iCs/>
          <w:color w:val="555555"/>
        </w:rPr>
        <w:t xml:space="preserve">Much of the central evidence rests on the synthetic trace, but code is promised only on acceptance — release anonymized trace-generation scripts during review.</w:t>
      </w:r>
    </w:p>
    <w:p>
      <w:pPr>
        <w:spacing w:after="160"/>
      </w:pPr>
      <w:r>
        <w:rPr>
          <w:b/>
          <w:bCs/>
        </w:rPr>
        <w:t xml:space="preserve">Response. </w:t>
      </w:r>
      <w:r>
        <w:t xml:space="preserve">The anonymized trace generator (code/generate_trace.py) and analysis scripts are included with the submission; the schedule regenerates deterministically from the published seed and parameters.</w:t>
      </w:r>
    </w:p>
    <w:p>
      <w:pPr>
        <w:pBdr>
          <w:left w:val="single" w:color="999999" w:sz="12" w:space="8"/>
        </w:pBdr>
        <w:spacing w:after="40"/>
        <w:ind w:left="360"/>
      </w:pPr>
      <w:r>
        <w:rPr>
          <w:b/>
          <w:bCs/>
          <w:i/>
          <w:iCs/>
          <w:color w:val="555555"/>
        </w:rPr>
        <w:t xml:space="preserve">Comment. </w:t>
      </w:r>
      <w:r>
        <w:rPr>
          <w:i/>
          <w:iCs/>
          <w:color w:val="555555"/>
        </w:rPr>
        <w:t xml:space="preserve">Eqs. (9) and (12) are identical and the PDF has rendering corruption — merge the duplicate equation and recompile cleanly.</w:t>
      </w:r>
    </w:p>
    <w:p>
      <w:pPr>
        <w:spacing w:after="160"/>
      </w:pPr>
      <w:r>
        <w:rPr>
          <w:b/>
          <w:bCs/>
        </w:rPr>
        <w:t xml:space="preserve">Response. </w:t>
      </w:r>
      <w:r>
        <w:t xml:space="preserve">The duplicated transfer equation was eliminated; the model is expressed once. The manuscript is compiled cleanly (no track changes) and the equations render correctly.</w:t>
      </w:r>
    </w:p>
    <w:p>
      <w:pPr>
        <w:pBdr>
          <w:bottom w:val="single" w:color="CCCCCC" w:sz="6" w:space="4"/>
        </w:pBdr>
        <w:spacing w:after="120"/>
      </w:pPr>
    </w:p>
    <w:p>
      <w:pPr>
        <w:pStyle w:val="Heading1"/>
        <w:spacing w:after="120" w:before="240"/>
      </w:pPr>
      <w:r>
        <w:rPr>
          <w:b/>
          <w:bCs/>
        </w:rPr>
        <w:t xml:space="preserve">Reviewer 2</w:t>
      </w:r>
    </w:p>
    <w:p>
      <w:pPr>
        <w:pBdr>
          <w:left w:val="single" w:color="999999" w:sz="12" w:space="8"/>
        </w:pBdr>
        <w:spacing w:after="40"/>
        <w:ind w:left="360"/>
      </w:pPr>
      <w:r>
        <w:rPr>
          <w:b/>
          <w:bCs/>
          <w:i/>
          <w:iCs/>
          <w:color w:val="555555"/>
        </w:rPr>
        <w:t xml:space="preserve">Comment. </w:t>
      </w:r>
      <w:r>
        <w:rPr>
          <w:i/>
          <w:iCs/>
          <w:color w:val="555555"/>
        </w:rPr>
        <w:t xml:space="preserve">(1) The abstract and conclusion are poor; challenges not stated; specific percentage improvement not given.</w:t>
      </w:r>
    </w:p>
    <w:p>
      <w:pPr>
        <w:spacing w:after="160"/>
      </w:pPr>
      <w:r>
        <w:rPr>
          <w:b/>
          <w:bCs/>
        </w:rPr>
        <w:t xml:space="preserve">Response. </w:t>
      </w:r>
      <w:r>
        <w:t xml:space="preserve">The abstract and conclusion now state the challenge, the single-node scope, and the headline numbers: 34–41% lower inference latency across five models, 47% lower whole-node energy per token (70% lower EDP), 61% higher throughput, and 60%/15% reductions in model-load time and peak VRAM.</w:t>
      </w:r>
    </w:p>
    <w:p>
      <w:pPr>
        <w:pBdr>
          <w:left w:val="single" w:color="999999" w:sz="12" w:space="8"/>
        </w:pBdr>
        <w:spacing w:after="40"/>
        <w:ind w:left="360"/>
      </w:pPr>
      <w:r>
        <w:rPr>
          <w:b/>
          <w:bCs/>
          <w:i/>
          <w:iCs/>
          <w:color w:val="555555"/>
        </w:rPr>
        <w:t xml:space="preserve">Comment. </w:t>
      </w:r>
      <w:r>
        <w:rPr>
          <w:i/>
          <w:iCs/>
          <w:color w:val="555555"/>
        </w:rPr>
        <w:t xml:space="preserve">(2) Hard to find the main contributions; give convincing advantages over state-of-the-art.</w:t>
      </w:r>
    </w:p>
    <w:p>
      <w:pPr>
        <w:spacing w:after="160"/>
      </w:pPr>
      <w:r>
        <w:rPr>
          <w:b/>
          <w:bCs/>
        </w:rPr>
        <w:t xml:space="preserve">Response. </w:t>
      </w:r>
      <w:r>
        <w:t xml:space="preserve">The contribution bullets now name the falsifiable operating model, the specified regime-to-action controller, the deployable single-node realization, and the boundary-seeking evidence; Tables I–II position RAMSES against competing systems.</w:t>
      </w:r>
    </w:p>
    <w:p>
      <w:pPr>
        <w:pBdr>
          <w:left w:val="single" w:color="999999" w:sz="12" w:space="8"/>
        </w:pBdr>
        <w:spacing w:after="40"/>
        <w:ind w:left="360"/>
      </w:pPr>
      <w:r>
        <w:rPr>
          <w:b/>
          <w:bCs/>
          <w:i/>
          <w:iCs/>
          <w:color w:val="555555"/>
        </w:rPr>
        <w:t xml:space="preserve">Comment. </w:t>
      </w:r>
      <w:r>
        <w:rPr>
          <w:i/>
          <w:iCs/>
          <w:color w:val="555555"/>
        </w:rPr>
        <w:t xml:space="preserve">(3) Many assumptions are not justified; are they reasonable in real systems?</w:t>
      </w:r>
    </w:p>
    <w:p>
      <w:pPr>
        <w:spacing w:after="160"/>
      </w:pPr>
      <w:r>
        <w:rPr>
          <w:b/>
          <w:bCs/>
        </w:rPr>
        <w:t xml:space="preserve">Response. </w:t>
      </w:r>
      <w:r>
        <w:t xml:space="preserve">Model quantities are now defined as measurable observables rather than assumptions, and Section III states the scope and non-safety limitations explicitly.</w:t>
      </w:r>
    </w:p>
    <w:p>
      <w:pPr>
        <w:pBdr>
          <w:left w:val="single" w:color="999999" w:sz="12" w:space="8"/>
        </w:pBdr>
        <w:spacing w:after="40"/>
        <w:ind w:left="360"/>
      </w:pPr>
      <w:r>
        <w:rPr>
          <w:b/>
          <w:bCs/>
          <w:i/>
          <w:iCs/>
          <w:color w:val="555555"/>
        </w:rPr>
        <w:t xml:space="preserve">Comment. </w:t>
      </w:r>
      <w:r>
        <w:rPr>
          <w:i/>
          <w:iCs/>
          <w:color w:val="555555"/>
        </w:rPr>
        <w:t xml:space="preserve">(4) Authors rely only on simulations; discuss real-world challenges and potential solutions.</w:t>
      </w:r>
    </w:p>
    <w:p>
      <w:pPr>
        <w:spacing w:after="160"/>
      </w:pPr>
      <w:r>
        <w:rPr>
          <w:b/>
          <w:bCs/>
        </w:rPr>
        <w:t xml:space="preserve">Response. </w:t>
      </w:r>
      <w:r>
        <w:t xml:space="preserve">Section VI discusses deployment challenges (field traces, whole-node power, multi-node fabrics, HIL/SIL validation) and the directions that would address them; the testbed is described as a laboratory server, not a deployed gateway.</w:t>
      </w:r>
    </w:p>
    <w:p>
      <w:pPr>
        <w:pBdr>
          <w:left w:val="single" w:color="999999" w:sz="12" w:space="8"/>
        </w:pBdr>
        <w:spacing w:after="40"/>
        <w:ind w:left="360"/>
      </w:pPr>
      <w:r>
        <w:rPr>
          <w:b/>
          <w:bCs/>
          <w:i/>
          <w:iCs/>
          <w:color w:val="555555"/>
        </w:rPr>
        <w:t xml:space="preserve">Comment. </w:t>
      </w:r>
      <w:r>
        <w:rPr>
          <w:i/>
          <w:iCs/>
          <w:color w:val="555555"/>
        </w:rPr>
        <w:t xml:space="preserve">(5) Benchmarks are simplified versions of the method; compare with similar methods in the literature.</w:t>
      </w:r>
    </w:p>
    <w:p>
      <w:pPr>
        <w:spacing w:after="160"/>
      </w:pPr>
      <w:r>
        <w:rPr>
          <w:b/>
          <w:bCs/>
        </w:rPr>
        <w:t xml:space="preserve">Response. </w:t>
      </w:r>
      <w:r>
        <w:t xml:space="preserve">The baselines are now external state-of-the-art serving systems (FlexGen, SwapAdvisor, NEO, SpecOffload, vLLM), not ablations; per-system versions/configurations are documented in the artifact.</w:t>
      </w:r>
    </w:p>
    <w:p>
      <w:pPr>
        <w:pBdr>
          <w:left w:val="single" w:color="999999" w:sz="12" w:space="8"/>
        </w:pBdr>
        <w:spacing w:after="40"/>
        <w:ind w:left="360"/>
      </w:pPr>
      <w:r>
        <w:rPr>
          <w:b/>
          <w:bCs/>
          <w:i/>
          <w:iCs/>
          <w:color w:val="555555"/>
        </w:rPr>
        <w:t xml:space="preserve">Comment. </w:t>
      </w:r>
      <w:r>
        <w:rPr>
          <w:i/>
          <w:iCs/>
          <w:color w:val="555555"/>
        </w:rPr>
        <w:t xml:space="preserve">(6) Discuss how algorithm parameters are computed/selected and their sensitivity.</w:t>
      </w:r>
    </w:p>
    <w:p>
      <w:pPr>
        <w:spacing w:after="160"/>
      </w:pPr>
      <w:r>
        <w:rPr>
          <w:b/>
          <w:bCs/>
        </w:rPr>
        <w:t xml:space="preserve">Response. </w:t>
      </w:r>
      <w:r>
        <w:t xml:space="preserve">The controller parameters (200 ms sampling, 5% hysteresis, three-sample switching, 32-step reuse window) and the 4 MB block size are stated with their roles, and a sensitivity sweep (Fig. on p99 vs block size / sampling / hysteresis / reuse window) locates the chosen operating points.</w:t>
      </w:r>
    </w:p>
    <w:p>
      <w:pPr>
        <w:pBdr>
          <w:left w:val="single" w:color="999999" w:sz="12" w:space="8"/>
        </w:pBdr>
        <w:spacing w:after="40"/>
        <w:ind w:left="360"/>
      </w:pPr>
      <w:r>
        <w:rPr>
          <w:b/>
          <w:bCs/>
          <w:i/>
          <w:iCs/>
          <w:color w:val="555555"/>
        </w:rPr>
        <w:t xml:space="preserve">Comment. </w:t>
      </w:r>
      <w:r>
        <w:rPr>
          <w:i/>
          <w:iCs/>
          <w:color w:val="555555"/>
        </w:rPr>
        <w:t xml:space="preserve">(7) The complexity of the proposed algorithm should be analyzed.</w:t>
      </w:r>
    </w:p>
    <w:p>
      <w:pPr>
        <w:spacing w:after="160"/>
      </w:pPr>
      <w:r>
        <w:rPr>
          <w:b/>
          <w:bCs/>
        </w:rPr>
        <w:t xml:space="preserve">Response. </w:t>
      </w:r>
      <w:r>
        <w:t xml:space="preserve">Section III-F gives O(1) classification/decision, O(log n) candidate maintenance, and O(n) metadata.</w:t>
      </w:r>
    </w:p>
    <w:p>
      <w:pPr>
        <w:pBdr>
          <w:left w:val="single" w:color="999999" w:sz="12" w:space="8"/>
        </w:pBdr>
        <w:spacing w:after="40"/>
        <w:ind w:left="360"/>
      </w:pPr>
      <w:r>
        <w:rPr>
          <w:b/>
          <w:bCs/>
          <w:i/>
          <w:iCs/>
          <w:color w:val="555555"/>
        </w:rPr>
        <w:t xml:space="preserve">Comment. </w:t>
      </w:r>
      <w:r>
        <w:rPr>
          <w:i/>
          <w:iCs/>
          <w:color w:val="555555"/>
        </w:rPr>
        <w:t xml:space="preserve">(8) Too few figures.</w:t>
      </w:r>
    </w:p>
    <w:p>
      <w:pPr>
        <w:spacing w:after="160"/>
      </w:pPr>
      <w:r>
        <w:rPr>
          <w:b/>
          <w:bCs/>
        </w:rPr>
        <w:t xml:space="preserve">Response. </w:t>
      </w:r>
      <w:r>
        <w:t xml:space="preserve">The revision presents four figures (architecture; measured operating map with (α,β) points; energy–latency frontier; parameter sensitivity) plus the data tables; the previously criticized bar-chart figure was replaced by exact tabulated values.</w:t>
      </w:r>
    </w:p>
    <w:p>
      <w:pPr>
        <w:pBdr>
          <w:left w:val="single" w:color="999999" w:sz="12" w:space="8"/>
        </w:pBdr>
        <w:spacing w:after="40"/>
        <w:ind w:left="360"/>
      </w:pPr>
      <w:r>
        <w:rPr>
          <w:b/>
          <w:bCs/>
          <w:i/>
          <w:iCs/>
          <w:color w:val="555555"/>
        </w:rPr>
        <w:t xml:space="preserve">Comment. </w:t>
      </w:r>
      <w:r>
        <w:rPr>
          <w:i/>
          <w:iCs/>
          <w:color w:val="555555"/>
        </w:rPr>
        <w:t xml:space="preserve">(9) Many symbols are not explained, e.g., α, EDP, β.</w:t>
      </w:r>
    </w:p>
    <w:p>
      <w:pPr>
        <w:spacing w:after="160"/>
      </w:pPr>
      <w:r>
        <w:rPr>
          <w:b/>
          <w:bCs/>
        </w:rPr>
        <w:t xml:space="preserve">Response. </w:t>
      </w:r>
      <w:r>
        <w:t xml:space="preserve">α, β, γ, and EDP are now defined at first technical use.</w:t>
      </w:r>
    </w:p>
    <w:p>
      <w:pPr>
        <w:pBdr>
          <w:left w:val="single" w:color="999999" w:sz="12" w:space="8"/>
        </w:pBdr>
        <w:spacing w:after="40"/>
        <w:ind w:left="360"/>
      </w:pPr>
      <w:r>
        <w:rPr>
          <w:b/>
          <w:bCs/>
          <w:i/>
          <w:iCs/>
          <w:color w:val="555555"/>
        </w:rPr>
        <w:t xml:space="preserve">Comment. </w:t>
      </w:r>
      <w:r>
        <w:rPr>
          <w:i/>
          <w:iCs/>
          <w:color w:val="555555"/>
        </w:rPr>
        <w:t xml:space="preserve">(10) Fig. 4 is too simple and its percentages are not well given.</w:t>
      </w:r>
    </w:p>
    <w:p>
      <w:pPr>
        <w:spacing w:after="160"/>
      </w:pPr>
      <w:r>
        <w:rPr>
          <w:b/>
          <w:bCs/>
        </w:rPr>
        <w:t xml:space="preserve">Response. </w:t>
      </w:r>
      <w:r>
        <w:t xml:space="preserve">That bar chart was removed; its four quantities (load time, peak VRAM, latency, failures) are now reported as exact values in Tables (load-time/VRAM, absolute latency percentiles, and the QoS table).</w:t>
      </w:r>
    </w:p>
    <w:p>
      <w:pPr>
        <w:pBdr>
          <w:bottom w:val="single" w:color="CCCCCC" w:sz="6" w:space="4"/>
        </w:pBdr>
        <w:spacing w:after="120"/>
      </w:pPr>
    </w:p>
    <w:p>
      <w:pPr>
        <w:pStyle w:val="Heading1"/>
        <w:spacing w:after="120" w:before="240"/>
      </w:pPr>
      <w:r>
        <w:rPr>
          <w:b/>
          <w:bCs/>
        </w:rPr>
        <w:t xml:space="preserve">Reviewer 3</w:t>
      </w:r>
    </w:p>
    <w:p>
      <w:pPr>
        <w:pBdr>
          <w:left w:val="single" w:color="999999" w:sz="12" w:space="8"/>
        </w:pBdr>
        <w:spacing w:after="40"/>
        <w:ind w:left="360"/>
      </w:pPr>
      <w:r>
        <w:rPr>
          <w:b/>
          <w:bCs/>
          <w:i/>
          <w:iCs/>
          <w:color w:val="555555"/>
        </w:rPr>
        <w:t xml:space="preserve">Comment. </w:t>
      </w:r>
      <w:r>
        <w:rPr>
          <w:i/>
          <w:iCs/>
          <w:color w:val="555555"/>
        </w:rPr>
        <w:t xml:space="preserve">(1) The 2-ms deterministic-latency claim conflicts with the manuscript's own latency scale; the SLA event is defined two ways and rates differ.</w:t>
      </w:r>
    </w:p>
    <w:p>
      <w:pPr>
        <w:spacing w:after="160"/>
      </w:pPr>
      <w:r>
        <w:rPr>
          <w:b/>
          <w:bCs/>
        </w:rPr>
        <w:t xml:space="preserve">Response. </w:t>
      </w:r>
      <w:r>
        <w:t xml:space="preserve">The 2-ms, TSN-window, and deterministic claims were removed. A single QoS definition (latency &gt; 1.5× configuration median) and one rate (0.60% vs 8.70%) are used throughout. Section IV reports a four-task latency taxonomy (scoring/continuation/TTFT/generation) with model, precision, lengths, batch, concurrency, and count, and absolute median/P95/P99/P99.9/max latency generated from the 16,000-record raw log. The 1.68 ms control-plane overhead is reported against the measured PyTorch median (871.6 ms) and decomposed into sampling/classification/policy-application.</w:t>
      </w:r>
    </w:p>
    <w:p>
      <w:pPr>
        <w:pBdr>
          <w:left w:val="single" w:color="999999" w:sz="12" w:space="8"/>
        </w:pBdr>
        <w:spacing w:after="40"/>
        <w:ind w:left="360"/>
      </w:pPr>
      <w:r>
        <w:rPr>
          <w:b/>
          <w:bCs/>
          <w:i/>
          <w:iCs/>
          <w:color w:val="555555"/>
        </w:rPr>
        <w:t xml:space="preserve">Comment. </w:t>
      </w:r>
      <w:r>
        <w:rPr>
          <w:i/>
          <w:iCs/>
          <w:color w:val="555555"/>
        </w:rPr>
        <w:t xml:space="preserve">(2) The α–α_critical boundary and Theorem 1 do not follow; convexity is unsupported.</w:t>
      </w:r>
    </w:p>
    <w:p>
      <w:pPr>
        <w:spacing w:after="160"/>
      </w:pPr>
      <w:r>
        <w:rPr>
          <w:b/>
          <w:bCs/>
        </w:rPr>
        <w:t xml:space="preserve">Response. </w:t>
      </w:r>
      <w:r>
        <w:t xml:space="preserve">The circular α_critical construction and the theorem/convexity apparatus were removed. The model now uses independent workload-demand, capacity, transfer-volume, bandwidth, reuse, and queueing variables, and states that no critical value is defined by substituting a boundary into itself.</w:t>
      </w:r>
    </w:p>
    <w:p>
      <w:pPr>
        <w:pBdr>
          <w:left w:val="single" w:color="999999" w:sz="12" w:space="8"/>
        </w:pBdr>
        <w:spacing w:after="40"/>
        <w:ind w:left="360"/>
      </w:pPr>
      <w:r>
        <w:rPr>
          <w:b/>
          <w:bCs/>
          <w:i/>
          <w:iCs/>
          <w:color w:val="555555"/>
        </w:rPr>
        <w:t xml:space="preserve">Comment. </w:t>
      </w:r>
      <w:r>
        <w:rPr>
          <w:i/>
          <w:iCs/>
          <w:color w:val="555555"/>
        </w:rPr>
        <w:t xml:space="preserve">(3) The additive latency model is inconsistent with the claimed asynchronous overlap; β omits several terms.</w:t>
      </w:r>
    </w:p>
    <w:p>
      <w:pPr>
        <w:spacing w:after="160"/>
      </w:pPr>
      <w:r>
        <w:rPr>
          <w:b/>
          <w:bCs/>
        </w:rPr>
        <w:t xml:space="preserve">Response. </w:t>
      </w:r>
      <w:r>
        <w:t xml:space="preserve">The model now uses a max{·} overlap term with direction-specific volumes and bandwidths, prefetch hits, fixed latency, queueing, block rounding, and a synchronization term, and distinguishes occupancy from transfer volume.</w:t>
      </w:r>
    </w:p>
    <w:p>
      <w:pPr>
        <w:pBdr>
          <w:left w:val="single" w:color="999999" w:sz="12" w:space="8"/>
        </w:pBdr>
        <w:spacing w:after="40"/>
        <w:ind w:left="360"/>
      </w:pPr>
      <w:r>
        <w:rPr>
          <w:b/>
          <w:bCs/>
          <w:i/>
          <w:iCs/>
          <w:color w:val="555555"/>
        </w:rPr>
        <w:t xml:space="preserve">Comment. </w:t>
      </w:r>
      <w:r>
        <w:rPr>
          <w:i/>
          <w:iCs/>
          <w:color w:val="555555"/>
        </w:rPr>
        <w:t xml:space="preserve">(4) Theorem 2, the WCET statement, and the control-loop proposition do not establish deterministic operation.</w:t>
      </w:r>
    </w:p>
    <w:p>
      <w:pPr>
        <w:spacing w:after="160"/>
      </w:pPr>
      <w:r>
        <w:rPr>
          <w:b/>
          <w:bCs/>
        </w:rPr>
        <w:t xml:space="preserve">Response. </w:t>
      </w:r>
      <w:r>
        <w:t xml:space="preserve">These were removed and recast as empirical QoS observations with an explicit disclaimer; the terms guarantee, WCET, and preserve stability are no longer used as claims.</w:t>
      </w:r>
    </w:p>
    <w:p>
      <w:pPr>
        <w:pBdr>
          <w:left w:val="single" w:color="999999" w:sz="12" w:space="8"/>
        </w:pBdr>
        <w:spacing w:after="40"/>
        <w:ind w:left="360"/>
      </w:pPr>
      <w:r>
        <w:rPr>
          <w:b/>
          <w:bCs/>
          <w:i/>
          <w:iCs/>
          <w:color w:val="555555"/>
        </w:rPr>
        <w:t xml:space="preserve">Comment. </w:t>
      </w:r>
      <w:r>
        <w:rPr>
          <w:i/>
          <w:iCs/>
          <w:color w:val="555555"/>
        </w:rPr>
        <w:t xml:space="preserve">(5) The IEC 61508 SIL/PFD mapping is invalid and potentially safety-misleading.</w:t>
      </w:r>
    </w:p>
    <w:p>
      <w:pPr>
        <w:spacing w:after="160"/>
      </w:pPr>
      <w:r>
        <w:rPr>
          <w:b/>
          <w:bCs/>
        </w:rPr>
        <w:t xml:space="preserve">Response. </w:t>
      </w:r>
      <w:r>
        <w:t xml:space="preserve">Table III and all SIL-compliant / approaches-SIL claims were removed. Deadline misses are reported only as a QoS/reliability metric, with an explicit statement that this is not functional-safety evidence.</w:t>
      </w:r>
    </w:p>
    <w:p>
      <w:pPr>
        <w:pBdr>
          <w:left w:val="single" w:color="999999" w:sz="12" w:space="8"/>
        </w:pBdr>
        <w:spacing w:after="40"/>
        <w:ind w:left="360"/>
      </w:pPr>
      <w:r>
        <w:rPr>
          <w:b/>
          <w:bCs/>
          <w:i/>
          <w:iCs/>
          <w:color w:val="555555"/>
        </w:rPr>
        <w:t xml:space="preserve">Comment. </w:t>
      </w:r>
      <w:r>
        <w:rPr>
          <w:i/>
          <w:iCs/>
          <w:color w:val="555555"/>
        </w:rPr>
        <w:t xml:space="preserve">(6) The regime-aware controller is neither specified nor validated.</w:t>
      </w:r>
    </w:p>
    <w:p>
      <w:pPr>
        <w:spacing w:after="160"/>
      </w:pPr>
      <w:r>
        <w:rPr>
          <w:b/>
          <w:bCs/>
        </w:rPr>
        <w:t xml:space="preserve">Response. </w:t>
      </w:r>
      <w:r>
        <w:t xml:space="preserve">The controller is fully specified (estimator, 200 ms sampling, 5% hysteresis, three-sample switching, per-state actions, lexicographic objective, complexity, per-decision overhead). A policy-off configuration — all three modules on, regime switching off, paired trace/seed — isolates the controller: disabling it raises p99 latency 22.9% (671→825 ms) and per-request energy 21.5% (278→338 J).</w:t>
      </w:r>
    </w:p>
    <w:p>
      <w:pPr>
        <w:pBdr>
          <w:left w:val="single" w:color="999999" w:sz="12" w:space="8"/>
        </w:pBdr>
        <w:spacing w:after="40"/>
        <w:ind w:left="360"/>
      </w:pPr>
      <w:r>
        <w:rPr>
          <w:b/>
          <w:bCs/>
          <w:i/>
          <w:iCs/>
          <w:color w:val="555555"/>
        </w:rPr>
        <w:t xml:space="preserve">Comment. </w:t>
      </w:r>
      <w:r>
        <w:rPr>
          <w:i/>
          <w:iCs/>
          <w:color w:val="555555"/>
        </w:rPr>
        <w:t xml:space="preserve">(7) The implementation is too underspecified to assess feasibility or novelty.</w:t>
      </w:r>
    </w:p>
    <w:p>
      <w:pPr>
        <w:spacing w:after="160"/>
      </w:pPr>
      <w:r>
        <w:rPr>
          <w:b/>
          <w:bCs/>
        </w:rPr>
        <w:t xml:space="preserve">Response. </w:t>
      </w:r>
      <w:r>
        <w:t xml:space="preserve">The GPU Booster is described as an LD_PRELOAD interception layer with a GDS direct path (staged fallback), 4 MB alignment, reuse-distance eviction, partial reload, and output-equivalence testing; intercepted APIs and driver/filesystem versions are in the artifact, and the 4 MB block size has a sensitivity study.</w:t>
      </w:r>
    </w:p>
    <w:p>
      <w:pPr>
        <w:pBdr>
          <w:left w:val="single" w:color="999999" w:sz="12" w:space="8"/>
        </w:pBdr>
        <w:spacing w:after="40"/>
        <w:ind w:left="360"/>
      </w:pPr>
      <w:r>
        <w:rPr>
          <w:b/>
          <w:bCs/>
          <w:i/>
          <w:iCs/>
          <w:color w:val="555555"/>
        </w:rPr>
        <w:t xml:space="preserve">Comment. </w:t>
      </w:r>
      <w:r>
        <w:rPr>
          <w:i/>
          <w:iCs/>
          <w:color w:val="555555"/>
        </w:rPr>
        <w:t xml:space="preserve">(8) The industrial workloads and synthetic trace do not substantiate the TII claims.</w:t>
      </w:r>
    </w:p>
    <w:p>
      <w:pPr>
        <w:spacing w:after="160"/>
      </w:pPr>
      <w:r>
        <w:rPr>
          <w:b/>
          <w:bCs/>
        </w:rPr>
        <w:t xml:space="preserve">Response. </w:t>
      </w:r>
      <w:r>
        <w:t xml:space="preserve">Synthetic status and single-node scope are explicit; named models are listed; the generator and seed are released. A named, reproducible industrial task is evaluated with task accuracy — MVTec AD (0.941 vs 0.951, AUROC 0.967 vs 0.976) and VisA/AI4I 2020 (output equivalence ≥ 0.999). Real PLC/TSN hardware-in-the-loop remains identified as future work.</w:t>
      </w:r>
    </w:p>
    <w:p>
      <w:pPr>
        <w:pBdr>
          <w:left w:val="single" w:color="999999" w:sz="12" w:space="8"/>
        </w:pBdr>
        <w:spacing w:after="40"/>
        <w:ind w:left="360"/>
      </w:pPr>
      <w:r>
        <w:rPr>
          <w:b/>
          <w:bCs/>
          <w:i/>
          <w:iCs/>
          <w:color w:val="555555"/>
        </w:rPr>
        <w:t xml:space="preserve">Comment. </w:t>
      </w:r>
      <w:r>
        <w:rPr>
          <w:i/>
          <w:iCs/>
          <w:color w:val="555555"/>
        </w:rPr>
        <w:t xml:space="preserve">(9) Baseline configuration, software compatibility, and statistical reporting are inadequate and inconsistent.</w:t>
      </w:r>
    </w:p>
    <w:p>
      <w:pPr>
        <w:spacing w:after="160"/>
      </w:pPr>
      <w:r>
        <w:rPr>
          <w:b/>
          <w:bCs/>
        </w:rPr>
        <w:t xml:space="preserve">Response. </w:t>
      </w:r>
      <w:r>
        <w:t xml:space="preserve">vLLM 0.5.3, CUDA 12.2, PyTorch 2.4 are stated; the Llama-4 compatibility patch is described and included; FlexGen is corrected to GPU–CPU–disk; absolute per-run values, 95% confidence intervals, and significance tests are computed from the released raw runs.</w:t>
      </w:r>
    </w:p>
    <w:p>
      <w:pPr>
        <w:pBdr>
          <w:left w:val="single" w:color="999999" w:sz="12" w:space="8"/>
        </w:pBdr>
        <w:spacing w:after="40"/>
        <w:ind w:left="360"/>
      </w:pPr>
      <w:r>
        <w:rPr>
          <w:b/>
          <w:bCs/>
          <w:i/>
          <w:iCs/>
          <w:color w:val="555555"/>
        </w:rPr>
        <w:t xml:space="preserve">Comment. </w:t>
      </w:r>
      <w:r>
        <w:rPr>
          <w:i/>
          <w:iCs/>
          <w:color w:val="555555"/>
        </w:rPr>
        <w:t xml:space="preserve">(10) Several references have verifiable metadata or citation-support mismatches.</w:t>
      </w:r>
    </w:p>
    <w:p>
      <w:pPr>
        <w:spacing w:after="160"/>
      </w:pPr>
      <w:r>
        <w:rPr>
          <w:b/>
          <w:bCs/>
        </w:rPr>
        <w:t xml:space="preserve">Response. </w:t>
      </w:r>
      <w:r>
        <w:t xml:space="preserve">The flagged records were corrected against primary sources: SpecOffload (Zhuge et al., arXiv:2505.10259), Pie (Xu, Mao, Mo, Liu, Stoica, arXiv:2411.09317), eLLM (Xu et al., arXiv:2506.15155), and Edge-MoE (Sarkar, Liang, Fan, Wang, Hao, ICCAD 2023). The reviewer-identified citation-support items (RAMFS/tmpfs and the pressure predictor) and the FlexGen tier in Table I were corrected, and every entry was re-checked for metadata completeness (author, title, venue, year); we did not attempt an exhaustive line-by-line re-verification of all records against publisher pages.</w:t>
      </w:r>
    </w:p>
    <w:p>
      <w:pPr>
        <w:pBdr>
          <w:left w:val="single" w:color="999999" w:sz="12" w:space="8"/>
        </w:pBdr>
        <w:spacing w:after="40"/>
        <w:ind w:left="360"/>
      </w:pPr>
      <w:r>
        <w:rPr>
          <w:b/>
          <w:bCs/>
          <w:i/>
          <w:iCs/>
          <w:color w:val="555555"/>
        </w:rPr>
        <w:t xml:space="preserve">Comment. </w:t>
      </w:r>
      <w:r>
        <w:rPr>
          <w:i/>
          <w:iCs/>
          <w:color w:val="555555"/>
        </w:rPr>
        <w:t xml:space="preserve">(11) The energy study excludes the CPU, DRAM, and NVMe resources to which RAMSES moves work.</w:t>
      </w:r>
    </w:p>
    <w:p>
      <w:pPr>
        <w:spacing w:after="160"/>
      </w:pPr>
      <w:r>
        <w:rPr>
          <w:b/>
          <w:bCs/>
        </w:rPr>
        <w:t xml:space="preserve">Response. </w:t>
      </w:r>
      <w:r>
        <w:t xml:space="preserve">Energy is now synchronized whole-node measurement: GPU (NVML) plus CPU-package and DRAM (RAPL) integrated per request on a shared clock, with idle subtraction and a PDU rank cross-check (Kendall τ = 1.0). Across the node, energy per token and per inference fall 46.7% and the EDP 69.6% (averaged over configurations); NVMe-rail power and certified rack-level accuracy remain future work.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Response to Reviewers — TII-26-5047</dc:title>
  <dc:creator>Authors of TII-26-5047</dc:creator>
  <cp:lastModifiedBy>Un-named</cp:lastModifiedBy>
  <cp:revision>1</cp:revision>
  <dcterms:created xsi:type="dcterms:W3CDTF">2026-10-09T14:04:57.035Z</dcterms:created>
  <dcterms:modified xsi:type="dcterms:W3CDTF">2026-10-09T14:04:57.046Z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