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Response to Reviewers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Manuscript TII-26-5047</w:t>
      </w:r>
    </w:p>
    <w:p>
      <w:pPr>
        <w:spacing w:after="240"/>
        <w:jc w:val="center"/>
      </w:pPr>
      <w:r>
        <w:rPr>
          <w:i/>
          <w:iCs/>
        </w:rPr>
        <w:t xml:space="preserve">RAMSES: Hierarchical Memory Orchestration for Single-Node Industrial AI Inference</w:t>
      </w:r>
    </w:p>
    <w:p>
      <w:pPr>
        <w:spacing w:after="120"/>
      </w:pPr>
      <w:r>
        <w:t xml:space="preserve">We thank the Associate Editor and the three reviewers for a careful and constructive reading. The manuscript has been substantially revised. In brief: (i) the theoretical model was reconstructed from independent, measurable observables and the circular α–β threshold, both theorems, and the duplicated transfer equation were removed; (ii) all deterministic-latency, WCET, control-stability, and IEC 61508/SIL claims (including the former SIL table) were removed or recast as empirical QoS observations with explicit non-safety disclaimers; (iii) the regime-aware controller and the single-node implementation are now fully specified, and a controller-disabled (policy-off) ablation isolates the policy from its mechanisms; (iv) energy is now measured as synchronized whole-node power (GPU NVML + CPU/DRAM RAPL) with a PDU cross-check; (v) baselines are external state-of-the-art systems, a named industrial task (MVTec AD/VisA/AI4I 2020) with task accuracy is added, and the four flagged references were corrected; and (vi) numerous consistency, symbol-definition, and presentation issues were fixed. Changed text is highlighted in the revised manuscript. Reviewer comments are quoted in brief; each response names the section changed.</w:t>
      </w:r>
    </w:p>
    <w:p>
      <w:pPr>
        <w:spacing w:after="240"/>
      </w:pPr>
      <w:r>
        <w:t xml:space="preserve">Note on format: this review version is typeset to the 10-page limit; author biographies and photographs, which IEEE requests only at acceptance, are omitted here and will be added at camera-ready.</w:t>
      </w:r>
    </w:p>
    <w:p>
      <w:pPr>
        <w:pStyle w:val="Heading1"/>
        <w:spacing w:after="120" w:before="240"/>
      </w:pPr>
      <w:r>
        <w:rPr>
          <w:b/>
          <w:bCs/>
        </w:rPr>
        <w:t xml:space="preserve">Associate Editor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(1) Fundamental inconsistencies and insufficient justification in the theoretical model, including the α/β regimes, the theorems, and the treatment of asynchronous transfer.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Section III was rebuilt. The two pressure ratios are now defined from independent observables — demand D, fast-tier capacity C_f, bidirectional transfer volumes V↑/V↓, direction-specific bandwidths B↑/B↓, prefetch-hit fraction h, fixed latency L₀, and measured queueing q. α=D/C_f and β are computed from these, so no boundary is defined by substituting itself (the former circular α_critical is gone). Asynchronous overlap is modeled with an explicit max{·} service-time term rather than adding the full transfer time. Both theorems and the unsupported convexity/bounded-variance arguments were removed; the model is now presented as an engineering classification tool with operational labels (capacity-limited / transfer-limited / coordination-dominated).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(2) Unsupported deterministic-latency, WCET, control-stability, and especially IEC 61508/SIL claims.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All such claims and the former SIL/PFD table were removed. Section III now states explicitly that the measured latencies are QoS observations for non-safety serving and are not WCET bounds, determinism guarantees, stability proofs, or SIL/PFD evidence; a deadline-miss fraction is explicitly distinguished from a probability of dangerous failure on demand.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(3) Insufficient experimental evidence for the industrial claims (synthetic traces, unclear workload configurations, limited multi-GPU, 2-ms/SLA inconsistencies).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 abstract, introduction, evaluation, and conclusion identify the 72-hour input as a parameterized synthetic trace and scope the contribution to single-node laboratory serving (reflected in the revised title). The 2-ms/TSN/deterministic claims were removed; one QoS event (latency &gt; 1.5× configuration median) and one rate (0.60% vs 8.70%) are used consistently. A named, reproducible industrial task (MVTec AD, VisA, AI4I 2020) with task accuracy is added. Multi-GPU results are explicitly bounded to two-GPU intra-node placement.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(4) Inadequate comparison with state-of-the-art, incomplete implementation/parameter details, insufficient reproducibility.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Baselines are now external systems (FlexGen, SwapAdvisor, NEO, SpecOffload, vLLM; Orca positioned as related work). The controller (200 ms sampling, 5% hysteresis, three-sample switching, per-state actions, lexicographic objective, O(1)/O(log n)/O(n) complexity) and the GPU Booster (LD_PRELOAD interception, GDS path with staged fallback, 4 MB alignment, partial reload, output-equivalence checks) are specified. The review artifact bundles the runtime layer, trace generator, baseline scripts, measurement schema, and raw per-run logs.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(5) Presentation and consistency: duplicated equations, undefined symbols, reference inaccuracies, limited statistical/energy reporting.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 duplicate equation was removed; α, β, γ, and EDP are defined at first use; the four flagged references were corrected against primary records; FlexGen is positioned as GPU–CPU–disk; and energy is reported as synchronized whole-node power with confidence intervals computed from released raw runs.</w:t>
      </w:r>
    </w:p>
    <w:p>
      <w:pPr>
        <w:pBdr>
          <w:bottom w:val="single" w:color="CCCCCC" w:sz="6" w:space="4"/>
        </w:pBdr>
        <w:spacing w:after="120"/>
      </w:pPr>
    </w:p>
    <w:p>
      <w:pPr>
        <w:pStyle w:val="Heading1"/>
        <w:spacing w:after="120" w:before="240"/>
      </w:pPr>
      <w:r>
        <w:rPr>
          <w:b/>
          <w:bCs/>
        </w:rPr>
        <w:t xml:space="preserve">Reviewer 1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Theorem 1 mostly restates the regime definitions and Theorem 2 derives bounded variance from bounded second moments — temper the language, or derive.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Both theorems were removed rather than restated. Section III now presents an overlap-aware operating model with operational labels and an explicit statement that these are not theorems and imply neither zero swapping nor a worst-case bound.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The industrial validation rests on a synthetic trace, yet the abstract and introduction read as field results — describe it as a statistically-calibrated synthetic trace.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 abstract, introduction, evaluation, and conclusion now describe the 72-hour input as a parameterized synthetic arrival trace and make no field-result claim.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Single-node scope sits awkwardly against the industrial-fleet framing; multi-GPU results are brief and lack failure analysis — expand, or scope to single-node serving.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 contribution and title are scoped to single-node serving. The Multi-GPU Scope paragraph limits results to two-GPU intra-node placement and explicitly withdraws 4/8-GPU and fleet-level claims, noting the absent fabric-saturation and failure-injection analysis.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Much of the central evidence rests on the synthetic trace, but code is promised only on acceptance — release anonymized trace-generation scripts during review.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 anonymized trace generator (code/generate_trace.py) and analysis scripts are included with the submission; the schedule regenerates deterministically from the published seed and parameters.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Eqs. (9) and (12) are identical and the PDF has rendering corruption — merge the duplicate equation and recompile cleanly.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 duplicated transfer equation was eliminated; the model is expressed once. The manuscript is compiled cleanly (no track changes) and the equations render correctly.</w:t>
      </w:r>
    </w:p>
    <w:p>
      <w:pPr>
        <w:pBdr>
          <w:bottom w:val="single" w:color="CCCCCC" w:sz="6" w:space="4"/>
        </w:pBdr>
        <w:spacing w:after="120"/>
      </w:pPr>
    </w:p>
    <w:p>
      <w:pPr>
        <w:pStyle w:val="Heading1"/>
        <w:spacing w:after="120" w:before="240"/>
      </w:pPr>
      <w:r>
        <w:rPr>
          <w:b/>
          <w:bCs/>
        </w:rPr>
        <w:t xml:space="preserve">Reviewer 2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(1) The abstract and conclusion are poor; challenges not stated; specific percentage improvement not given.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 abstract and conclusion now state the challenge, the single-node scope, and the headline numbers: 34–41% lower inference latency across five models, 47% lower whole-node energy per token (70% lower EDP), 61% higher throughput, and 60%/15% reductions in model-load time and peak VRAM.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(2) Hard to find the main contributions; give convincing advantages over state-of-the-art.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 contribution bullets now name the falsifiable operating model, the specified regime-to-action controller, the deployable single-node realization, and the boundary-seeking evidence; Tables I–II position RAMSES against competing systems.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(3) Many assumptions are not justified; are they reasonable in real systems?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Model quantities are now defined as measurable observables rather than assumptions, and Section III states the scope and non-safety limitations explicitly.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(4) Authors rely only on simulations; discuss real-world challenges and potential solutions.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Section VI discusses deployment challenges (field traces, whole-node power, multi-node fabrics, HIL/SIL validation) and the directions that would address them; the testbed is described as a laboratory server, not a deployed gateway.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(5) Benchmarks are simplified versions of the method; compare with similar methods in the literature.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 baselines are now external state-of-the-art serving systems (FlexGen, SwapAdvisor, NEO, SpecOffload, vLLM), not ablations; per-system versions/configurations are documented in the artifact.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(6) Discuss how algorithm parameters are computed/selected and their sensitivity.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 controller parameters (200 ms sampling, 5% hysteresis, three-sample switching, 32-step reuse window) and the 4 MB block size are stated with their roles, and a sensitivity sweep (Fig. on p99 vs block size / sampling / hysteresis / reuse window) locates the chosen operating points.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(7) The complexity of the proposed algorithm should be analyzed.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Section III-F gives O(1) classification/decision, O(log n) candidate maintenance, and O(n) metadata.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(8) Too few figures.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 revision presents four figures (architecture; measured operating map with (α,β) points; energy–latency frontier; parameter sensitivity) plus the data tables; the previously criticized bar-chart figure was replaced by exact tabulated values.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(9) Many symbols are not explained, e.g., α, EDP, β.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α, β, γ, and EDP are now defined at first technical use.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(10) Fig. 4 is too simple and its percentages are not well given.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That bar chart was removed; its four quantities (load time, peak VRAM, latency, failures) are now reported as exact values in Tables (load-time/VRAM, absolute latency percentiles, and the QoS table).</w:t>
      </w:r>
    </w:p>
    <w:p>
      <w:pPr>
        <w:pBdr>
          <w:bottom w:val="single" w:color="CCCCCC" w:sz="6" w:space="4"/>
        </w:pBdr>
        <w:spacing w:after="120"/>
      </w:pPr>
    </w:p>
    <w:p>
      <w:pPr>
        <w:pStyle w:val="Heading1"/>
        <w:spacing w:after="120" w:before="240"/>
      </w:pPr>
      <w:r>
        <w:rPr>
          <w:b/>
          <w:bCs/>
        </w:rPr>
        <w:t xml:space="preserve">Reviewer 3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(1) The 2-ms deterministic-latency claim conflicts with the manuscript's own latency scale; the SLA event is defined two ways and rates differ.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 2-ms, TSN-window, and deterministic claims were removed. A single QoS definition (latency &gt; 1.5× configuration median) and one rate (0.60% vs 8.70%) are used throughout. Section IV reports a four-task latency taxonomy (scoring/continuation/TTFT/generation) with model, precision, lengths, batch, concurrency, and count, and absolute median/P95/P99/P99.9/max latency generated from the 16,000-record raw log. The 1.68 ms control-plane overhead is reported against the measured PyTorch median (871.6 ms) and decomposed into sampling/classification/policy-application.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(2) The α–α_critical boundary and Theorem 1 do not follow; convexity is unsupported.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 circular α_critical construction and the theorem/convexity apparatus were removed. The model now uses independent workload-demand, capacity, transfer-volume, bandwidth, reuse, and queueing variables, and states that no critical value is defined by substituting a boundary into itself.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(3) The additive latency model is inconsistent with the claimed asynchronous overlap; β omits several terms.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 model now uses a max{·} overlap term with direction-specific volumes and bandwidths, prefetch hits, fixed latency, queueing, block rounding, and a synchronization term, and distinguishes occupancy from transfer volume.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(4) Theorem 2, the WCET statement, and the control-loop proposition do not establish deterministic operation.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These were removed and recast as empirical QoS observations with an explicit disclaimer; the terms guarantee, WCET, and preserve stability are no longer used as claims.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(5) The IEC 61508 SIL/PFD mapping is invalid and potentially safety-misleading.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Table III and all SIL-compliant / approaches-SIL claims were removed. Deadline misses are reported only as a QoS/reliability metric, with an explicit statement that this is not functional-safety evidence.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(6) The regime-aware controller is neither specified nor validated.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 controller is fully specified (estimator, 200 ms sampling, 5% hysteresis, three-sample switching, per-state actions, lexicographic objective, complexity, per-decision overhead). A policy-off configuration — all three modules on, regime switching off, paired trace/seed — isolates the controller: disabling it raises p99 latency 22.9% (671→825 ms) and per-request energy 21.5% (278→338 J).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(7) The implementation is too underspecified to assess feasibility or novelty.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 GPU Booster is described as an LD_PRELOAD interception layer with a GDS direct path (staged fallback), 4 MB alignment, reuse-distance eviction, partial reload, and output-equivalence testing; intercepted APIs and driver/filesystem versions are in the artifact, and the 4 MB block size has a sensitivity study.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(8) The industrial workloads and synthetic trace do not substantiate the TII claims.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Synthetic status and single-node scope are explicit; named models are listed; the generator and seed are released. A named, reproducible industrial task is evaluated with task accuracy — MVTec AD (0.941 vs 0.951, AUROC 0.967 vs 0.976) and VisA/AI4I 2020 (output equivalence ≥ 0.999). Real PLC/TSN hardware-in-the-loop remains identified as future work.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(9) Baseline configuration, software compatibility, and statistical reporting are inadequate and inconsistent.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vLLM 0.5.3, CUDA 12.2, PyTorch 2.4 are stated; the Llama-4 compatibility patch is described and included; FlexGen is corrected to GPU–CPU–disk; absolute per-run values, 95% confidence intervals, and significance tests are computed from the released raw runs.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(10) Several references have verifiable metadata or citation-support mismatches.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The flagged records were corrected against primary sources: SpecOffload (Zhuge et al., arXiv:2505.10259), Pie (Xu, Mao, Mo, Liu, Stoica, arXiv:2411.09317), eLLM (Xu et al., arXiv:2506.15155), and Edge-MoE (Sarkar, Liang, Fan, Wang, Hao, ICCAD 2023). Sentence-level citation support was audited and Table I corrected.</w:t>
      </w:r>
    </w:p>
    <w:p>
      <w:pPr>
        <w:pBdr>
          <w:left w:val="single" w:color="999999" w:sz="12" w:space="8"/>
        </w:pBdr>
        <w:spacing w:after="40"/>
        <w:ind w:left="360"/>
      </w:pPr>
      <w:r>
        <w:rPr>
          <w:b/>
          <w:bCs/>
          <w:i/>
          <w:iCs/>
          <w:color w:val="555555"/>
        </w:rPr>
        <w:t xml:space="preserve">Comment. </w:t>
      </w:r>
      <w:r>
        <w:rPr>
          <w:i/>
          <w:iCs/>
          <w:color w:val="555555"/>
        </w:rPr>
        <w:t xml:space="preserve">(11) The energy study excludes the CPU, DRAM, and NVMe resources to which RAMSES moves work.</w:t>
      </w:r>
    </w:p>
    <w:p>
      <w:pPr>
        <w:spacing w:after="160"/>
      </w:pPr>
      <w:r>
        <w:rPr>
          <w:b/>
          <w:bCs/>
        </w:rPr>
        <w:t xml:space="preserve">Response. </w:t>
      </w:r>
      <w:r>
        <w:t xml:space="preserve">Energy is now synchronized whole-node measurement: GPU (NVML) plus CPU-package and DRAM (RAPL) integrated per request on a shared clock, with idle subtraction and a PDU rank cross-check (Kendall τ = 1.0). Across the node, energy per token and per inference fall 46.7% and the EDP 69.6% (averaged over configurations); NVMe-rail power and certified rack-level accuracy remain future work.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to Reviewers — TII-26-5047</dc:title>
  <dc:creator>Authors of TII-26-5047</dc:creator>
  <cp:lastModifiedBy>Un-named</cp:lastModifiedBy>
  <cp:revision>1</cp:revision>
  <dcterms:created xsi:type="dcterms:W3CDTF">2026-10-08T01:52:02.266Z</dcterms:created>
  <dcterms:modified xsi:type="dcterms:W3CDTF">2026-10-08T01:52:02.266Z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