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jc w:val="center"/>
        <w:rPr/>
      </w:pPr>
      <w:r>
        <w:rPr>
          <w:b/>
        </w:rPr>
        <w:t>BỘ GIÁO DỤC VÀ ĐÀO TẠO</w:t>
      </w:r>
    </w:p>
    <w:p>
      <w:pPr>
        <w:pStyle w:val="Normal"/>
        <w:spacing w:lineRule="auto" w:line="240" w:before="0" w:after="0"/>
        <w:ind w:hanging="0"/>
        <w:jc w:val="center"/>
        <w:rPr/>
      </w:pPr>
      <w:r>
        <w:rPr>
          <w:b/>
        </w:rPr>
        <w:t>TRƯỜNG ĐẠI HỌC VĂN HIẾN</w:t>
      </w:r>
    </w:p>
    <w:p>
      <w:pPr>
        <w:pStyle w:val="Normal"/>
        <w:spacing w:lineRule="auto" w:line="240" w:before="0" w:after="0"/>
        <w:ind w:hanging="0"/>
        <w:jc w:val="center"/>
        <w:rPr>
          <w:b/>
          <w:lang w:val="vi-VN"/>
        </w:rPr>
      </w:pPr>
      <w:r>
        <w:rPr>
          <w:b/>
        </w:rPr>
        <w:t>KHOA CÔNG NGHỆ THÔNG TIN</w:t>
      </w:r>
    </w:p>
    <w:p>
      <w:pPr>
        <w:pStyle w:val="Normal"/>
        <w:spacing w:lineRule="auto" w:line="240" w:before="0" w:after="0"/>
        <w:ind w:hanging="0"/>
        <w:jc w:val="center"/>
        <w:rPr>
          <w:lang w:val="vi-VN"/>
        </w:rPr>
      </w:pPr>
      <w:r>
        <w:rPr>
          <w:lang w:val="vi-VN"/>
        </w:rPr>
      </w:r>
    </w:p>
    <w:p>
      <w:pPr>
        <w:pStyle w:val="Normal"/>
        <w:spacing w:lineRule="auto" w:line="240" w:before="0" w:after="0"/>
        <w:ind w:hanging="0"/>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jc w:val="center"/>
        <w:rPr>
          <w:lang w:val="vi-VN"/>
        </w:rPr>
      </w:pPr>
      <w:r>
        <w:rPr>
          <w:b/>
          <w:sz w:val="28"/>
        </w:rPr>
        <w:t>KHÓA LUẬN TỐT NGHIỆP</w:t>
      </w:r>
    </w:p>
    <w:p>
      <w:pPr>
        <w:pStyle w:val="Normal"/>
        <w:spacing w:lineRule="auto" w:line="259" w:before="160" w:after="0"/>
        <w:ind w:hanging="0"/>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center"/>
        <w:tblInd w:w="0"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2</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60</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81</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101</w:t>
            </w:r>
          </w:hyperlink>
        </w:p>
        <w:p>
          <w:pPr>
            <w:pStyle w:val="TOC2"/>
            <w:tabs>
              <w:tab w:val="clear" w:pos="720"/>
              <w:tab w:val="right" w:pos="9354" w:leader="dot"/>
            </w:tabs>
            <w:rPr/>
          </w:pPr>
          <w:hyperlink w:anchor="__RefHeading___Toc11962_4279960058" w:tooltip="4.1. Kết luận">
            <w:r>
              <w:rPr>
                <w:rStyle w:val="IndexLink"/>
                <w:webHidden/>
              </w:rPr>
              <w:t>4.1. Kết luận</w:t>
              <w:tab/>
              <w:t>101</w:t>
            </w:r>
          </w:hyperlink>
        </w:p>
        <w:p>
          <w:pPr>
            <w:pStyle w:val="TOC2"/>
            <w:tabs>
              <w:tab w:val="clear" w:pos="720"/>
              <w:tab w:val="right" w:pos="9354" w:leader="dot"/>
            </w:tabs>
            <w:rPr/>
          </w:pPr>
          <w:hyperlink w:anchor="__RefHeading___Toc11964_4279960058" w:tooltip="4.2. Hạn chế">
            <w:r>
              <w:rPr>
                <w:rStyle w:val="IndexLink"/>
                <w:webHidden/>
              </w:rPr>
              <w:t>4.2. Hạn chế</w:t>
              <w:tab/>
              <w:t>101</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102</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102</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103</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104</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104</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105</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106</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106</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108</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110</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110</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111</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112</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112</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112</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113</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113</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113</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114</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114</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114</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115</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115</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115</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115</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115</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116</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75</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98</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46</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47</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82</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102</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103</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104</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105</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107</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111</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111</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112</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Normal"/>
        <w:spacing w:lineRule="auto" w:line="312" w:before="0" w:after="160"/>
        <w:ind w:hanging="0" w:start="283" w:end="283"/>
        <w:rPr/>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8"/>
        <w:gridCol w:w="5902"/>
      </w:tblGrid>
      <w:tr>
        <w:trPr>
          <w:tblHeader w:val="true"/>
          <w:cantSplit/>
        </w:trPr>
        <w:tc>
          <w:tcPr>
            <w:tcW w:w="27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Một kiến trúc end-to-end cho hai chế độ practice và recruitment, có opening turn sau phần giới thiệu, follow-up theo evidence gap, frontend/BFF, gRPC AI, MongoDB giao dịch, event store và Qdrant.</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pipeline DeepSeek có schema JSON, grounding allow-list, repair có giới hạn, transition type cho hội thoại và telemetry usage/cost theo từng operation.</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corpus 86 rule được gắn provenance, cùng cơ chế lưu candidate profile chỉ từ transcript evidence và loại bỏ các nhóm trường nhạy cảm.</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8"/>
        <w:gridCol w:w="3600"/>
        <w:gridCol w:w="1900"/>
        <w:gridCol w:w="2302"/>
      </w:tblGrid>
      <w:tr>
        <w:trPr>
          <w:tblHeader w:val="true"/>
          <w:cantSplit/>
        </w:trPr>
        <w:tc>
          <w:tcPr>
            <w:tcW w:w="8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Kỹ thuật. Điểm thuận lợi: Stack và service boundary đã triển khai; 16 RPC.; Điều kiện/giới hạn: Tài nguyên model, provider availability, version compatibility.</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8"/>
        <w:gridCol w:w="3002"/>
        <w:gridCol w:w="2598"/>
        <w:gridCol w:w="2202"/>
      </w:tblGrid>
      <w:tr>
        <w:trPr>
          <w:tblHeader w:val="true"/>
          <w:cantSplit/>
        </w:trPr>
        <w:tc>
          <w:tcPr>
            <w:tcW w:w="8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8"/>
        <w:gridCol w:w="3100"/>
        <w:gridCol w:w="2302"/>
      </w:tblGrid>
      <w:tr>
        <w:trPr>
          <w:tblHeader w:val="true"/>
          <w:cantSplit/>
        </w:trPr>
        <w:tc>
          <w:tcPr>
            <w:tcW w:w="1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Normal"/>
        <w:spacing w:lineRule="auto" w:line="312" w:before="0" w:after="160"/>
        <w:ind w:hanging="0" w:start="283" w:end="283"/>
        <w:rPr/>
      </w:pPr>
      <w:r>
        <w:rPr>
          <w:i/>
          <w:color w:val="444444"/>
          <w:sz w:val="24"/>
        </w:rPr>
        <w:t>Chương 1 xác lập nền tảng đo lường và công nghệ cho InterV. Phần tâm lý phỏng vấn được tách riêng để chỉ rõ AI được phép hỗ trợ điều gì và không được suy luận điều gì.</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8"/>
        <w:gridCol w:w="4702"/>
        <w:gridCol w:w="2900"/>
      </w:tblGrid>
      <w:tr>
        <w:trPr>
          <w:tblHeader w:val="true"/>
          <w:cantSplit/>
        </w:trPr>
        <w:tc>
          <w:tcPr>
            <w:tcW w:w="10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9"/>
        <w:gridCol w:w="2302"/>
      </w:tblGrid>
      <w:tr>
        <w:trPr>
          <w:tblHeader w:val="true"/>
          <w:cantSplit/>
        </w:trPr>
        <w:tc>
          <w:tcPr>
            <w:tcW w:w="14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8"/>
        <w:gridCol w:w="1800"/>
        <w:gridCol w:w="3002"/>
        <w:gridCol w:w="2700"/>
      </w:tblGrid>
      <w:tr>
        <w:trPr>
          <w:tblHeader w:val="true"/>
          <w:cantSplit/>
        </w:trPr>
        <w:tc>
          <w:tcPr>
            <w:tcW w:w="11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8"/>
        <w:gridCol w:w="2300"/>
        <w:gridCol w:w="2802"/>
        <w:gridCol w:w="2700"/>
      </w:tblGrid>
      <w:tr>
        <w:trPr>
          <w:tblHeader w:val="true"/>
          <w:cantSplit/>
        </w:trPr>
        <w:tc>
          <w:tcPr>
            <w:tcW w:w="8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8"/>
        <w:gridCol w:w="2402"/>
      </w:tblGrid>
      <w:tr>
        <w:trPr>
          <w:tblHeader w:val="true"/>
          <w:cantSplit/>
        </w:trPr>
        <w:tc>
          <w:tcPr>
            <w:tcW w:w="13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Prompt tokens. </w:t>
      </w:r>
      <w:r>
        <w:rPr>
          <w:rFonts w:cs="Times New Roman" w:ascii="Times New Roman" w:hAnsi="Times New Roman"/>
          <w:sz w:val="26"/>
          <w:szCs w:val="26"/>
        </w:rPr>
        <w:t>Ý nghĩa: Kích thước context.; Cảnh báo: History/RAG phình lớn.; Ứng dụng: Tối ưu chunk/top-k.</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Completion tokens. </w:t>
      </w:r>
      <w:r>
        <w:rPr>
          <w:rFonts w:cs="Times New Roman" w:ascii="Times New Roman" w:hAnsi="Times New Roman"/>
          <w:sz w:val="26"/>
          <w:szCs w:val="26"/>
        </w:rPr>
        <w:t>Ý nghĩa: Độ dài output.; Cảnh báo: Evaluation lan man.; Ứng dụng: Siết schema/max token.</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800"/>
        <w:gridCol w:w="2602"/>
        <w:gridCol w:w="2900"/>
      </w:tblGrid>
      <w:tr>
        <w:trPr>
          <w:tblHeader w:val="true"/>
          <w:cantSplit/>
        </w:trPr>
        <w:tc>
          <w:tcPr>
            <w:tcW w:w="1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8"/>
        <w:gridCol w:w="2602"/>
        <w:gridCol w:w="3000"/>
        <w:gridCol w:w="2600"/>
      </w:tblGrid>
      <w:tr>
        <w:trPr>
          <w:tblHeader w:val="true"/>
          <w:cantSplit/>
        </w:trPr>
        <w:tc>
          <w:tcPr>
            <w:tcW w:w="14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Normal"/>
        <w:spacing w:lineRule="auto" w:line="312" w:before="0" w:after="160"/>
        <w:ind w:hanging="0" w:start="283" w:end="283"/>
        <w:rPr/>
      </w:pPr>
      <w:r>
        <w:rPr>
          <w:i/>
          <w:color w:val="444444"/>
          <w:sz w:val="24"/>
        </w:rPr>
        <w:t>Chương 2 chuyển các nguyên tắc ở Chương 2 thành kiến trúc, mô hình dữ liệu, hợp đồng dịch vụ và chuỗi tương tác cụ thể. Mỗi pipeline đều chỉ rõ điểm kiểm soát và trạng thái lỗi.</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Identity. </w:t>
      </w:r>
      <w:r>
        <w:rPr>
          <w:rFonts w:cs="Times New Roman" w:ascii="Times New Roman" w:hAnsi="Times New Roman"/>
          <w:sz w:val="26"/>
          <w:szCs w:val="26"/>
        </w:rPr>
        <w:t>Trách nhiệm: Đăng nhập, hồ sơ, vai trò, quyền.; Dữ liệu tiêu biểu: User, member, token/session.</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Hạ tầng. </w:t>
      </w:r>
      <w:r>
        <w:rPr>
          <w:rFonts w:cs="Times New Roman" w:ascii="Times New Roman" w:hAnsi="Times New Roman"/>
          <w:sz w:val="26"/>
          <w:szCs w:val="26"/>
        </w:rPr>
        <w:t>RPC: Health, GetRagStatus, GetDeepSeekBalance; Mục đích: Kiểm tra trạng thái, cấu hình và quan sát.</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Chuẩn bị. </w:t>
      </w:r>
      <w:r>
        <w:rPr>
          <w:rFonts w:cs="Times New Roman" w:ascii="Times New Roman" w:hAnsi="Times New Roman"/>
          <w:sz w:val="26"/>
          <w:szCs w:val="26"/>
        </w:rPr>
        <w:t>RPC: ExtractJd, ListVoices, SynthesizeTts; Mục đích: Chuẩn hóa JD và trải nghiệm giọng đọc.</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Phỏng vấn. </w:t>
      </w:r>
      <w:r>
        <w:rPr>
          <w:rFonts w:cs="Times New Roman" w:ascii="Times New Roman" w:hAnsi="Times New Roman"/>
          <w:sz w:val="26"/>
          <w:szCs w:val="26"/>
        </w:rPr>
        <w:t>RPC: StartInterview, SubmitAnswer, EvaluateInterview; Mục đích: Tạo câu hỏi, follow-up và đánh giá.</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Âm thanh. </w:t>
      </w:r>
      <w:r>
        <w:rPr>
          <w:rFonts w:cs="Times New Roman" w:ascii="Times New Roman" w:hAnsi="Times New Roman"/>
          <w:sz w:val="26"/>
          <w:szCs w:val="26"/>
        </w:rPr>
        <w:t>RPC: CreateStreamingToken, TranscribeAudio, AnalyzeInterview; Mục đích: Streaming ASR, fallback ASR, SenseVoice.</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8"/>
        <w:gridCol w:w="2602"/>
      </w:tblGrid>
      <w:tr>
        <w:trPr>
          <w:tblHeader w:val="true"/>
          <w:cantSplit/>
        </w:trPr>
        <w:tc>
          <w:tcPr>
            <w:tcW w:w="2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8"/>
        <w:gridCol w:w="2100"/>
        <w:gridCol w:w="2102"/>
        <w:gridCol w:w="2100"/>
        <w:gridCol w:w="1700"/>
      </w:tblGrid>
      <w:tr>
        <w:trPr>
          <w:tblHeader w:val="true"/>
          <w:cantSplit/>
        </w:trPr>
        <w:tc>
          <w:tcPr>
            <w:tcW w:w="18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Grounding. </w:t>
      </w:r>
      <w:r>
        <w:rPr>
          <w:rFonts w:cs="Times New Roman" w:ascii="Times New Roman" w:hAnsi="Times New Roman"/>
          <w:sz w:val="26"/>
          <w:szCs w:val="26"/>
        </w:rPr>
        <w:t>Đầu vào: Interview context/purpose.; Xử lý: Resolve rule + Qdrant search.; Đầu ra: Evidence và allow-list.</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Validation. </w:t>
      </w:r>
      <w:r>
        <w:rPr>
          <w:rFonts w:cs="Times New Roman" w:ascii="Times New Roman" w:hAnsi="Times New Roman"/>
          <w:sz w:val="26"/>
          <w:szCs w:val="26"/>
        </w:rPr>
        <w:t>Đầu vào: Object + evidence/history.; Xử lý: Schema, range, ID, quote.; Đầu ra: Accepted hoặc lỗi repair.</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Embed. </w:t>
      </w:r>
      <w:r>
        <w:rPr>
          <w:rFonts w:cs="Times New Roman" w:ascii="Times New Roman" w:hAnsi="Times New Roman"/>
          <w:sz w:val="26"/>
          <w:szCs w:val="26"/>
        </w:rPr>
        <w:t>Thao tác: Dense + sparse vector.; Metadata bắt buộc: model/revision, vector size.; Kiểm soát: Version collection.</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Index. </w:t>
      </w:r>
      <w:r>
        <w:rPr>
          <w:rFonts w:cs="Times New Roman" w:ascii="Times New Roman" w:hAnsi="Times New Roman"/>
          <w:sz w:val="26"/>
          <w:szCs w:val="26"/>
        </w:rPr>
        <w:t>Thao tác: Upsert Qdrant points.; Metadata bắt buộc: session/run/purpose filters.; Kiểm soát: Idempotent point IDs.</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8"/>
        <w:gridCol w:w="3002"/>
        <w:gridCol w:w="2900"/>
      </w:tblGrid>
      <w:tr>
        <w:trPr>
          <w:tblHeader w:val="true"/>
          <w:cantSplit/>
        </w:trPr>
        <w:tc>
          <w:tcPr>
            <w:tcW w:w="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Gửi invitation. </w:t>
      </w:r>
      <w:r>
        <w:rPr>
          <w:rFonts w:cs="Times New Roman" w:ascii="Times New Roman" w:hAnsi="Times New Roman"/>
          <w:sz w:val="26"/>
          <w:szCs w:val="26"/>
        </w:rPr>
        <w:t>Atomic nội bộ: Invitation record.; Side effect: Email.; Pattern: Outbox + idempotent sender.</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8"/>
        <w:gridCol w:w="2600"/>
        <w:gridCol w:w="2602"/>
        <w:gridCol w:w="2400"/>
      </w:tblGrid>
      <w:tr>
        <w:trPr>
          <w:tblHeader w:val="true"/>
          <w:cantSplit/>
        </w:trPr>
        <w:tc>
          <w:tcPr>
            <w:tcW w:w="14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6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health. </w:t>
      </w:r>
      <w:r>
        <w:rPr>
          <w:rFonts w:cs="Times New Roman" w:ascii="Times New Roman" w:hAnsi="Times New Roman"/>
          <w:sz w:val="26"/>
          <w:szCs w:val="26"/>
        </w:rPr>
        <w:t>Nguồn: Health RPC/startup.; Mục tiêu: Readiness provider/model.; Cảnh báo mẫu: SenseVoice/RAG not ready.</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Token/operation. </w:t>
      </w:r>
      <w:r>
        <w:rPr>
          <w:rFonts w:cs="Times New Roman" w:ascii="Times New Roman" w:hAnsi="Times New Roman"/>
          <w:sz w:val="26"/>
          <w:szCs w:val="26"/>
        </w:rPr>
        <w:t>Nguồn: AiUsageEvent.; Mục tiêu: Chi phí và context growth.; Cảnh báo mẫu: P95 vượt budget.</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Next.js/BFF. </w:t>
      </w:r>
      <w:r>
        <w:rPr>
          <w:rFonts w:cs="Times New Roman" w:ascii="Times New Roman" w:hAnsi="Times New Roman"/>
          <w:sz w:val="26"/>
          <w:szCs w:val="26"/>
        </w:rPr>
        <w:t>State: Session/cache tùy thiết kế.; Scale: Horizontal.; Health/backup: HTTP health; stateless ưu tiên.</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MongoDB. </w:t>
      </w:r>
      <w:r>
        <w:rPr>
          <w:rFonts w:cs="Times New Roman" w:ascii="Times New Roman" w:hAnsi="Times New Roman"/>
          <w:sz w:val="26"/>
          <w:szCs w:val="26"/>
        </w:rPr>
        <w:t>State: Transactional data.; Scale: Replica/managed theo tải.; Health/backup: Backup, restore drill, index monitor.</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Event MongoDB. </w:t>
      </w:r>
      <w:r>
        <w:rPr>
          <w:rFonts w:cs="Times New Roman" w:ascii="Times New Roman" w:hAnsi="Times New Roman"/>
          <w:sz w:val="26"/>
          <w:szCs w:val="26"/>
        </w:rPr>
        <w:t>State: Log/audit/usage.; Scale: Theo write/retention.; Health/backup: TTL, archive và access control.</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Qdrant. </w:t>
      </w:r>
      <w:r>
        <w:rPr>
          <w:rFonts w:cs="Times New Roman" w:ascii="Times New Roman" w:hAnsi="Times New Roman"/>
          <w:sz w:val="26"/>
          <w:szCs w:val="26"/>
        </w:rPr>
        <w:t>State: Dense/sparse vectors.; Scale: Collection/shard theo quy mô.; Health/backup: Snapshot, schema/model version.</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Provider. </w:t>
      </w:r>
      <w:r>
        <w:rPr>
          <w:rFonts w:cs="Times New Roman" w:ascii="Times New Roman" w:hAnsi="Times New Roman"/>
          <w:sz w:val="26"/>
          <w:szCs w:val="26"/>
        </w:rPr>
        <w:t>State: External.; Scale: Quota/contract.; Health/backup: Timeout, circuit breaker, budget alert.</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8"/>
        <w:gridCol w:w="2502"/>
      </w:tblGrid>
      <w:tr>
        <w:trPr>
          <w:tblHeader w:val="true"/>
          <w:cantSplit/>
        </w:trPr>
        <w:tc>
          <w:tcPr>
            <w:tcW w:w="1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Rule catalog. </w:t>
      </w:r>
      <w:r>
        <w:rPr>
          <w:rFonts w:cs="Times New Roman" w:ascii="Times New Roman" w:hAnsi="Times New Roman"/>
          <w:sz w:val="26"/>
          <w:szCs w:val="26"/>
        </w:rPr>
        <w:t>Key: manifest hash.; TTL/invalidation: Release rule mới.; Không cache khi: Corpus check thất bại.</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Health. </w:t>
      </w:r>
      <w:r>
        <w:rPr>
          <w:rFonts w:cs="Times New Roman" w:ascii="Times New Roman" w:hAnsi="Times New Roman"/>
          <w:sz w:val="26"/>
          <w:szCs w:val="26"/>
        </w:rPr>
        <w:t>Key: service/environment.; TTL/invalidation: TTL rất ngắn.; Không cache khi: Readiness transition.</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Normal"/>
        <w:spacing w:lineRule="auto" w:line="312" w:before="0" w:after="160"/>
        <w:ind w:hanging="0" w:start="283" w:end="283"/>
        <w:rPr/>
      </w:pPr>
      <w:r>
        <w:rPr>
          <w:i/>
          <w:color w:val="444444"/>
          <w:sz w:val="24"/>
        </w:rPr>
        <w:t>Chương 3 mô tả hiện trạng triển khai và bằng chứng kiểm chứng có thật. Các bảng kết quả chỉ dùng số liệu thu được từ mã nguồn và lệnh kiểm tra; không sử dụng số liệu hiệu năng hoặc độ chính xác giả lập.</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Dữ liệu. </w:t>
      </w:r>
      <w:r>
        <w:rPr>
          <w:rFonts w:cs="Times New Roman" w:ascii="Times New Roman" w:hAnsi="Times New Roman"/>
          <w:sz w:val="26"/>
          <w:szCs w:val="26"/>
        </w:rPr>
        <w:t>Công nghệ: MongoDB, Mongoose; Vai trò: Thực thể giao dịch, cấu hình và sự kiện.</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service. </w:t>
      </w:r>
      <w:r>
        <w:rPr>
          <w:rFonts w:cs="Times New Roman" w:ascii="Times New Roman" w:hAnsi="Times New Roman"/>
          <w:sz w:val="26"/>
          <w:szCs w:val="26"/>
        </w:rPr>
        <w:t>Công nghệ: Python, gRPC; Vai trò: Biên dịch vụ cho LLM, RAG, audio và TTS.</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LLM/RAG. </w:t>
      </w:r>
      <w:r>
        <w:rPr>
          <w:rFonts w:cs="Times New Roman" w:ascii="Times New Roman" w:hAnsi="Times New Roman"/>
          <w:sz w:val="26"/>
          <w:szCs w:val="26"/>
        </w:rPr>
        <w:t>Công nghệ: DeepSeek, Qdrant, dense + BM25 + RRF; Vai trò: Sinh có cấu trúc và grounding.</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Speech. </w:t>
      </w:r>
      <w:r>
        <w:rPr>
          <w:rFonts w:cs="Times New Roman" w:ascii="Times New Roman" w:hAnsi="Times New Roman"/>
          <w:sz w:val="26"/>
          <w:szCs w:val="26"/>
        </w:rPr>
        <w:t>Công nghệ: AssemblyAI, Faster-Whisper, SenseVoice, Edge TTS; Vai trò: Transcript, rich tags và phát giọng hỏi.</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8"/>
        <w:gridCol w:w="2602"/>
      </w:tblGrid>
      <w:tr>
        <w:trPr>
          <w:tblHeader w:val="true"/>
          <w:cantSplit/>
        </w:trPr>
        <w:tc>
          <w:tcPr>
            <w:tcW w:w="2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8"/>
        <w:gridCol w:w="3501"/>
        <w:gridCol w:w="2101"/>
      </w:tblGrid>
      <w:tr>
        <w:trPr>
          <w:tblHeader w:val="true"/>
          <w:cantSplit/>
        </w:trPr>
        <w:tc>
          <w:tcPr>
            <w:tcW w:w="29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8"/>
        <w:gridCol w:w="1700"/>
        <w:gridCol w:w="4602"/>
      </w:tblGrid>
      <w:tr>
        <w:trPr>
          <w:tblHeader w:val="true"/>
          <w:cantSplit/>
        </w:trPr>
        <w:tc>
          <w:tcPr>
            <w:tcW w:w="2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8"/>
        <w:gridCol w:w="3600"/>
        <w:gridCol w:w="3202"/>
      </w:tblGrid>
      <w:tr>
        <w:trPr>
          <w:tblHeader w:val="true"/>
          <w:cantSplit/>
        </w:trPr>
        <w:tc>
          <w:tcPr>
            <w:tcW w:w="21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8"/>
        <w:gridCol w:w="2602"/>
      </w:tblGrid>
      <w:tr>
        <w:trPr>
          <w:tblHeader w:val="true"/>
          <w:cantSplit/>
        </w:trPr>
        <w:tc>
          <w:tcPr>
            <w:tcW w:w="23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800"/>
        <w:gridCol w:w="2802"/>
        <w:gridCol w:w="2500"/>
      </w:tblGrid>
      <w:tr>
        <w:trPr>
          <w:tblHeader w:val="true"/>
          <w:cantSplit/>
        </w:trPr>
        <w:tc>
          <w:tcPr>
            <w:tcW w:w="1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8"/>
        <w:gridCol w:w="2800"/>
        <w:gridCol w:w="2702"/>
        <w:gridCol w:w="2700"/>
      </w:tblGrid>
      <w:tr>
        <w:trPr>
          <w:tblHeader w:val="true"/>
          <w:cantSplit/>
        </w:trPr>
        <w:tc>
          <w:tcPr>
            <w:tcW w:w="16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8"/>
        <w:gridCol w:w="3000"/>
        <w:gridCol w:w="2300"/>
        <w:gridCol w:w="2502"/>
      </w:tblGrid>
      <w:tr>
        <w:trPr>
          <w:tblHeader w:val="true"/>
          <w:cantSplit/>
        </w:trPr>
        <w:tc>
          <w:tcPr>
            <w:tcW w:w="16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8"/>
        <w:gridCol w:w="2402"/>
      </w:tblGrid>
      <w:tr>
        <w:trPr>
          <w:tblHeader w:val="true"/>
          <w:cantSplit/>
        </w:trPr>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9"/>
        <w:gridCol w:w="2602"/>
      </w:tblGrid>
      <w:tr>
        <w:trPr>
          <w:tblHeader w:val="true"/>
          <w:cantSplit/>
        </w:trPr>
        <w:tc>
          <w:tcPr>
            <w:tcW w:w="1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8"/>
        <w:gridCol w:w="1300"/>
        <w:gridCol w:w="1301"/>
        <w:gridCol w:w="2499"/>
        <w:gridCol w:w="2802"/>
      </w:tblGrid>
      <w:tr>
        <w:trPr>
          <w:tblHeader w:val="true"/>
          <w:cantSplit/>
        </w:trPr>
        <w:tc>
          <w:tcPr>
            <w:tcW w:w="13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8"/>
        <w:gridCol w:w="3400"/>
        <w:gridCol w:w="3102"/>
        <w:gridCol w:w="1100"/>
      </w:tblGrid>
      <w:tr>
        <w:trPr>
          <w:tblHeader w:val="true"/>
          <w:cantSplit/>
        </w:trPr>
        <w:tc>
          <w:tcPr>
            <w:tcW w:w="10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Soak. </w:t>
      </w:r>
      <w:r>
        <w:rPr>
          <w:rFonts w:cs="Times New Roman" w:ascii="Times New Roman" w:hAnsi="Times New Roman"/>
          <w:sz w:val="26"/>
          <w:szCs w:val="26"/>
        </w:rPr>
        <w:t>Workload: Hỗn hợp nhiều giờ.; Chỉ số: Memory/connection/stuck state.; Tiêu chí phân tích: Leak và recovery.</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Source. </w:t>
      </w:r>
      <w:r>
        <w:rPr>
          <w:rFonts w:cs="Times New Roman" w:ascii="Times New Roman" w:hAnsi="Times New Roman"/>
          <w:sz w:val="26"/>
          <w:szCs w:val="26"/>
        </w:rPr>
        <w:t>Trường: Commit/branch/build ID.; Lý do: Xác định code chính xác.</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Rule. </w:t>
      </w:r>
      <w:r>
        <w:rPr>
          <w:rFonts w:cs="Times New Roman" w:ascii="Times New Roman" w:hAnsi="Times New Roman"/>
          <w:sz w:val="26"/>
          <w:szCs w:val="26"/>
        </w:rPr>
        <w:t>Trường: schemaVersion + manifest hash.; Lý do: Biết tri thức/rubric đã dùng.</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Prompt/model. </w:t>
      </w:r>
      <w:r>
        <w:rPr>
          <w:rFonts w:cs="Times New Roman" w:ascii="Times New Roman" w:hAnsi="Times New Roman"/>
          <w:sz w:val="26"/>
          <w:szCs w:val="26"/>
        </w:rPr>
        <w:t>Trường: Prompt version, model string, provider request IDs.; Lý do: Theo dõi drift và tái chạy.</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RAG. </w:t>
      </w:r>
      <w:r>
        <w:rPr>
          <w:rFonts w:cs="Times New Roman" w:ascii="Times New Roman" w:hAnsi="Times New Roman"/>
          <w:sz w:val="26"/>
          <w:szCs w:val="26"/>
        </w:rPr>
        <w:t>Trường: Collection, embedding models, top-k/filter/fusion.; Lý do: Tái hiện evidence retrieval.</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w:t>
      </w:r>
      <w:r>
        <w:rPr>
          <w:rFonts w:cs="Times New Roman" w:ascii="Times New Roman" w:hAnsi="Times New Roman"/>
          <w:sz w:val="26"/>
          <w:szCs w:val="26"/>
        </w:rPr>
        <w:t>Trường: SenseVoice revision/hash/device; ASR config.; Lý do: So sánh model/hardware.</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Data. </w:t>
      </w:r>
      <w:r>
        <w:rPr>
          <w:rFonts w:cs="Times New Roman" w:ascii="Times New Roman" w:hAnsi="Times New Roman"/>
          <w:sz w:val="26"/>
          <w:szCs w:val="26"/>
        </w:rPr>
        <w:t>Trường: Dataset/fixture version, sample size, consent scope.; Lý do: Bảo đảm population và quyền sử dụng.</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702"/>
        <w:gridCol w:w="3299"/>
        <w:gridCol w:w="1701"/>
      </w:tblGrid>
      <w:tr>
        <w:trPr>
          <w:tblHeader w:val="true"/>
          <w:cantSplit/>
        </w:trPr>
        <w:tc>
          <w:tcPr>
            <w:tcW w:w="1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Normal"/>
        <w:spacing w:lineRule="auto" w:line="312" w:before="0" w:after="160"/>
        <w:ind w:hanging="0" w:start="283" w:end="283"/>
        <w:rPr/>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Chưa có nghiên cứu với mẫu ứng viên thật đủ lớn và đa dạng để ước lượng reliability, validity, calibration và adverse impact.</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60 profile là blueprint cần chuyên gia miền xác nhận; chưa thể coi là taxonomy năng lực chuẩn hóa.</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Tên model DeepSeek và behavior provider phụ thuộc cấu hình/tài khoản; cần kiểm tra availability và version trước mỗi đợt triển khai.</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số field hợp đồng như confidence/composure còn dễ bị hiểu là psychometric score dù logic đã giữ trung tính.</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9"/>
        <w:gridCol w:w="2602"/>
      </w:tblGrid>
      <w:tr>
        <w:trPr>
          <w:tblHeader w:val="true"/>
          <w:cantSplit/>
        </w:trPr>
        <w:tc>
          <w:tcPr>
            <w:tcW w:w="14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9"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500"/>
        <w:gridCol w:w="3302"/>
        <w:gridCol w:w="2500"/>
      </w:tblGrid>
      <w:tr>
        <w:trPr>
          <w:tblHeader w:val="true"/>
          <w:cantSplit/>
        </w:trPr>
        <w:tc>
          <w:tcPr>
            <w:tcW w:w="1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8"/>
        <w:gridCol w:w="3502"/>
        <w:gridCol w:w="2598"/>
        <w:gridCol w:w="2002"/>
      </w:tblGrid>
      <w:tr>
        <w:trPr>
          <w:tblHeader w:val="true"/>
          <w:cantSplit/>
        </w:trPr>
        <w:tc>
          <w:tcPr>
            <w:tcW w:w="11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400"/>
        <w:gridCol w:w="4102"/>
      </w:tblGrid>
      <w:tr>
        <w:trPr>
          <w:tblHeader w:val="true"/>
          <w:cantSplit/>
        </w:trPr>
        <w:tc>
          <w:tcPr>
            <w:tcW w:w="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4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numPr>
          <w:ilvl w:val="0"/>
          <w:numId w:val="2"/>
        </w:numPr>
        <w:spacing w:lineRule="auto" w:line="276" w:before="0" w:after="40"/>
        <w:ind w:hanging="198" w:start="425"/>
        <w:rPr/>
      </w:pPr>
      <w:r>
        <w:rPr>
          <w:sz w:val="24"/>
        </w:rPr>
        <w:t>JD và competency được chuyên gia xác nhận trước khi tạo câu hỏi.</w:t>
      </w:r>
    </w:p>
    <w:p>
      <w:pPr>
        <w:pStyle w:val="Normal"/>
        <w:numPr>
          <w:ilvl w:val="0"/>
          <w:numId w:val="2"/>
        </w:numPr>
        <w:spacing w:lineRule="auto" w:line="276" w:before="0" w:after="40"/>
        <w:ind w:hanging="198" w:start="425"/>
        <w:rPr/>
      </w:pPr>
      <w:r>
        <w:rPr>
          <w:sz w:val="24"/>
        </w:rPr>
        <w:t>Mọi ứng viên cùng vai trò nhận cấu trúc và thời lượng tương đương.</w:t>
      </w:r>
    </w:p>
    <w:p>
      <w:pPr>
        <w:pStyle w:val="Normal"/>
        <w:numPr>
          <w:ilvl w:val="0"/>
          <w:numId w:val="2"/>
        </w:numPr>
        <w:spacing w:lineRule="auto" w:line="276" w:before="0" w:after="40"/>
        <w:ind w:hanging="198" w:start="425"/>
        <w:rPr/>
      </w:pPr>
      <w:r>
        <w:rPr>
          <w:sz w:val="24"/>
        </w:rPr>
        <w:t>Probing chỉ làm rõ bằng chứng, không tùy ý đổi tiêu chí giữa ứng viên.</w:t>
      </w:r>
    </w:p>
    <w:p>
      <w:pPr>
        <w:pStyle w:val="Normal"/>
        <w:numPr>
          <w:ilvl w:val="0"/>
          <w:numId w:val="2"/>
        </w:numPr>
        <w:spacing w:lineRule="auto" w:line="276" w:before="0" w:after="40"/>
        <w:ind w:hanging="198" w:start="425"/>
        <w:rPr/>
      </w:pPr>
      <w:r>
        <w:rPr>
          <w:sz w:val="24"/>
        </w:rPr>
        <w:t>Rubric có neo hành vi và ví dụ evidence; người đánh giá được đào tạo.</w:t>
      </w:r>
    </w:p>
    <w:p>
      <w:pPr>
        <w:pStyle w:val="Normal"/>
        <w:numPr>
          <w:ilvl w:val="0"/>
          <w:numId w:val="2"/>
        </w:numPr>
        <w:spacing w:lineRule="auto" w:line="276" w:before="0" w:after="40"/>
        <w:ind w:hanging="198" w:start="425"/>
        <w:rPr/>
      </w:pPr>
      <w:r>
        <w:rPr>
          <w:sz w:val="24"/>
        </w:rPr>
        <w:t>Điểm nội dung không dùng accent, emotion tag hoặc tốc độ nói làm proxy.</w:t>
      </w:r>
    </w:p>
    <w:p>
      <w:pPr>
        <w:pStyle w:val="Normal"/>
        <w:numPr>
          <w:ilvl w:val="0"/>
          <w:numId w:val="2"/>
        </w:numPr>
        <w:spacing w:lineRule="auto" w:line="276" w:before="0" w:after="40"/>
        <w:ind w:hanging="198" w:start="425"/>
        <w:rPr/>
      </w:pPr>
      <w:r>
        <w:rPr>
          <w:sz w:val="24"/>
        </w:rPr>
        <w:t>Mỗi kết luận quan trọng có evidence excerpt và grounding có nguồn.</w:t>
      </w:r>
    </w:p>
    <w:p>
      <w:pPr>
        <w:pStyle w:val="Normal"/>
        <w:numPr>
          <w:ilvl w:val="0"/>
          <w:numId w:val="2"/>
        </w:numPr>
        <w:spacing w:lineRule="auto" w:line="276" w:before="0" w:after="40"/>
        <w:ind w:hanging="198" w:start="425"/>
        <w:rPr/>
      </w:pPr>
      <w:r>
        <w:rPr>
          <w:sz w:val="24"/>
        </w:rPr>
        <w:t>Quyết định cuối có human review và cơ chế xem xét/hiệu chỉnh.</w:t>
      </w:r>
    </w:p>
    <w:p>
      <w:pPr>
        <w:pStyle w:val="Normal"/>
        <w:numPr>
          <w:ilvl w:val="0"/>
          <w:numId w:val="2"/>
        </w:numPr>
        <w:spacing w:lineRule="auto" w:line="276" w:before="0" w:after="40"/>
        <w:ind w:hanging="198" w:start="425"/>
        <w:rPr/>
      </w:pPr>
      <w:r>
        <w:rPr>
          <w:sz w:val="24"/>
        </w:rPr>
        <w:t>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8"/>
        <w:gridCol w:w="4202"/>
        <w:gridCol w:w="3300"/>
      </w:tblGrid>
      <w:tr>
        <w:trPr>
          <w:tblHeader w:val="true"/>
          <w:cantSplit/>
        </w:trPr>
        <w:tc>
          <w:tcPr>
            <w:tcW w:w="1198"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2"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2"/>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alibri Light">
    <w:charset w:val="00" w:characterSet="windows-1252"/>
    <w:family w:val="roman"/>
    <w:pitch w:val="variable"/>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1" w:fontKey="{01014A78-CABC-4EF0-12AC-5CD89AEFDE01}"/>
  </w:font>
  <w:font w:name="Times New Roman">
    <w:charset w:val="01"/>
    <w:family w:val="roman"/>
    <w:pitch w:val="variable"/>
  </w:font>
  <w:font w:name="Courier New">
    <w:charset w:val="01"/>
    <w:family w:val="modern"/>
    <w:pitch w:val="fixed"/>
  </w:font>
  <w:font w:name="Wingdings">
    <w:charset w:val="02"/>
    <w:family w:val="auto"/>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eastAsia="Aptos" w:ascii="Times New Roman" w:hAnsi="Times New Roman"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130</Pages>
  <Words>41826</Words>
  <Characters>194608</Characters>
  <CharactersWithSpaces>233734</CharactersWithSpaces>
  <Paragraphs>2498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2026-08-19T10:06:53Z</dcterms:modified>
  <cp:revision>2</cp:revision>
  <dc:subject>Khóa luận tốt nghiệp InterV - source snapshot v7</dc:subject>
  <dc:title>Xây dựng hệ thống phỏng vấn và luyện tập phỏng vấn tích hợp trí tuệ nhân tạo - v7</dc:title>
</cp:coreProperties>
</file>

<file path=docProps/custom.xml><?xml version="1.0" encoding="utf-8"?>
<Properties xmlns="http://schemas.openxmlformats.org/officeDocument/2006/custom-properties" xmlns:vt="http://schemas.openxmlformats.org/officeDocument/2006/docPropsVTypes"/>
</file>