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n34xjncw7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Problem Statement Outline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Identifying High-Potential Customers for Optimal Delivery Strategy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4xevyl668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Business Problem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Swire Coca-Cola's logistics strategy aims to balance operational efficiency and long-term revenue growth. Customers with annual orders below a specific volume threshold are transitioned to an Alternate Route to Market (ARTM), serviced by third-party "white truck" deliveries. However, misclassifying high-potential customers as ARTM risks losing growth opportunities due to diminished customer engagement. The problem lies in accurately identifying and retaining such high-potential customers within direct delivery (red truck) operations.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ecpzs4514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Benefit of a Solution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data-driven approach to identify high-potential customers will: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 premature transitions to ARTM.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Maximize revenue growth by leveraging customer engagement and coaching strategies.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resource allocation, balancing delivery costs with profitability.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long-term customer relationships and brand loyalty.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k32hfhf6k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Success Metrics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Improved classification accuracy of high-potential customers (e.g., through AUC-ROC scores or precision/recall metrics).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Reduction in misclassified customers moved to ARTM.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in revenue growth rates for retained high-potential customers.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Cost-efficiency improvement measured by delivery cost per gallon/case.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b152xjkpq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Analytics Approach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Exploration:</w:t>
      </w:r>
      <w:r w:rsidDel="00000000" w:rsidR="00000000" w:rsidRPr="00000000">
        <w:rPr>
          <w:rtl w:val="0"/>
        </w:rPr>
        <w:t xml:space="preserve"> Analyze historical sales data, customer profiles, and transactional data to understand customer characteristics.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Modeling:</w:t>
      </w:r>
      <w:r w:rsidDel="00000000" w:rsidR="00000000" w:rsidRPr="00000000">
        <w:rPr>
          <w:rtl w:val="0"/>
        </w:rPr>
        <w:t xml:space="preserve"> Develop models to predict customer growth potential using factors such as order volume trends, engagement channels, and delivery costs.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Optimization:</w:t>
      </w:r>
      <w:r w:rsidDel="00000000" w:rsidR="00000000" w:rsidRPr="00000000">
        <w:rPr>
          <w:rtl w:val="0"/>
        </w:rPr>
        <w:t xml:space="preserve"> Validate the appropriateness of the 400-gallon annual threshold and propose alternatives.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Analysis:</w:t>
      </w:r>
      <w:r w:rsidDel="00000000" w:rsidR="00000000" w:rsidRPr="00000000">
        <w:rPr>
          <w:rtl w:val="0"/>
        </w:rPr>
        <w:t xml:space="preserve"> Simulate the impact of various classification thresholds and strategies on delivery costs and revenue.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h3tb3o57i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Scope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Included: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Analysis of two customer groups: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 Market Partners buying only fountain drinks.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 customers, regardless of product mix.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of actionable strategies to optimize customer retention and profitability.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Excluded: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variables such as competitor actions or macroeconomic conditions.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Operational cost estimations beyond delivery-related expenses.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1d5iu53vg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Details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Team:</w:t>
      </w:r>
      <w:r w:rsidDel="00000000" w:rsidR="00000000" w:rsidRPr="00000000">
        <w:rPr>
          <w:rtl w:val="0"/>
        </w:rPr>
        <w:t xml:space="preserve"> Data science students collaborating with Swire Coca-Cola stakeholders.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Determined by the Capstone course schedule.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problem statement.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Exploratory Data Analysis (EDA) report.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Predictive model and threshold optimization analysis.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presentation and recommendations.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