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pStyle w:val="Heading1"/>
      </w:pPr>
      <w:r>
        <w:t>Green Life Executive Summary</w:t>
      </w:r>
    </w:p>
    <w:p/>
    <w:p>
      <w:r>
        <w:t>_Investor and stakeholder overview_</w:t>
      </w:r>
    </w:p>
    <w:p/>
    <w:p>
      <w:pPr>
        <w:pStyle w:val="Heading2"/>
      </w:pPr>
      <w:r>
        <w:t>Product Overview</w:t>
      </w:r>
    </w:p>
    <w:p>
      <w:r>
        <w:t>Green Life is a mobile app that helps users identify the environmental impact of products and materials around them. Users scan a barcode, take a photo, or search by name to view a source-backed impact summary that may include carbon footprint, material composition, recyclability, recycled content, disposal guidance, and confidence level.</w:t>
      </w:r>
    </w:p>
    <w:p/>
    <w:p>
      <w:r>
        <w:t>The product's core value is practical transparency. It is designed to help people make better purchase and disposal decisions in seconds while showing exactly where the data came from and how certain the result is.</w:t>
      </w:r>
    </w:p>
    <w:p/>
    <w:p>
      <w:pPr>
        <w:pStyle w:val="Heading2"/>
      </w:pPr>
      <w:r>
        <w:t>Problem</w:t>
      </w:r>
    </w:p>
    <w:p>
      <w:r>
        <w:t>Consumers interact with products every day without an easy way to understand their environmental impact. Relevant information is fragmented across EPA resources, environmental product declarations, manufacturer disclosures, open product metadata sources, and material factor datasets. Even when data exists, it is often difficult to interpret, inconsistent across sources, or unavailable at the exact product level.</w:t>
      </w:r>
    </w:p>
    <w:p/>
    <w:p>
      <w:r>
        <w:t>As a result, most users cannot quickly answer questions such as:</w:t>
      </w:r>
    </w:p>
    <w:p>
      <w:pPr>
        <w:pStyle w:val="ListBullet"/>
      </w:pPr>
      <w:r>
        <w:t>What is this product's carbon footprint?</w:t>
      </w:r>
    </w:p>
    <w:p>
      <w:pPr>
        <w:pStyle w:val="ListBullet"/>
      </w:pPr>
      <w:r>
        <w:t>Is this item recyclable or made from recyclable materials?</w:t>
      </w:r>
    </w:p>
    <w:p>
      <w:pPr>
        <w:pStyle w:val="ListBullet"/>
      </w:pPr>
      <w:r>
        <w:t>Does this product contain concerning materials or hazard indicators?</w:t>
      </w:r>
    </w:p>
    <w:p>
      <w:pPr>
        <w:pStyle w:val="ListBullet"/>
      </w:pPr>
      <w:r>
        <w:t>Is the app showing exact product data or only a category-level estimate?</w:t>
      </w:r>
    </w:p>
    <w:p>
      <w:pPr>
        <w:pStyle w:val="ListBullet"/>
      </w:pPr>
      <w:r>
        <w:t>Is there a lower-impact alternative?</w:t>
      </w:r>
    </w:p>
    <w:p/>
    <w:p>
      <w:pPr>
        <w:pStyle w:val="Heading2"/>
      </w:pPr>
      <w:r>
        <w:t>Solution</w:t>
      </w:r>
    </w:p>
    <w:p>
      <w:r>
        <w:t>Green Life converts fragmented environmental information into a fast, mobile-first lookup experience. The user scans, searches, or photographs an item. The system then attempts to resolve the item to an exact product record, a probable match, or a category/material estimate. It returns a clear impact profile backed by source attribution and a visible confidence label.</w:t>
      </w:r>
    </w:p>
    <w:p/>
    <w:p>
      <w:r>
        <w:t>The solution is differentiated by a strict trust principle: the app should never imply exact product precision when only a category or material estimate exists. Instead, it presents usable environmental information with the uncertainty made explicit.</w:t>
      </w:r>
    </w:p>
    <w:p/>
    <w:p>
      <w:pPr>
        <w:pStyle w:val="Heading2"/>
      </w:pPr>
      <w:r>
        <w:t>Why Now</w:t>
      </w:r>
    </w:p>
    <w:p>
      <w:r>
        <w:t>Several conditions make this a strong time to build Green Life:</w:t>
      </w:r>
    </w:p>
    <w:p>
      <w:pPr>
        <w:pStyle w:val="ListBullet"/>
      </w:pPr>
      <w:r>
        <w:t>Consumer demand for sustainability transparency continues to increase.</w:t>
      </w:r>
    </w:p>
    <w:p>
      <w:pPr>
        <w:pStyle w:val="ListBullet"/>
      </w:pPr>
      <w:r>
        <w:t>Public environmental datasets are more available than before, but remain difficult for ordinary users to navigate.</w:t>
      </w:r>
    </w:p>
    <w:p>
      <w:pPr>
        <w:pStyle w:val="ListBullet"/>
      </w:pPr>
      <w:r>
        <w:t>Barcode scanning, OCR, and camera workflows are mature enough for a practical mobile MVP.</w:t>
      </w:r>
    </w:p>
    <w:p>
      <w:pPr>
        <w:pStyle w:val="ListBullet"/>
      </w:pPr>
      <w:r>
        <w:t>Existing consumer sustainability tools often either oversimplify the data or fail to show provenance and confidence clearly.</w:t>
      </w:r>
    </w:p>
    <w:p/>
    <w:p>
      <w:pPr>
        <w:pStyle w:val="Heading2"/>
      </w:pPr>
      <w:r>
        <w:t>Target Market</w:t>
      </w:r>
    </w:p>
    <w:p>
      <w:pPr>
        <w:pStyle w:val="Heading3"/>
      </w:pPr>
      <w:r>
        <w:t>Primary users</w:t>
      </w:r>
    </w:p>
    <w:p>
      <w:pPr>
        <w:pStyle w:val="ListBullet"/>
      </w:pPr>
      <w:r>
        <w:t>environmentally conscious consumers</w:t>
      </w:r>
    </w:p>
    <w:p>
      <w:pPr>
        <w:pStyle w:val="ListBullet"/>
      </w:pPr>
      <w:r>
        <w:t>homeowners and renters making purchasing and disposal decisions</w:t>
      </w:r>
    </w:p>
    <w:p>
      <w:pPr>
        <w:pStyle w:val="ListBullet"/>
      </w:pPr>
      <w:r>
        <w:t>shoppers comparing products in-store or online</w:t>
      </w:r>
    </w:p>
    <w:p/>
    <w:p>
      <w:pPr>
        <w:pStyle w:val="Heading3"/>
      </w:pPr>
      <w:r>
        <w:t>Secondary users</w:t>
      </w:r>
    </w:p>
    <w:p>
      <w:pPr>
        <w:pStyle w:val="ListBullet"/>
      </w:pPr>
      <w:r>
        <w:t>educators and students</w:t>
      </w:r>
    </w:p>
    <w:p>
      <w:pPr>
        <w:pStyle w:val="ListBullet"/>
      </w:pPr>
      <w:r>
        <w:t>sustainability researchers</w:t>
      </w:r>
    </w:p>
    <w:p>
      <w:pPr>
        <w:pStyle w:val="ListBullet"/>
      </w:pPr>
      <w:r>
        <w:t>small business procurement teams</w:t>
      </w:r>
    </w:p>
    <w:p>
      <w:pPr>
        <w:pStyle w:val="ListBullet"/>
      </w:pPr>
      <w:r>
        <w:t>future enterprise procurement and reporting users</w:t>
      </w:r>
    </w:p>
    <w:p/>
    <w:p>
      <w:pPr>
        <w:pStyle w:val="Heading2"/>
      </w:pPr>
      <w:r>
        <w:t>Core Value Proposition</w:t>
      </w:r>
    </w:p>
    <w:p>
      <w:r>
        <w:t>"Scan something and understand its environmental impact in seconds."</w:t>
      </w:r>
    </w:p>
    <w:p/>
    <w:p>
      <w:r>
        <w:t>More specifically, Green Life aims to provide:</w:t>
      </w:r>
    </w:p>
    <w:p>
      <w:pPr>
        <w:pStyle w:val="ListBullet"/>
      </w:pPr>
      <w:r>
        <w:t>fast identification of products or materials</w:t>
      </w:r>
    </w:p>
    <w:p>
      <w:pPr>
        <w:pStyle w:val="ListBullet"/>
      </w:pPr>
      <w:r>
        <w:t>clear visibility into carbon and related impact metrics</w:t>
      </w:r>
    </w:p>
    <w:p>
      <w:pPr>
        <w:pStyle w:val="ListBullet"/>
      </w:pPr>
      <w:r>
        <w:t>transparent sourcing and methodology signals</w:t>
      </w:r>
    </w:p>
    <w:p>
      <w:pPr>
        <w:pStyle w:val="ListBullet"/>
      </w:pPr>
      <w:r>
        <w:t>understandable distinction between exact data and estimates</w:t>
      </w:r>
    </w:p>
    <w:p/>
    <w:p>
      <w:pPr>
        <w:pStyle w:val="Heading2"/>
      </w:pPr>
      <w:r>
        <w:t>MVP Scope</w:t>
      </w:r>
    </w:p>
    <w:p>
      <w:r>
        <w:t>The initial product should focus on a narrow but trustworthy workflow:</w:t>
      </w:r>
    </w:p>
    <w:p>
      <w:pPr>
        <w:pStyle w:val="ListBullet"/>
      </w:pPr>
      <w:r>
        <w:t>barcode scan</w:t>
      </w:r>
    </w:p>
    <w:p>
      <w:pPr>
        <w:pStyle w:val="ListBullet"/>
      </w:pPr>
      <w:r>
        <w:t>text search</w:t>
      </w:r>
    </w:p>
    <w:p>
      <w:pPr>
        <w:pStyle w:val="ListBullet"/>
      </w:pPr>
      <w:r>
        <w:t>photo-assisted candidate selection</w:t>
      </w:r>
    </w:p>
    <w:p>
      <w:pPr>
        <w:pStyle w:val="ListBullet"/>
      </w:pPr>
      <w:r>
        <w:t>product/category matching</w:t>
      </w:r>
    </w:p>
    <w:p>
      <w:pPr>
        <w:pStyle w:val="ListBullet"/>
      </w:pPr>
      <w:r>
        <w:t>environmental impact summary</w:t>
      </w:r>
    </w:p>
    <w:p>
      <w:pPr>
        <w:pStyle w:val="ListBullet"/>
      </w:pPr>
      <w:r>
        <w:t>source attribution</w:t>
      </w:r>
    </w:p>
    <w:p>
      <w:pPr>
        <w:pStyle w:val="ListBullet"/>
      </w:pPr>
      <w:r>
        <w:t>confidence labeling</w:t>
      </w:r>
    </w:p>
    <w:p>
      <w:pPr>
        <w:pStyle w:val="ListBullet"/>
      </w:pPr>
      <w:r>
        <w:t>saved history</w:t>
      </w:r>
    </w:p>
    <w:p>
      <w:pPr>
        <w:pStyle w:val="ListBullet"/>
      </w:pPr>
      <w:r>
        <w:t>internal admin review capability</w:t>
      </w:r>
    </w:p>
    <w:p/>
    <w:p>
      <w:r>
        <w:t>The MVP should avoid trying to support every object or every product type on day one. A narrow category strategy will improve data quality and trust.</w:t>
      </w:r>
    </w:p>
    <w:p/>
    <w:p>
      <w:pPr>
        <w:pStyle w:val="Heading2"/>
      </w:pPr>
      <w:r>
        <w:t>Product Principles</w:t>
      </w:r>
    </w:p>
    <w:p>
      <w:r>
        <w:t>Green Life should be built around five principles:</w:t>
      </w:r>
    </w:p>
    <w:p>
      <w:pPr>
        <w:pStyle w:val="ListBullet"/>
      </w:pPr>
      <w:r>
        <w:t>transparency over false precision</w:t>
      </w:r>
    </w:p>
    <w:p>
      <w:pPr>
        <w:pStyle w:val="ListBullet"/>
      </w:pPr>
      <w:r>
        <w:t>source attribution on every major metric</w:t>
      </w:r>
    </w:p>
    <w:p>
      <w:pPr>
        <w:pStyle w:val="ListBullet"/>
      </w:pPr>
      <w:r>
        <w:t>fast scan/search flow before advanced intelligence</w:t>
      </w:r>
    </w:p>
    <w:p>
      <w:pPr>
        <w:pStyle w:val="ListBullet"/>
      </w:pPr>
      <w:r>
        <w:t>partial results are acceptable if clearly labeled</w:t>
      </w:r>
    </w:p>
    <w:p>
      <w:pPr>
        <w:pStyle w:val="ListBullet"/>
      </w:pPr>
      <w:r>
        <w:t>user trust matters more than broad but weak coverage</w:t>
      </w:r>
    </w:p>
    <w:p/>
    <w:p>
      <w:pPr>
        <w:pStyle w:val="Heading2"/>
      </w:pPr>
      <w:r>
        <w:t>Data and Technical Strategy</w:t>
      </w:r>
    </w:p>
    <w:p>
      <w:r>
        <w:t>The technical challenge is primarily a data normalization problem, not a UI problem. Green Life needs a backend capable of:</w:t>
      </w:r>
    </w:p>
    <w:p>
      <w:pPr>
        <w:pStyle w:val="ListBullet"/>
      </w:pPr>
      <w:r>
        <w:t>pulling from EPA resources and other public datasets</w:t>
      </w:r>
    </w:p>
    <w:p>
      <w:pPr>
        <w:pStyle w:val="ListBullet"/>
      </w:pPr>
      <w:r>
        <w:t>ingesting EPD records and structured manufacturer disclosures</w:t>
      </w:r>
    </w:p>
    <w:p>
      <w:pPr>
        <w:pStyle w:val="ListBullet"/>
      </w:pPr>
      <w:r>
        <w:t>normalizing records into a canonical schema</w:t>
      </w:r>
    </w:p>
    <w:p>
      <w:pPr>
        <w:pStyle w:val="ListBullet"/>
      </w:pPr>
      <w:r>
        <w:t>storing provenance, freshness, and methodology details</w:t>
      </w:r>
    </w:p>
    <w:p>
      <w:pPr>
        <w:pStyle w:val="ListBullet"/>
      </w:pPr>
      <w:r>
        <w:t>resolving products to exact, probable, category, or material-level matches</w:t>
      </w:r>
    </w:p>
    <w:p>
      <w:pPr>
        <w:pStyle w:val="ListBullet"/>
      </w:pPr>
      <w:r>
        <w:t>returning best-available metrics with confidence labels</w:t>
      </w:r>
    </w:p>
    <w:p/>
    <w:p>
      <w:r>
        <w:t>Recommended core stack:</w:t>
      </w:r>
    </w:p>
    <w:p>
      <w:pPr>
        <w:pStyle w:val="ListBullet"/>
      </w:pPr>
      <w:r>
        <w:t>Mobile: React Native with Expo</w:t>
      </w:r>
    </w:p>
    <w:p>
      <w:pPr>
        <w:pStyle w:val="ListBullet"/>
      </w:pPr>
      <w:r>
        <w:t>Backend: FastAPI or NestJS</w:t>
      </w:r>
    </w:p>
    <w:p>
      <w:pPr>
        <w:pStyle w:val="ListBullet"/>
      </w:pPr>
      <w:r>
        <w:t>Database: PostgreSQL</w:t>
      </w:r>
    </w:p>
    <w:p>
      <w:pPr>
        <w:pStyle w:val="ListBullet"/>
      </w:pPr>
      <w:r>
        <w:t>Search: PostgreSQL full-text initially</w:t>
      </w:r>
    </w:p>
    <w:p>
      <w:pPr>
        <w:pStyle w:val="ListBullet"/>
      </w:pPr>
      <w:r>
        <w:t>Storage: S3-compatible object storage</w:t>
      </w:r>
    </w:p>
    <w:p>
      <w:pPr>
        <w:pStyle w:val="ListBullet"/>
      </w:pPr>
      <w:r>
        <w:t>Auth: Clerk, Firebase Auth, or Auth0</w:t>
      </w:r>
    </w:p>
    <w:p>
      <w:pPr>
        <w:pStyle w:val="ListBullet"/>
      </w:pPr>
      <w:r>
        <w:t>Admin UI: lightweight React web panel</w:t>
      </w:r>
    </w:p>
    <w:p/>
    <w:p>
      <w:pPr>
        <w:pStyle w:val="Heading2"/>
      </w:pPr>
      <w:r>
        <w:t>Product Experience</w:t>
      </w:r>
    </w:p>
    <w:p>
      <w:r>
        <w:t>The core user experience is intentionally simple:</w:t>
      </w:r>
    </w:p>
    <w:p>
      <w:pPr>
        <w:pStyle w:val="ListNumber"/>
      </w:pPr>
      <w:r>
        <w:t>User opens the app.</w:t>
      </w:r>
    </w:p>
    <w:p>
      <w:pPr>
        <w:pStyle w:val="ListNumber"/>
      </w:pPr>
      <w:r>
        <w:t>User scans, searches, or uploads an image.</w:t>
      </w:r>
    </w:p>
    <w:p>
      <w:pPr>
        <w:pStyle w:val="ListNumber"/>
      </w:pPr>
      <w:r>
        <w:t>System resolves an item or likely estimate.</w:t>
      </w:r>
    </w:p>
    <w:p>
      <w:pPr>
        <w:pStyle w:val="ListNumber"/>
      </w:pPr>
      <w:r>
        <w:t>App displays an impact summary card with confidence and sources.</w:t>
      </w:r>
    </w:p>
    <w:p>
      <w:pPr>
        <w:pStyle w:val="ListNumber"/>
      </w:pPr>
      <w:r>
        <w:t>User can drill into metric detail, source detail, save the item, or recover from a no-match flow.</w:t>
      </w:r>
    </w:p>
    <w:p/>
    <w:p>
      <w:r>
        <w:t>The result page is the center of the product. It must communicate both utility and uncertainty cleanly.</w:t>
      </w:r>
    </w:p>
    <w:p/>
    <w:p>
      <w:pPr>
        <w:pStyle w:val="Heading2"/>
      </w:pPr>
      <w:r>
        <w:t>Business Potential</w:t>
      </w:r>
    </w:p>
    <w:p>
      <w:r>
        <w:t>Green Life has multiple long-term monetization paths:</w:t>
      </w:r>
    </w:p>
    <w:p>
      <w:pPr>
        <w:pStyle w:val="ListBullet"/>
      </w:pPr>
      <w:r>
        <w:t>affiliate recommendations for lower-impact alternatives</w:t>
      </w:r>
    </w:p>
    <w:p>
      <w:pPr>
        <w:pStyle w:val="ListBullet"/>
      </w:pPr>
      <w:r>
        <w:t>premium consumer features such as dashboards or comparison history</w:t>
      </w:r>
    </w:p>
    <w:p>
      <w:pPr>
        <w:pStyle w:val="ListBullet"/>
      </w:pPr>
      <w:r>
        <w:t>B2B sustainability lookup APIs</w:t>
      </w:r>
    </w:p>
    <w:p>
      <w:pPr>
        <w:pStyle w:val="ListBullet"/>
      </w:pPr>
      <w:r>
        <w:t>procurement tools for small businesses</w:t>
      </w:r>
    </w:p>
    <w:p>
      <w:pPr>
        <w:pStyle w:val="ListBullet"/>
      </w:pPr>
      <w:r>
        <w:t>enterprise reporting or internal sustainability workflows</w:t>
      </w:r>
    </w:p>
    <w:p/>
    <w:p>
      <w:r>
        <w:t>The most defensible asset is the normalized environmental data layer and the trust model built around source provenance and confidence.</w:t>
      </w:r>
    </w:p>
    <w:p/>
    <w:p>
      <w:pPr>
        <w:pStyle w:val="Heading2"/>
      </w:pPr>
      <w:r>
        <w:t>Current Build Status</w:t>
      </w:r>
    </w:p>
    <w:p>
      <w:r>
        <w:t>This session already produced a working mobile implementation foundation in the project workspace:</w:t>
      </w:r>
    </w:p>
    <w:p>
      <w:pPr>
        <w:pStyle w:val="ListBullet"/>
      </w:pPr>
      <w:r>
        <w:t>Expo React Native app scaffold</w:t>
      </w:r>
    </w:p>
    <w:p>
      <w:pPr>
        <w:pStyle w:val="ListBullet"/>
      </w:pPr>
      <w:r>
        <w:t>Home, Search, Saved, and Profile screens</w:t>
      </w:r>
    </w:p>
    <w:p>
      <w:pPr>
        <w:pStyle w:val="ListBullet"/>
      </w:pPr>
      <w:r>
        <w:t>second-level screens for Barcode Scanner, Photo Capture, Candidate Results, Item Detail, Metric Detail, Source Detail, and No Match</w:t>
      </w:r>
    </w:p>
    <w:p>
      <w:pPr>
        <w:pStyle w:val="ListBullet"/>
      </w:pPr>
      <w:r>
        <w:t>onboarding and permissions screens customized from screenshot-based mockups</w:t>
      </w:r>
    </w:p>
    <w:p>
      <w:pPr>
        <w:pStyle w:val="ListBullet"/>
      </w:pPr>
      <w:r>
        <w:t>in-app mock API and standalone mock server</w:t>
      </w:r>
    </w:p>
    <w:p>
      <w:pPr>
        <w:pStyle w:val="ListBullet"/>
      </w:pPr>
      <w:r>
        <w:t>design and product documentation package</w:t>
      </w:r>
    </w:p>
    <w:p/>
    <w:p>
      <w:r>
        <w:t>The current app uses a primary brand blue of `#004D77` and is ready for continued visual refinement, asset replacement, and live backend integration.</w:t>
      </w:r>
    </w:p>
    <w:p/>
    <w:p>
      <w:pPr>
        <w:pStyle w:val="Heading2"/>
      </w:pPr>
      <w:r>
        <w:t>Main Risks</w:t>
      </w:r>
    </w:p>
    <w:p>
      <w:r>
        <w:t>The highest risks remain:</w:t>
      </w:r>
    </w:p>
    <w:p>
      <w:pPr>
        <w:pStyle w:val="ListBullet"/>
      </w:pPr>
      <w:r>
        <w:t>fragmented and inconsistent EPD access</w:t>
      </w:r>
    </w:p>
    <w:p>
      <w:pPr>
        <w:pStyle w:val="ListBullet"/>
      </w:pPr>
      <w:r>
        <w:t>licensing restrictions on source data</w:t>
      </w:r>
    </w:p>
    <w:p>
      <w:pPr>
        <w:pStyle w:val="ListBullet"/>
      </w:pPr>
      <w:r>
        <w:t>weak product matching for unsupported categories</w:t>
      </w:r>
    </w:p>
    <w:p>
      <w:pPr>
        <w:pStyle w:val="ListBullet"/>
      </w:pPr>
      <w:r>
        <w:t>methodology conflicts across datasets</w:t>
      </w:r>
    </w:p>
    <w:p>
      <w:pPr>
        <w:pStyle w:val="ListBullet"/>
      </w:pPr>
      <w:r>
        <w:t>user trust erosion if estimates are not clearly labeled</w:t>
      </w:r>
    </w:p>
    <w:p/>
    <w:p>
      <w:r>
        <w:t>The product should continue to prioritize transparency and limited-scope accuracy over aggressive breadth.</w:t>
      </w:r>
    </w:p>
    <w:p/>
    <w:p>
      <w:pPr>
        <w:pStyle w:val="Heading2"/>
      </w:pPr>
      <w:r>
        <w:t>Immediate Next Steps</w:t>
      </w:r>
    </w:p>
    <w:p>
      <w:r>
        <w:t>The most practical next steps are:</w:t>
      </w:r>
    </w:p>
    <w:p>
      <w:pPr>
        <w:pStyle w:val="ListBullet"/>
      </w:pPr>
      <w:r>
        <w:t>continue Figma-aligned UI refinement</w:t>
      </w:r>
    </w:p>
    <w:p>
      <w:pPr>
        <w:pStyle w:val="ListBullet"/>
      </w:pPr>
      <w:r>
        <w:t>integrate clean exported assets and logo files</w:t>
      </w:r>
    </w:p>
    <w:p>
      <w:pPr>
        <w:pStyle w:val="ListBullet"/>
      </w:pPr>
      <w:r>
        <w:t>connect the mock-enabled frontend to a real backend API</w:t>
      </w:r>
    </w:p>
    <w:p>
      <w:pPr>
        <w:pStyle w:val="ListBullet"/>
      </w:pPr>
      <w:r>
        <w:t>begin EPA and EPD source validation for one narrow MVP category</w:t>
      </w:r>
    </w:p>
    <w:p>
      <w:pPr>
        <w:pStyle w:val="ListBullet"/>
      </w:pPr>
      <w:r>
        <w:t>maintain explicit confidence and provenance rules across all user-facing outputs</w:t>
      </w:r>
    </w:p>
    <w:sectPr w:rsidR="00FC693F" w:rsidRPr="0006063C" w:rsidSect="00034616">
      <w:headerReference w:type="first" r:id="rId9"/>
      <w:headerReference w:type="default" r:id="rId10"/>
      <w:footerReference w:type="default" r:id="rId11"/>
      <w:pgSz w:w="12240" w:h="15840"/>
      <w:pgMar w:top="1224" w:right="1152" w:bottom="1080" w:left="1152" w:header="432"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0E577E"/>
        <w:sz w:val="18"/>
      </w:rPr>
      <w:t xml:space="preserve">Page </w:t>
    </w:r>
    <w:r>
      <w:rPr>
        <w:rFonts w:ascii="Aptos" w:hAnsi="Aptos" w:eastAsia="Aptos"/>
        <w:sz w:val="18"/>
        <w:szCs w:val="18"/>
        <w:color w:val="0E577E"/>
      </w:rPr>
      <w:fldChar w:fldCharType="begin"/>
    </w:r>
    <w:r>
      <w:rPr>
        <w:rFonts w:ascii="Aptos" w:hAnsi="Aptos" w:eastAsia="Aptos"/>
        <w:sz w:val="18"/>
        <w:szCs w:val="18"/>
        <w:color w:val="0E577E"/>
      </w:rPr>
      <w:instrText xml:space="preserve"> PAGE </w:instrText>
    </w:r>
    <w:r>
      <w:rPr>
        <w:rFonts w:ascii="Aptos" w:hAnsi="Aptos" w:eastAsia="Aptos"/>
        <w:sz w:val="18"/>
        <w:szCs w:val="18"/>
        <w:color w:val="0E577E"/>
      </w:rPr>
      <w:fldChar w:fldCharType="separate"/>
    </w:r>
    <w:r>
      <w:rPr>
        <w:rFonts w:ascii="Aptos" w:hAnsi="Aptos" w:eastAsia="Aptos"/>
        <w:sz w:val="18"/>
        <w:szCs w:val="18"/>
        <w:color w:val="0E577E"/>
      </w:rPr>
      <w:t>1</w:t>
    </w:r>
    <w:r>
      <w:rPr>
        <w:rFonts w:ascii="Aptos" w:hAnsi="Aptos" w:eastAsia="Aptos"/>
        <w:sz w:val="18"/>
        <w:szCs w:val="18"/>
        <w:color w:val="0E577E"/>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914400" cy="728181"/>
          <wp:docPr id="1" name="Picture 1"/>
          <wp:cNvGraphicFramePr>
            <a:graphicFrameLocks noChangeAspect="1"/>
          </wp:cNvGraphicFramePr>
          <a:graphic>
            <a:graphicData uri="http://schemas.openxmlformats.org/drawingml/2006/picture">
              <pic:pic>
                <pic:nvPicPr>
                  <pic:cNvPr id="0" name="doc-logo.png"/>
                  <pic:cNvPicPr/>
                </pic:nvPicPr>
                <pic:blipFill>
                  <a:blip r:embed="rId1"/>
                  <a:stretch>
                    <a:fillRect/>
                  </a:stretch>
                </pic:blipFill>
                <pic:spPr>
                  <a:xfrm>
                    <a:off x="0" y="0"/>
                    <a:ext cx="914400" cy="728181"/>
                  </a:xfrm>
                  <a:prstGeom prst="rect"/>
                </pic:spPr>
              </pic:pic>
            </a:graphicData>
          </a:graphic>
        </wp:inline>
      </w:drawing>
    </w:r>
  </w:p>
  <w:p>
    <w:pPr>
      <w:spacing w:after="0"/>
      <w:jc w:val="center"/>
    </w:pPr>
    <w:r>
      <w:rPr>
        <w:rFonts w:ascii="Aptos" w:hAnsi="Aptos" w:eastAsia="Aptos"/>
        <w:b w:val="0"/>
        <w:color w:val="0E577E"/>
        <w:sz w:val="24"/>
      </w:rPr>
    </w:r>
  </w:p>
  <w:p>
    <w:pPr>
      <w:spacing w:after="240"/>
      <w:jc w:val="center"/>
    </w:pPr>
    <w:r>
      <w:rPr>
        <w:rFonts w:ascii="BC CE" w:hAnsi="BC CE" w:eastAsia="BC CE"/>
        <w:b w:val="0"/>
        <w:color w:val="0E577E"/>
        <w:sz w:val="28"/>
      </w:rPr>
      <w:t>GREEN LIFE - HAVE KNOWLEDGE. PAY ATTENTION.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292608" cy="233018"/>
          <wp:docPr id="1" name="Picture 1"/>
          <wp:cNvGraphicFramePr>
            <a:graphicFrameLocks noChangeAspect="1"/>
          </wp:cNvGraphicFramePr>
          <a:graphic>
            <a:graphicData uri="http://schemas.openxmlformats.org/drawingml/2006/picture">
              <pic:pic>
                <pic:nvPicPr>
                  <pic:cNvPr id="0" name="doc-logo.png"/>
                  <pic:cNvPicPr/>
                </pic:nvPicPr>
                <pic:blipFill>
                  <a:blip r:embed="rId1"/>
                  <a:stretch>
                    <a:fillRect/>
                  </a:stretch>
                </pic:blipFill>
                <pic:spPr>
                  <a:xfrm>
                    <a:off x="0" y="0"/>
                    <a:ext cx="292608" cy="233018"/>
                  </a:xfrm>
                  <a:prstGeom prst="rect"/>
                </pic:spPr>
              </pic:pic>
            </a:graphicData>
          </a:graphic>
        </wp:inline>
      </w:drawing>
    </w:r>
  </w:p>
  <w:p>
    <w:pPr>
      <w:spacing w:after="0"/>
      <w:jc w:val="center"/>
    </w:pPr>
    <w:r>
      <w:rPr>
        <w:rFonts w:ascii="Aptos" w:hAnsi="Aptos" w:eastAsia="Aptos"/>
        <w:b w:val="0"/>
        <w:color w:val="0E577E"/>
        <w:sz w:val="20"/>
      </w:rPr>
    </w:r>
  </w:p>
  <w:p>
    <w:pPr>
      <w:spacing w:after="360"/>
      <w:jc w:val="center"/>
    </w:pPr>
    <w:r>
      <w:rPr>
        <w:rFonts w:ascii="BC CE" w:hAnsi="BC CE" w:eastAsia="BC CE"/>
        <w:b w:val="0"/>
        <w:color w:val="0E577E"/>
        <w:sz w:val="18"/>
      </w:rPr>
      <w:t>GREEN LIFE - HAVE KNOWLEDGE. PAY ATTENTION.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E577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E577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E57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0E577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