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970134"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970134"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970134"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970134"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970134"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970134"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970134"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970134"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970134"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24A77DA9" w:rsidR="008B168F" w:rsidRDefault="00970134"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835AA7" w:rsidRPr="00835AA7">
          <w:rPr>
            <w:rFonts w:asciiTheme="minorHAnsi" w:eastAsiaTheme="minorEastAsia" w:hAnsiTheme="minorHAnsi" w:cstheme="minorBidi"/>
            <w:b/>
            <w:noProof/>
            <w:lang w:val="en-IN" w:eastAsia="en-IN"/>
          </w:rPr>
          <w:t>Record of DO Meter Calibration</w:t>
        </w:r>
        <w:r w:rsidR="00835AA7">
          <w:rPr>
            <w:rFonts w:asciiTheme="minorHAnsi" w:eastAsiaTheme="minorEastAsia" w:hAnsiTheme="minorHAnsi" w:cstheme="minorBidi"/>
            <w:b/>
            <w:noProof/>
            <w:lang w:val="en-IN" w:eastAsia="en-IN"/>
          </w:rPr>
          <w:t xml:space="preserve"> </w:t>
        </w:r>
        <w:r w:rsidR="007863CF" w:rsidRPr="007863CF">
          <w:rPr>
            <w:rFonts w:asciiTheme="minorHAnsi" w:eastAsiaTheme="minorEastAsia" w:hAnsiTheme="minorHAnsi" w:cstheme="minorBidi"/>
            <w:b/>
            <w:noProof/>
            <w:lang w:val="en-IN" w:eastAsia="en-IN"/>
          </w:rPr>
          <w:t xml:space="preserve">Cleaning </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970134"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123DB093" w:rsidR="0073585F" w:rsidRPr="0073585F" w:rsidRDefault="00970134" w:rsidP="0073585F">
      <w:pPr>
        <w:pStyle w:val="TOC1"/>
        <w:tabs>
          <w:tab w:val="left" w:pos="440"/>
          <w:tab w:val="right" w:leader="dot" w:pos="9301"/>
        </w:tabs>
        <w:spacing w:line="360" w:lineRule="auto"/>
        <w:rPr>
          <w:b/>
          <w:noProof/>
        </w:rPr>
      </w:pPr>
      <w:hyperlink w:anchor="_Toc80172556" w:history="1">
        <w:r w:rsidR="00D947B4">
          <w:rPr>
            <w:rStyle w:val="Hyperlink"/>
            <w:rFonts w:cstheme="minorHAnsi"/>
            <w:b/>
            <w:noProof/>
          </w:rPr>
          <w:t>6</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970134"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28E87729"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44B24488" w:rsidR="00582C15" w:rsidRPr="00582C15" w:rsidRDefault="00835AA7" w:rsidP="00835AA7">
      <w:pPr>
        <w:pStyle w:val="ListParagraph"/>
        <w:numPr>
          <w:ilvl w:val="1"/>
          <w:numId w:val="2"/>
        </w:numPr>
        <w:spacing w:line="360" w:lineRule="auto"/>
        <w:outlineLvl w:val="0"/>
        <w:rPr>
          <w:rFonts w:asciiTheme="minorHAnsi" w:hAnsiTheme="minorHAnsi" w:cstheme="minorHAnsi"/>
          <w:b/>
          <w:sz w:val="26"/>
        </w:rPr>
      </w:pPr>
      <w:r w:rsidRPr="00835AA7">
        <w:rPr>
          <w:rFonts w:asciiTheme="minorHAnsi" w:hAnsiTheme="minorHAnsi" w:cstheme="minorHAnsi"/>
          <w:b/>
          <w:sz w:val="26"/>
        </w:rPr>
        <w:t>Record of DO Meter Calibration</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20DF5BBE" w:rsidR="00524B03" w:rsidRPr="00440B95" w:rsidRDefault="00835AA7" w:rsidP="005A5360">
            <w:pPr>
              <w:spacing w:line="360" w:lineRule="auto"/>
              <w:rPr>
                <w:rFonts w:asciiTheme="minorHAnsi" w:hAnsiTheme="minorHAnsi" w:cstheme="minorHAnsi"/>
                <w:sz w:val="18"/>
                <w:szCs w:val="18"/>
                <w:lang w:val="en-IN" w:eastAsia="en-IN"/>
              </w:rPr>
            </w:pPr>
            <w:r w:rsidRPr="00835AA7">
              <w:rPr>
                <w:rFonts w:asciiTheme="minorHAnsi" w:hAnsiTheme="minorHAnsi" w:cstheme="minorHAnsi"/>
                <w:color w:val="000000"/>
                <w:sz w:val="18"/>
                <w:szCs w:val="18"/>
                <w:lang w:val="en-IN" w:eastAsia="en-IN"/>
              </w:rPr>
              <w:t>Record of DO Meter Calibration</w:t>
            </w:r>
            <w:r w:rsidR="003A7095">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1C090244" w:rsidR="00524B03" w:rsidRPr="00440B95" w:rsidRDefault="00582C15" w:rsidP="00C87557">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913622">
              <w:rPr>
                <w:rFonts w:asciiTheme="minorHAnsi" w:hAnsiTheme="minorHAnsi" w:cstheme="minorHAnsi"/>
                <w:color w:val="000000"/>
                <w:sz w:val="18"/>
                <w:szCs w:val="18"/>
                <w:lang w:val="en-IN" w:eastAsia="en-IN"/>
              </w:rPr>
              <w:t xml:space="preserve">dule will be used for </w:t>
            </w:r>
            <w:r w:rsidR="00835AA7" w:rsidRPr="00835AA7">
              <w:rPr>
                <w:rFonts w:asciiTheme="minorHAnsi" w:hAnsiTheme="minorHAnsi" w:cstheme="minorHAnsi"/>
                <w:color w:val="000000"/>
                <w:sz w:val="18"/>
                <w:szCs w:val="18"/>
                <w:lang w:val="en-IN" w:eastAsia="en-IN"/>
              </w:rPr>
              <w:t>Record of DO Meter Calibration</w:t>
            </w:r>
            <w:r w:rsidR="00C87557">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002D2C9A" w14:textId="17FFEBBA" w:rsidR="004B6BE3" w:rsidRPr="00835AA7" w:rsidRDefault="004B6BE3" w:rsidP="00835AA7">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16B39EC1" w:rsidR="004B6BE3" w:rsidRDefault="00835AA7"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03DE1554" wp14:editId="1F1C33E7">
                  <wp:extent cx="4791075" cy="53340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586" cy="5335682"/>
                          </a:xfrm>
                          <a:prstGeom prst="rect">
                            <a:avLst/>
                          </a:prstGeom>
                          <a:ln w="3175">
                            <a:solidFill>
                              <a:schemeClr val="tx1"/>
                            </a:solidFill>
                          </a:ln>
                        </pic:spPr>
                      </pic:pic>
                    </a:graphicData>
                  </a:graphic>
                </wp:inline>
              </w:drawing>
            </w: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15F427BE" w14:textId="77777777" w:rsidR="00A05CA7" w:rsidRPr="009F22CC" w:rsidRDefault="00A05CA7"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Default="007E3A89"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77B27A64" w14:textId="2BA3228F" w:rsidR="00582C15"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6689EF1A" w14:textId="74A41AD5" w:rsidR="0091200A" w:rsidRPr="0091200A"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Department Master</w:t>
            </w:r>
          </w:p>
          <w:p w14:paraId="08676AE1" w14:textId="150E56B3" w:rsidR="007E3A89" w:rsidRPr="00582C15" w:rsidRDefault="00582C15" w:rsidP="0091200A">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AF47C1">
        <w:trPr>
          <w:trHeight w:val="351"/>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758C622" w14:textId="05CE2B32" w:rsidR="002F6EFF" w:rsidRDefault="00C7212E" w:rsidP="002F6EFF">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515BE1A6" w14:textId="245A995A" w:rsidR="00AD3AB5" w:rsidRPr="00AD3AB5" w:rsidRDefault="00AD3AB5" w:rsidP="002F6EFF">
            <w:pPr>
              <w:pStyle w:val="BodyText2"/>
              <w:spacing w:line="360" w:lineRule="auto"/>
              <w:jc w:val="left"/>
              <w:rPr>
                <w:rFonts w:asciiTheme="minorHAnsi" w:hAnsiTheme="minorHAnsi" w:cstheme="minorHAnsi"/>
                <w:sz w:val="32"/>
                <w:szCs w:val="32"/>
              </w:rPr>
            </w:pPr>
            <w:r w:rsidRPr="00AD3AB5">
              <w:rPr>
                <w:rFonts w:asciiTheme="minorHAnsi" w:hAnsiTheme="minorHAnsi" w:cstheme="minorHAnsi"/>
                <w:sz w:val="32"/>
                <w:szCs w:val="32"/>
              </w:rPr>
              <w:t>Screen Pending</w:t>
            </w:r>
          </w:p>
          <w:p w14:paraId="27629DB0" w14:textId="77777777" w:rsidR="00582C15" w:rsidRPr="00913622" w:rsidRDefault="00582C15" w:rsidP="002F4983">
            <w:pPr>
              <w:pStyle w:val="BodyText2"/>
              <w:spacing w:line="360" w:lineRule="auto"/>
              <w:rPr>
                <w:rFonts w:asciiTheme="minorHAnsi" w:hAnsiTheme="minorHAnsi" w:cstheme="minorHAnsi"/>
                <w:sz w:val="18"/>
                <w:szCs w:val="18"/>
              </w:rPr>
            </w:pPr>
            <w:r w:rsidRPr="00913622">
              <w:rPr>
                <w:rFonts w:asciiTheme="minorHAnsi" w:hAnsiTheme="minorHAnsi" w:cstheme="minorHAnsi"/>
                <w:sz w:val="18"/>
                <w:szCs w:val="18"/>
              </w:rPr>
              <w:t>To operate this module user can follow the below steps.</w:t>
            </w:r>
          </w:p>
          <w:p w14:paraId="1C9E5A80" w14:textId="5D9F78F3" w:rsidR="00AD3AB5" w:rsidRPr="00AD3AB5"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sidRPr="00AD3AB5">
              <w:rPr>
                <w:rFonts w:ascii="Calibri" w:hAnsi="Calibri" w:cs="Calibri"/>
                <w:color w:val="000000"/>
                <w:sz w:val="18"/>
                <w:szCs w:val="18"/>
                <w:lang w:val="en-IN" w:eastAsia="en-IN"/>
              </w:rPr>
              <w:t>Department, Month will be displayed on the screen.</w:t>
            </w:r>
          </w:p>
          <w:p w14:paraId="02029D0C" w14:textId="558EAD69" w:rsidR="00AD3AB5" w:rsidRPr="00AD3AB5" w:rsidRDefault="00AD3AB5" w:rsidP="00AD3AB5">
            <w:pPr>
              <w:spacing w:line="360" w:lineRule="auto"/>
              <w:ind w:left="720"/>
              <w:textAlignment w:val="baseline"/>
              <w:rPr>
                <w:rFonts w:ascii="Calibri" w:hAnsi="Calibri" w:cs="Calibri"/>
                <w:i/>
                <w:color w:val="FF0000"/>
                <w:sz w:val="18"/>
                <w:szCs w:val="18"/>
                <w:lang w:val="en-IN" w:eastAsia="en-IN"/>
              </w:rPr>
            </w:pPr>
            <w:r w:rsidRPr="00AD3AB5">
              <w:rPr>
                <w:rFonts w:ascii="Calibri" w:hAnsi="Calibri" w:cs="Calibri"/>
                <w:i/>
                <w:color w:val="FF0000"/>
                <w:sz w:val="18"/>
                <w:szCs w:val="18"/>
                <w:lang w:val="en-IN" w:eastAsia="en-IN"/>
              </w:rPr>
              <w:t>*</w:t>
            </w:r>
            <w:r w:rsidRPr="00AD3AB5">
              <w:rPr>
                <w:rFonts w:ascii="Calibri" w:hAnsi="Calibri" w:cs="Calibri"/>
                <w:i/>
                <w:color w:val="FF0000"/>
                <w:sz w:val="18"/>
                <w:szCs w:val="18"/>
                <w:lang w:val="en-IN" w:eastAsia="en-IN"/>
              </w:rPr>
              <w:t>The frequency will be before start of batch manufacturing activity.</w:t>
            </w:r>
          </w:p>
          <w:p w14:paraId="394F7FD8" w14:textId="31E0D1C5" w:rsidR="00AD3AB5" w:rsidRPr="00AD3AB5"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sidRPr="00AD3AB5">
              <w:rPr>
                <w:rFonts w:ascii="Calibri" w:hAnsi="Calibri" w:cs="Calibri"/>
                <w:color w:val="000000"/>
                <w:sz w:val="18"/>
                <w:szCs w:val="18"/>
                <w:lang w:val="en-IN" w:eastAsia="en-IN"/>
              </w:rPr>
              <w:t>Enter Batch No.</w:t>
            </w:r>
          </w:p>
          <w:p w14:paraId="39E85AF0" w14:textId="45457366" w:rsidR="00AD3AB5" w:rsidRPr="00AD3AB5"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Select Product N</w:t>
            </w:r>
            <w:r w:rsidRPr="00AD3AB5">
              <w:rPr>
                <w:rFonts w:ascii="Calibri" w:hAnsi="Calibri" w:cs="Calibri"/>
                <w:color w:val="000000"/>
                <w:sz w:val="18"/>
                <w:szCs w:val="18"/>
                <w:lang w:val="en-IN" w:eastAsia="en-IN"/>
              </w:rPr>
              <w:t>ame from the dropdown.</w:t>
            </w:r>
          </w:p>
          <w:p w14:paraId="14AEFE64" w14:textId="0284217A" w:rsidR="00AD3AB5"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sidRPr="00AD3AB5">
              <w:rPr>
                <w:rFonts w:ascii="Calibri" w:hAnsi="Calibri" w:cs="Calibri"/>
                <w:color w:val="000000"/>
                <w:sz w:val="18"/>
                <w:szCs w:val="18"/>
                <w:lang w:val="en-IN" w:eastAsia="en-IN"/>
              </w:rPr>
              <w:t>Enter Observed reading.</w:t>
            </w:r>
          </w:p>
          <w:p w14:paraId="4DED1B28" w14:textId="3C014B2B" w:rsidR="00DB3C45" w:rsidRPr="00DB3C45" w:rsidRDefault="00DB3C45" w:rsidP="00DB3C45">
            <w:pPr>
              <w:spacing w:line="360" w:lineRule="auto"/>
              <w:ind w:left="720"/>
              <w:textAlignment w:val="baseline"/>
              <w:rPr>
                <w:rFonts w:ascii="Calibri" w:hAnsi="Calibri" w:cs="Calibri"/>
                <w:i/>
                <w:color w:val="FF0000"/>
                <w:sz w:val="18"/>
                <w:szCs w:val="18"/>
                <w:lang w:val="en-IN" w:eastAsia="en-IN"/>
              </w:rPr>
            </w:pPr>
            <w:r w:rsidRPr="00DB3C45">
              <w:rPr>
                <w:rFonts w:ascii="Calibri" w:hAnsi="Calibri" w:cs="Calibri"/>
                <w:i/>
                <w:color w:val="FF0000"/>
                <w:sz w:val="18"/>
                <w:szCs w:val="18"/>
                <w:lang w:val="en-IN" w:eastAsia="en-IN"/>
              </w:rPr>
              <w:t>*Observed reading will be mandatory filed.</w:t>
            </w:r>
          </w:p>
          <w:p w14:paraId="231D2791" w14:textId="1861FF19" w:rsidR="00AD3AB5" w:rsidRPr="00AD3AB5"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sidRPr="00AD3AB5">
              <w:rPr>
                <w:rFonts w:ascii="Calibri" w:hAnsi="Calibri" w:cs="Calibri"/>
                <w:color w:val="000000"/>
                <w:sz w:val="18"/>
                <w:szCs w:val="18"/>
                <w:lang w:val="en-IN" w:eastAsia="en-IN"/>
              </w:rPr>
              <w:t>System will capture date, time and user details.</w:t>
            </w:r>
          </w:p>
          <w:p w14:paraId="196117FF" w14:textId="30839C99" w:rsidR="00D26364" w:rsidRPr="00915579" w:rsidRDefault="00915579" w:rsidP="00AD3AB5">
            <w:pPr>
              <w:spacing w:line="360" w:lineRule="auto"/>
              <w:ind w:left="720"/>
              <w:textAlignment w:val="baseline"/>
              <w:rPr>
                <w:rFonts w:ascii="Calibri" w:hAnsi="Calibri" w:cs="Calibri"/>
                <w:i/>
                <w:color w:val="FF0000"/>
                <w:sz w:val="18"/>
                <w:szCs w:val="18"/>
                <w:lang w:val="en-IN" w:eastAsia="en-IN"/>
              </w:rPr>
            </w:pPr>
            <w:r w:rsidRPr="00915579">
              <w:rPr>
                <w:rFonts w:ascii="Calibri" w:hAnsi="Calibri" w:cs="Calibri"/>
                <w:i/>
                <w:color w:val="FF0000"/>
                <w:sz w:val="18"/>
                <w:szCs w:val="18"/>
                <w:lang w:val="en-IN" w:eastAsia="en-IN"/>
              </w:rPr>
              <w:t>*Enter NA of not applicable.</w:t>
            </w:r>
          </w:p>
          <w:p w14:paraId="441B78E4" w14:textId="77777777" w:rsidR="00915579" w:rsidRDefault="00915579" w:rsidP="00AD3AB5">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 the user details.</w:t>
            </w:r>
          </w:p>
          <w:p w14:paraId="0AD91337" w14:textId="77777777" w:rsidR="00AD3AB5" w:rsidRDefault="00AD3AB5" w:rsidP="00AD3AB5">
            <w:pPr>
              <w:numPr>
                <w:ilvl w:val="0"/>
                <w:numId w:val="1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Save</w:t>
            </w:r>
            <w:r>
              <w:rPr>
                <w:rFonts w:asciiTheme="minorHAnsi" w:hAnsiTheme="minorHAnsi" w:cstheme="minorHAnsi"/>
                <w:color w:val="000000"/>
                <w:sz w:val="18"/>
                <w:szCs w:val="18"/>
                <w:lang w:val="en-IN" w:eastAsia="en-IN"/>
              </w:rPr>
              <w:t xml:space="preserve"> button.</w:t>
            </w:r>
          </w:p>
          <w:p w14:paraId="68EB4197" w14:textId="44C2E592" w:rsidR="00AD3AB5" w:rsidRPr="00915579" w:rsidRDefault="00AD3AB5" w:rsidP="00AD3AB5">
            <w:pPr>
              <w:numPr>
                <w:ilvl w:val="0"/>
                <w:numId w:val="16"/>
              </w:numPr>
              <w:spacing w:line="360" w:lineRule="auto"/>
              <w:textAlignment w:val="baseline"/>
              <w:rPr>
                <w:rFonts w:ascii="Calibri" w:hAnsi="Calibri" w:cs="Calibri"/>
                <w:color w:val="000000"/>
                <w:sz w:val="18"/>
                <w:szCs w:val="18"/>
                <w:lang w:val="en-IN" w:eastAsia="en-IN"/>
              </w:rPr>
            </w:pPr>
            <w:r w:rsidRPr="00706985">
              <w:rPr>
                <w:rFonts w:asciiTheme="minorHAnsi" w:hAnsiTheme="minorHAnsi" w:cstheme="minorHAnsi"/>
                <w:color w:val="000000"/>
                <w:sz w:val="18"/>
                <w:szCs w:val="18"/>
                <w:lang w:val="en-IN" w:eastAsia="en-IN"/>
              </w:rPr>
              <w:t xml:space="preserve">Click on </w:t>
            </w:r>
            <w:r w:rsidRPr="00706985">
              <w:rPr>
                <w:rFonts w:asciiTheme="minorHAnsi" w:hAnsiTheme="minorHAnsi" w:cstheme="minorHAnsi"/>
                <w:b/>
                <w:color w:val="000000"/>
                <w:sz w:val="18"/>
                <w:szCs w:val="18"/>
                <w:lang w:val="en-IN" w:eastAsia="en-IN"/>
              </w:rPr>
              <w:t>Clear</w:t>
            </w:r>
            <w:r w:rsidRPr="00706985">
              <w:rPr>
                <w:rFonts w:asciiTheme="minorHAnsi" w:hAnsiTheme="minorHAnsi" w:cstheme="minorHAnsi"/>
                <w:color w:val="000000"/>
                <w:sz w:val="18"/>
                <w:szCs w:val="18"/>
                <w:lang w:val="en-IN" w:eastAsia="en-IN"/>
              </w:rPr>
              <w:t xml:space="preserve"> button to clear the entered values on the screen.</w:t>
            </w:r>
          </w:p>
        </w:tc>
      </w:tr>
    </w:tbl>
    <w:p w14:paraId="38EB7875" w14:textId="77777777" w:rsidR="00734195" w:rsidRPr="009F22CC" w:rsidRDefault="00734195"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2F4983">
        <w:trPr>
          <w:trHeight w:val="209"/>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5F3C7649" w:rsidR="00582C15" w:rsidRDefault="007B727C" w:rsidP="008D6C74">
            <w:pPr>
              <w:numPr>
                <w:ilvl w:val="0"/>
                <w:numId w:val="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After stop</w:t>
            </w:r>
            <w:r w:rsidR="00BD61DA">
              <w:rPr>
                <w:rFonts w:asciiTheme="minorHAnsi" w:hAnsiTheme="minorHAnsi" w:cstheme="minorHAnsi"/>
                <w:color w:val="000000"/>
                <w:sz w:val="18"/>
                <w:szCs w:val="18"/>
                <w:lang w:val="en-IN" w:eastAsia="en-IN"/>
              </w:rPr>
              <w:t xml:space="preserve">ping the process, it will have checked by </w:t>
            </w:r>
            <w:r w:rsidR="00DB3C45">
              <w:rPr>
                <w:rFonts w:asciiTheme="minorHAnsi" w:hAnsiTheme="minorHAnsi" w:cstheme="minorHAnsi"/>
                <w:color w:val="000000"/>
                <w:sz w:val="18"/>
                <w:szCs w:val="18"/>
                <w:lang w:val="en-IN" w:eastAsia="en-IN"/>
              </w:rPr>
              <w:t>(Review</w:t>
            </w:r>
            <w:r w:rsidR="00582C15" w:rsidRPr="00867793">
              <w:rPr>
                <w:rFonts w:asciiTheme="minorHAnsi" w:hAnsiTheme="minorHAnsi" w:cstheme="minorHAnsi"/>
                <w:color w:val="000000"/>
                <w:sz w:val="18"/>
                <w:szCs w:val="18"/>
                <w:lang w:val="en-IN" w:eastAsia="en-IN"/>
              </w:rPr>
              <w:t>) process.</w:t>
            </w:r>
          </w:p>
          <w:p w14:paraId="2D92B9D1" w14:textId="38B68A86" w:rsidR="00DB3C45" w:rsidRPr="00DB3C45" w:rsidRDefault="00DB3C45" w:rsidP="00DB3C45">
            <w:pPr>
              <w:numPr>
                <w:ilvl w:val="0"/>
                <w:numId w:val="4"/>
              </w:numPr>
              <w:spacing w:line="360" w:lineRule="auto"/>
              <w:textAlignment w:val="baseline"/>
              <w:rPr>
                <w:rFonts w:asciiTheme="minorHAnsi" w:hAnsiTheme="minorHAnsi" w:cstheme="minorHAnsi"/>
                <w:color w:val="000000"/>
                <w:sz w:val="18"/>
                <w:szCs w:val="18"/>
                <w:highlight w:val="yellow"/>
                <w:lang w:val="en-IN" w:eastAsia="en-IN"/>
              </w:rPr>
            </w:pPr>
            <w:r>
              <w:rPr>
                <w:rFonts w:asciiTheme="minorHAnsi" w:hAnsiTheme="minorHAnsi" w:cstheme="minorHAnsi"/>
                <w:color w:val="000000"/>
                <w:sz w:val="18"/>
                <w:szCs w:val="18"/>
                <w:lang w:val="en-IN" w:eastAsia="en-IN"/>
              </w:rPr>
              <w:t>User must</w:t>
            </w:r>
            <w:r w:rsidRPr="00DB3C45">
              <w:rPr>
                <w:rFonts w:asciiTheme="minorHAnsi" w:hAnsiTheme="minorHAnsi" w:cstheme="minorHAnsi"/>
                <w:color w:val="000000"/>
                <w:sz w:val="18"/>
                <w:szCs w:val="18"/>
                <w:lang w:val="en-IN" w:eastAsia="en-IN"/>
              </w:rPr>
              <w:t xml:space="preserve"> fill the Observed Reading field within limit. </w:t>
            </w:r>
            <w:r w:rsidRPr="00DB3C45">
              <w:rPr>
                <w:rFonts w:asciiTheme="minorHAnsi" w:hAnsiTheme="minorHAnsi" w:cstheme="minorHAnsi"/>
                <w:color w:val="000000"/>
                <w:sz w:val="18"/>
                <w:szCs w:val="18"/>
                <w:highlight w:val="yellow"/>
                <w:lang w:val="en-IN" w:eastAsia="en-IN"/>
              </w:rPr>
              <w:t>(Limit discussion pending with the client)</w:t>
            </w:r>
          </w:p>
          <w:p w14:paraId="2B3EB299" w14:textId="358BBEFF" w:rsidR="00FB4AB0" w:rsidRPr="002F4983" w:rsidRDefault="00582C15" w:rsidP="001E5552">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DB3C45">
              <w:rPr>
                <w:rFonts w:asciiTheme="minorHAnsi" w:hAnsiTheme="minorHAnsi" w:cstheme="minorHAnsi"/>
                <w:b/>
                <w:color w:val="000000"/>
                <w:sz w:val="18"/>
                <w:szCs w:val="18"/>
                <w:lang w:val="en-IN" w:eastAsia="en-IN"/>
              </w:rPr>
              <w:t>Save</w:t>
            </w:r>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lastRenderedPageBreak/>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8D6C74">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243FB619" w14:textId="77777777" w:rsidR="00AF47C1" w:rsidRDefault="00AF47C1" w:rsidP="00B73360">
      <w:pPr>
        <w:pStyle w:val="Header"/>
        <w:tabs>
          <w:tab w:val="clear" w:pos="4320"/>
          <w:tab w:val="clear" w:pos="8640"/>
        </w:tabs>
        <w:spacing w:line="360" w:lineRule="auto"/>
        <w:rPr>
          <w:rFonts w:asciiTheme="minorHAnsi" w:hAnsiTheme="minorHAnsi" w:cstheme="minorHAnsi"/>
          <w:b/>
          <w:bCs/>
          <w:i/>
          <w:iCs/>
          <w:sz w:val="18"/>
          <w:szCs w:val="18"/>
        </w:rPr>
      </w:pPr>
    </w:p>
    <w:p w14:paraId="672CE12E" w14:textId="77777777" w:rsidR="00A662EF" w:rsidRDefault="00A662EF" w:rsidP="00B73360">
      <w:pPr>
        <w:pStyle w:val="Header"/>
        <w:tabs>
          <w:tab w:val="clear" w:pos="4320"/>
          <w:tab w:val="clear" w:pos="8640"/>
        </w:tabs>
        <w:spacing w:line="360" w:lineRule="auto"/>
        <w:rPr>
          <w:rFonts w:asciiTheme="minorHAnsi" w:hAnsiTheme="minorHAnsi" w:cstheme="minorHAnsi"/>
          <w:b/>
          <w:bCs/>
          <w:i/>
          <w:iCs/>
          <w:sz w:val="18"/>
          <w:szCs w:val="18"/>
        </w:rPr>
      </w:pPr>
    </w:p>
    <w:p w14:paraId="1190159D"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F99E22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D86D6C1"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8E96E0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1E2DBF35"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C0D197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7D97A3F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3D79B5C9"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13FBA76"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4E0FD9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66C35B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0564A0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962587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CE7AA7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3E84432B"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7311A69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730736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68C8F995"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11BB2EF"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1EAC1A39"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B76B44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3EFF123"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60709F6F" w14:textId="77777777" w:rsidR="00D947B4" w:rsidRPr="009F22CC"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7FBA12E5" w:rsidR="00006BA2" w:rsidRPr="00A76EDD" w:rsidRDefault="00202975"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2D98512F"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1E5552">
              <w:rPr>
                <w:rFonts w:asciiTheme="minorHAnsi" w:hAnsiTheme="minorHAnsi" w:cstheme="minorHAnsi"/>
                <w:sz w:val="18"/>
                <w:szCs w:val="18"/>
              </w:rPr>
              <w:t>verification</w:t>
            </w:r>
            <w:r w:rsidR="00A76EDD">
              <w:rPr>
                <w:rFonts w:asciiTheme="minorHAnsi" w:hAnsiTheme="minorHAnsi" w:cstheme="minorHAnsi"/>
                <w:sz w:val="18"/>
                <w:szCs w:val="18"/>
              </w:rPr>
              <w:t xml:space="preserve"> of </w:t>
            </w:r>
            <w:r w:rsidRPr="00C7212E">
              <w:rPr>
                <w:rFonts w:asciiTheme="minorHAnsi" w:hAnsiTheme="minorHAnsi" w:cstheme="minorHAnsi"/>
                <w:sz w:val="18"/>
                <w:szCs w:val="18"/>
              </w:rPr>
              <w:t>logs.</w:t>
            </w:r>
          </w:p>
          <w:p w14:paraId="1A7D82B8" w14:textId="77777777" w:rsidR="00AD3AB5" w:rsidRPr="00AD3AB5" w:rsidRDefault="00AD3AB5" w:rsidP="00AD3AB5">
            <w:pPr>
              <w:pStyle w:val="BodyText2"/>
              <w:spacing w:line="360" w:lineRule="auto"/>
              <w:jc w:val="left"/>
              <w:rPr>
                <w:rFonts w:asciiTheme="minorHAnsi" w:hAnsiTheme="minorHAnsi" w:cstheme="minorHAnsi"/>
                <w:sz w:val="32"/>
                <w:szCs w:val="32"/>
              </w:rPr>
            </w:pPr>
            <w:r w:rsidRPr="00AD3AB5">
              <w:rPr>
                <w:rFonts w:asciiTheme="minorHAnsi" w:hAnsiTheme="minorHAnsi" w:cstheme="minorHAnsi"/>
                <w:sz w:val="32"/>
                <w:szCs w:val="32"/>
              </w:rPr>
              <w:t>Screen Pending</w:t>
            </w:r>
          </w:p>
          <w:p w14:paraId="6EDB63B6" w14:textId="7EB25540" w:rsidR="00A76EDD" w:rsidRPr="000F08EC" w:rsidRDefault="00A76EDD" w:rsidP="00FF69F4">
            <w:pPr>
              <w:pStyle w:val="BodyText2"/>
              <w:spacing w:line="360" w:lineRule="auto"/>
              <w:jc w:val="left"/>
              <w:rPr>
                <w:rFonts w:asciiTheme="minorHAnsi" w:hAnsiTheme="minorHAnsi" w:cstheme="minorHAnsi"/>
                <w:sz w:val="40"/>
                <w:szCs w:val="40"/>
              </w:rPr>
            </w:pPr>
          </w:p>
          <w:p w14:paraId="34438487" w14:textId="5A8E4CF2" w:rsidR="00196B6B" w:rsidRDefault="00DB6C62"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9264" behindDoc="1" locked="0" layoutInCell="1" allowOverlap="1" wp14:anchorId="20E40DC9" wp14:editId="77C25422">
                  <wp:simplePos x="0" y="0"/>
                  <wp:positionH relativeFrom="column">
                    <wp:posOffset>1235075</wp:posOffset>
                  </wp:positionH>
                  <wp:positionV relativeFrom="paragraph">
                    <wp:posOffset>180975</wp:posOffset>
                  </wp:positionV>
                  <wp:extent cx="209550" cy="171450"/>
                  <wp:effectExtent l="0" t="0" r="0" b="0"/>
                  <wp:wrapTight wrapText="bothSides">
                    <wp:wrapPolygon edited="0">
                      <wp:start x="0" y="0"/>
                      <wp:lineTo x="0" y="19200"/>
                      <wp:lineTo x="19636" y="19200"/>
                      <wp:lineTo x="196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550" cy="171450"/>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23E31AF7"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DB6C62">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lastRenderedPageBreak/>
              <w:t>Following screen will get displayed:</w:t>
            </w:r>
          </w:p>
          <w:p w14:paraId="6A806EF8" w14:textId="77777777" w:rsidR="00AD3AB5" w:rsidRPr="00AD3AB5" w:rsidRDefault="00AD3AB5" w:rsidP="00AD3AB5">
            <w:pPr>
              <w:pStyle w:val="BodyText2"/>
              <w:spacing w:line="360" w:lineRule="auto"/>
              <w:jc w:val="left"/>
              <w:rPr>
                <w:rFonts w:asciiTheme="minorHAnsi" w:hAnsiTheme="minorHAnsi" w:cstheme="minorHAnsi"/>
                <w:sz w:val="32"/>
                <w:szCs w:val="32"/>
              </w:rPr>
            </w:pPr>
            <w:r w:rsidRPr="00AD3AB5">
              <w:rPr>
                <w:rFonts w:asciiTheme="minorHAnsi" w:hAnsiTheme="minorHAnsi" w:cstheme="minorHAnsi"/>
                <w:sz w:val="32"/>
                <w:szCs w:val="32"/>
              </w:rPr>
              <w:t>Screen Pending</w:t>
            </w:r>
          </w:p>
          <w:p w14:paraId="4D47706A" w14:textId="5C0C9A18" w:rsidR="00211A8C" w:rsidRPr="00002481" w:rsidRDefault="00211A8C" w:rsidP="00FF69F4">
            <w:pPr>
              <w:pStyle w:val="BodyText2"/>
              <w:spacing w:line="360" w:lineRule="auto"/>
              <w:rPr>
                <w:rFonts w:asciiTheme="minorHAnsi" w:hAnsiTheme="minorHAnsi" w:cstheme="minorHAnsi"/>
                <w:b/>
                <w:sz w:val="24"/>
                <w:szCs w:val="24"/>
              </w:rPr>
            </w:pP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1710C921"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DB3C45">
              <w:rPr>
                <w:rFonts w:asciiTheme="minorHAnsi" w:hAnsiTheme="minorHAnsi" w:cstheme="minorHAnsi"/>
                <w:b/>
                <w:color w:val="000000"/>
                <w:sz w:val="18"/>
                <w:szCs w:val="18"/>
                <w:lang w:val="en-IN" w:eastAsia="en-IN"/>
              </w:rPr>
              <w:t>Review</w:t>
            </w:r>
            <w:bookmarkStart w:id="624" w:name="_GoBack"/>
            <w:bookmarkEnd w:id="624"/>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Default="00006BA2" w:rsidP="00FF69F4">
      <w:pPr>
        <w:pStyle w:val="Header"/>
        <w:tabs>
          <w:tab w:val="left" w:pos="720"/>
        </w:tabs>
        <w:spacing w:line="360" w:lineRule="auto"/>
        <w:ind w:left="-426"/>
        <w:rPr>
          <w:rFonts w:asciiTheme="minorHAnsi" w:hAnsiTheme="minorHAnsi" w:cstheme="minorHAnsi"/>
          <w:b/>
          <w:bCs/>
          <w:i/>
          <w:iCs/>
        </w:rPr>
      </w:pPr>
    </w:p>
    <w:p w14:paraId="7FF63C0C" w14:textId="77777777" w:rsidR="000F08EC" w:rsidRDefault="000F08EC" w:rsidP="00FF69F4">
      <w:pPr>
        <w:pStyle w:val="Header"/>
        <w:tabs>
          <w:tab w:val="left" w:pos="720"/>
        </w:tabs>
        <w:spacing w:line="360" w:lineRule="auto"/>
        <w:ind w:left="-426"/>
        <w:rPr>
          <w:rFonts w:asciiTheme="minorHAnsi" w:hAnsiTheme="minorHAnsi" w:cstheme="minorHAnsi"/>
          <w:b/>
          <w:bCs/>
          <w:i/>
          <w:iCs/>
        </w:rPr>
      </w:pPr>
    </w:p>
    <w:p w14:paraId="0082F580" w14:textId="77777777" w:rsidR="000F08EC" w:rsidRPr="009F22CC" w:rsidRDefault="000F08EC"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3E4D0CEC" w:rsidR="003C2817" w:rsidRDefault="00BD61D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w:t>
            </w:r>
            <w:r w:rsidR="003C2817">
              <w:rPr>
                <w:rFonts w:asciiTheme="minorHAnsi" w:hAnsiTheme="minorHAnsi" w:cstheme="minorHAnsi"/>
                <w:color w:val="000000"/>
                <w:sz w:val="18"/>
                <w:szCs w:val="18"/>
                <w:lang w:val="en-IN" w:eastAsia="en-IN"/>
              </w:rPr>
              <w:t xml:space="preserve"> the logs.</w:t>
            </w:r>
          </w:p>
          <w:p w14:paraId="3AFCC093" w14:textId="50574286" w:rsidR="007C4F9C" w:rsidRDefault="007C4F9C"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8D6C74">
            <w:pPr>
              <w:pStyle w:val="ListParagraph"/>
              <w:numPr>
                <w:ilvl w:val="0"/>
                <w:numId w:val="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8D6C74">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9D3B20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962D7A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4FF89C6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F94063D"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3CC0133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FAD587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282F1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A2647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8F5C3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75C2EFA"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682E13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160613B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2FBB6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C347F4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502ECF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5C4945A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01D8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D9B965D" w14:textId="77777777" w:rsidR="0057256C" w:rsidRDefault="0057256C" w:rsidP="00FF69F4">
      <w:pPr>
        <w:pStyle w:val="Header"/>
        <w:tabs>
          <w:tab w:val="left" w:pos="720"/>
        </w:tabs>
        <w:spacing w:line="360" w:lineRule="auto"/>
        <w:ind w:left="-426"/>
        <w:rPr>
          <w:rFonts w:asciiTheme="minorHAnsi" w:hAnsiTheme="minorHAnsi" w:cstheme="minorHAnsi"/>
          <w:b/>
          <w:bCs/>
          <w:i/>
          <w:iCs/>
          <w:sz w:val="18"/>
          <w:szCs w:val="18"/>
        </w:rPr>
      </w:pPr>
    </w:p>
    <w:p w14:paraId="32065F64" w14:textId="77777777" w:rsidR="00D947B4" w:rsidRDefault="00D947B4" w:rsidP="00F544E0">
      <w:pPr>
        <w:pStyle w:val="Header"/>
        <w:tabs>
          <w:tab w:val="left" w:pos="720"/>
        </w:tabs>
        <w:spacing w:line="360" w:lineRule="auto"/>
        <w:rPr>
          <w:rFonts w:asciiTheme="minorHAnsi" w:hAnsiTheme="minorHAnsi" w:cstheme="minorHAnsi"/>
          <w:b/>
          <w:bCs/>
          <w:i/>
          <w:iCs/>
          <w:sz w:val="18"/>
          <w:szCs w:val="18"/>
        </w:rPr>
      </w:pPr>
    </w:p>
    <w:p w14:paraId="058DC564" w14:textId="77777777" w:rsidR="00334182" w:rsidRDefault="00334182"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70CD92F3" w14:textId="77777777" w:rsidR="00AD3AB5" w:rsidRPr="00AD3AB5" w:rsidRDefault="00AD3AB5" w:rsidP="00AD3AB5">
            <w:pPr>
              <w:pStyle w:val="BodyText2"/>
              <w:spacing w:line="360" w:lineRule="auto"/>
              <w:jc w:val="left"/>
              <w:rPr>
                <w:rFonts w:asciiTheme="minorHAnsi" w:hAnsiTheme="minorHAnsi" w:cstheme="minorHAnsi"/>
                <w:sz w:val="32"/>
                <w:szCs w:val="32"/>
              </w:rPr>
            </w:pPr>
            <w:r w:rsidRPr="00AD3AB5">
              <w:rPr>
                <w:rFonts w:asciiTheme="minorHAnsi" w:hAnsiTheme="minorHAnsi" w:cstheme="minorHAnsi"/>
                <w:sz w:val="32"/>
                <w:szCs w:val="32"/>
              </w:rPr>
              <w:t>Screen Pending</w:t>
            </w:r>
          </w:p>
          <w:p w14:paraId="472D420B" w14:textId="5C2E21A5" w:rsidR="007C4F9C" w:rsidRPr="000F08EC" w:rsidRDefault="007C4F9C" w:rsidP="000F08EC">
            <w:pPr>
              <w:pStyle w:val="BodyText2"/>
              <w:spacing w:line="360" w:lineRule="auto"/>
              <w:jc w:val="left"/>
              <w:rPr>
                <w:rFonts w:asciiTheme="minorHAnsi" w:hAnsiTheme="minorHAnsi" w:cstheme="minorHAnsi"/>
                <w:sz w:val="40"/>
                <w:szCs w:val="40"/>
              </w:rPr>
            </w:pP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A5223D8" w14:textId="77777777" w:rsidR="00FE7FC7" w:rsidRDefault="00FE7FC7"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C72DE7">
      <w:pPr>
        <w:pStyle w:val="Header"/>
        <w:tabs>
          <w:tab w:val="left" w:pos="720"/>
        </w:tabs>
        <w:spacing w:line="360" w:lineRule="auto"/>
        <w:rPr>
          <w:rFonts w:asciiTheme="minorHAnsi" w:hAnsiTheme="minorHAnsi" w:cstheme="minorHAnsi"/>
          <w:b/>
          <w:bCs/>
          <w:i/>
          <w:iCs/>
          <w:sz w:val="18"/>
          <w:szCs w:val="18"/>
        </w:rPr>
      </w:pPr>
    </w:p>
    <w:p w14:paraId="44C3097A" w14:textId="02406E47" w:rsidR="00692E14" w:rsidRPr="00B73360" w:rsidRDefault="00692E14" w:rsidP="008D6C74">
      <w:pPr>
        <w:pStyle w:val="ListParagraph"/>
        <w:numPr>
          <w:ilvl w:val="0"/>
          <w:numId w:val="13"/>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t>R</w:t>
      </w:r>
      <w:r w:rsidR="00B73360">
        <w:rPr>
          <w:rFonts w:asciiTheme="minorHAnsi" w:hAnsiTheme="minorHAnsi" w:cstheme="minorHAnsi"/>
          <w:b/>
          <w:sz w:val="26"/>
        </w:rPr>
        <w:t>EPORT</w:t>
      </w:r>
      <w:bookmarkEnd w:id="625"/>
    </w:p>
    <w:p w14:paraId="094F539B" w14:textId="1485E175" w:rsidR="00692E14" w:rsidRPr="003F784C" w:rsidRDefault="00B73360" w:rsidP="008D6C74">
      <w:pPr>
        <w:pStyle w:val="ListParagraph"/>
        <w:numPr>
          <w:ilvl w:val="1"/>
          <w:numId w:val="14"/>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B2004A">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B2004A">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B2004A">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B2004A">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B2004A">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B2004A">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B2004A">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B2004A">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B2004A">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008009C8" w:rsidR="00692E14" w:rsidRDefault="00692E14" w:rsidP="007863CF">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7863CF" w:rsidRPr="007863CF">
              <w:rPr>
                <w:rFonts w:asciiTheme="minorHAnsi" w:hAnsiTheme="minorHAnsi" w:cstheme="minorHAnsi"/>
                <w:color w:val="000000"/>
                <w:sz w:val="18"/>
                <w:szCs w:val="18"/>
                <w:lang w:val="en-IN" w:eastAsia="en-IN"/>
              </w:rPr>
              <w:t>Cleaning Record of Nozzle Shroud</w:t>
            </w:r>
            <w:r>
              <w:rPr>
                <w:rFonts w:asciiTheme="minorHAnsi" w:hAnsiTheme="minorHAnsi" w:cstheme="minorHAnsi"/>
                <w:sz w:val="18"/>
                <w:szCs w:val="18"/>
              </w:rPr>
              <w:t>”.</w:t>
            </w:r>
          </w:p>
          <w:p w14:paraId="6512F97B"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3A19F13A" w:rsidR="00692E14" w:rsidRPr="00A219A6"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Application will generate the log r</w:t>
            </w:r>
            <w:r w:rsidR="00F72AF2">
              <w:rPr>
                <w:rFonts w:asciiTheme="minorHAnsi" w:hAnsiTheme="minorHAnsi" w:cstheme="minorHAnsi"/>
                <w:sz w:val="18"/>
                <w:szCs w:val="18"/>
              </w:rPr>
              <w:t>eport in the associated format.</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B2004A">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lastRenderedPageBreak/>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B2004A">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B2004A">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B2004A">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lastRenderedPageBreak/>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2"/>
      <w:footerReference w:type="default" r:id="rId13"/>
      <w:headerReference w:type="first" r:id="rId14"/>
      <w:footerReference w:type="first" r:id="rId15"/>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7FFB" w14:textId="77777777" w:rsidR="00970134" w:rsidRDefault="00970134">
      <w:r>
        <w:separator/>
      </w:r>
    </w:p>
  </w:endnote>
  <w:endnote w:type="continuationSeparator" w:id="0">
    <w:p w14:paraId="33C78DDD" w14:textId="77777777" w:rsidR="00970134" w:rsidRDefault="0097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070CFA" w:rsidRPr="0030086C" w:rsidRDefault="00070CF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DB3C45">
      <w:rPr>
        <w:rFonts w:cs="Arial"/>
        <w:b/>
        <w:noProof/>
        <w:sz w:val="22"/>
        <w:szCs w:val="22"/>
      </w:rPr>
      <w:t>18</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DB3C45" w:rsidRPr="00DB3C45">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070CFA" w:rsidRPr="00FD4569" w:rsidRDefault="00070CF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070CFA" w:rsidRDefault="0007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9167D" w14:textId="77777777" w:rsidR="00970134" w:rsidRDefault="00970134">
      <w:r>
        <w:separator/>
      </w:r>
    </w:p>
  </w:footnote>
  <w:footnote w:type="continuationSeparator" w:id="0">
    <w:p w14:paraId="720C6018" w14:textId="77777777" w:rsidR="00970134" w:rsidRDefault="00970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070CFA" w:rsidRPr="0030086C" w14:paraId="6800B951" w14:textId="77777777" w:rsidTr="00E45CDF">
      <w:trPr>
        <w:trHeight w:val="288"/>
      </w:trPr>
      <w:tc>
        <w:tcPr>
          <w:tcW w:w="2127" w:type="dxa"/>
          <w:vAlign w:val="center"/>
        </w:tcPr>
        <w:p w14:paraId="4F714C7F" w14:textId="77777777" w:rsidR="00070CFA" w:rsidRPr="0030086C" w:rsidRDefault="00070CF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070CFA" w:rsidRPr="001403E3" w:rsidRDefault="00070CF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070CFA" w:rsidRPr="004A509A" w:rsidRDefault="00070CF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070CFA" w:rsidRPr="0072433A" w:rsidRDefault="00070CF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070CFA" w:rsidRPr="0030086C" w:rsidRDefault="00070CF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070CFA" w:rsidRPr="0030086C" w:rsidRDefault="00070CF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070CFA" w14:paraId="1E50E847" w14:textId="77777777" w:rsidTr="00FE23C7">
      <w:trPr>
        <w:trHeight w:val="288"/>
      </w:trPr>
      <w:tc>
        <w:tcPr>
          <w:tcW w:w="2275" w:type="dxa"/>
        </w:tcPr>
        <w:p w14:paraId="5664A4A8" w14:textId="77777777" w:rsidR="00070CFA" w:rsidRDefault="00070CF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070CFA" w:rsidRPr="00FE23C7" w:rsidRDefault="00070CF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070CFA" w:rsidRDefault="0007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C1C4A38"/>
    <w:multiLevelType w:val="multilevel"/>
    <w:tmpl w:val="CDD4FA8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3352"/>
    <w:multiLevelType w:val="multilevel"/>
    <w:tmpl w:val="273A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4350F"/>
    <w:multiLevelType w:val="hybridMultilevel"/>
    <w:tmpl w:val="F2809A3E"/>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08B0190"/>
    <w:multiLevelType w:val="multilevel"/>
    <w:tmpl w:val="B5A2A15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4AB53429"/>
    <w:multiLevelType w:val="hybridMultilevel"/>
    <w:tmpl w:val="C4F6A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3" w15:restartNumberingAfterBreak="0">
    <w:nsid w:val="54CB2508"/>
    <w:multiLevelType w:val="multilevel"/>
    <w:tmpl w:val="4DFE831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16"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5"/>
  </w:num>
  <w:num w:numId="2">
    <w:abstractNumId w:val="19"/>
  </w:num>
  <w:num w:numId="3">
    <w:abstractNumId w:val="17"/>
  </w:num>
  <w:num w:numId="4">
    <w:abstractNumId w:val="4"/>
  </w:num>
  <w:num w:numId="5">
    <w:abstractNumId w:val="10"/>
  </w:num>
  <w:num w:numId="6">
    <w:abstractNumId w:val="18"/>
  </w:num>
  <w:num w:numId="7">
    <w:abstractNumId w:val="7"/>
  </w:num>
  <w:num w:numId="8">
    <w:abstractNumId w:val="5"/>
  </w:num>
  <w:num w:numId="9">
    <w:abstractNumId w:val="16"/>
  </w:num>
  <w:num w:numId="10">
    <w:abstractNumId w:val="8"/>
  </w:num>
  <w:num w:numId="11">
    <w:abstractNumId w:val="14"/>
  </w:num>
  <w:num w:numId="12">
    <w:abstractNumId w:val="3"/>
  </w:num>
  <w:num w:numId="13">
    <w:abstractNumId w:val="2"/>
  </w:num>
  <w:num w:numId="14">
    <w:abstractNumId w:val="12"/>
  </w:num>
  <w:num w:numId="15">
    <w:abstractNumId w:val="13"/>
  </w:num>
  <w:num w:numId="16">
    <w:abstractNumId w:val="6"/>
  </w:num>
  <w:num w:numId="17">
    <w:abstractNumId w:val="11"/>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481"/>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623D"/>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8EC"/>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202"/>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193D"/>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7FA"/>
    <w:rsid w:val="001D58D2"/>
    <w:rsid w:val="001D5AAC"/>
    <w:rsid w:val="001D6963"/>
    <w:rsid w:val="001D7AD0"/>
    <w:rsid w:val="001E0464"/>
    <w:rsid w:val="001E0743"/>
    <w:rsid w:val="001E0F21"/>
    <w:rsid w:val="001E2FE6"/>
    <w:rsid w:val="001E4941"/>
    <w:rsid w:val="001E4F46"/>
    <w:rsid w:val="001E5552"/>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15C0"/>
    <w:rsid w:val="00202307"/>
    <w:rsid w:val="00202975"/>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57F30"/>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83"/>
    <w:rsid w:val="002F49E4"/>
    <w:rsid w:val="002F4ADA"/>
    <w:rsid w:val="002F4E39"/>
    <w:rsid w:val="002F5262"/>
    <w:rsid w:val="002F64AE"/>
    <w:rsid w:val="002F657F"/>
    <w:rsid w:val="002F66C1"/>
    <w:rsid w:val="002F6EFF"/>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4EF"/>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182"/>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500"/>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A7095"/>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798"/>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AE2"/>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B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4F77"/>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616"/>
    <w:rsid w:val="00513000"/>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256C"/>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3D5"/>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1AE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790"/>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2B1"/>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195"/>
    <w:rsid w:val="0073446A"/>
    <w:rsid w:val="00734E31"/>
    <w:rsid w:val="0073585F"/>
    <w:rsid w:val="007375FB"/>
    <w:rsid w:val="00740793"/>
    <w:rsid w:val="00740903"/>
    <w:rsid w:val="00740976"/>
    <w:rsid w:val="0074129B"/>
    <w:rsid w:val="0074186D"/>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1ADF"/>
    <w:rsid w:val="00772AD8"/>
    <w:rsid w:val="00773476"/>
    <w:rsid w:val="007740B1"/>
    <w:rsid w:val="00774502"/>
    <w:rsid w:val="007751B1"/>
    <w:rsid w:val="0077625F"/>
    <w:rsid w:val="007763FA"/>
    <w:rsid w:val="00776435"/>
    <w:rsid w:val="0077666E"/>
    <w:rsid w:val="00776C45"/>
    <w:rsid w:val="0077775D"/>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3CF"/>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7C"/>
    <w:rsid w:val="007B72E3"/>
    <w:rsid w:val="007B7970"/>
    <w:rsid w:val="007C3B6F"/>
    <w:rsid w:val="007C4562"/>
    <w:rsid w:val="007C4DBC"/>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AA7"/>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32B"/>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6C74"/>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01A"/>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00A"/>
    <w:rsid w:val="009125A7"/>
    <w:rsid w:val="009129B6"/>
    <w:rsid w:val="00912D4A"/>
    <w:rsid w:val="00912DFE"/>
    <w:rsid w:val="0091326F"/>
    <w:rsid w:val="00913622"/>
    <w:rsid w:val="00913BAA"/>
    <w:rsid w:val="009145E0"/>
    <w:rsid w:val="00915579"/>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2B8"/>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2A3"/>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134"/>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34C"/>
    <w:rsid w:val="009B46AA"/>
    <w:rsid w:val="009B4F95"/>
    <w:rsid w:val="009B55FD"/>
    <w:rsid w:val="009B6240"/>
    <w:rsid w:val="009B667C"/>
    <w:rsid w:val="009B6B3E"/>
    <w:rsid w:val="009B7D16"/>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351"/>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1B0A"/>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3FA5"/>
    <w:rsid w:val="00A0417C"/>
    <w:rsid w:val="00A04DC1"/>
    <w:rsid w:val="00A051A7"/>
    <w:rsid w:val="00A05A59"/>
    <w:rsid w:val="00A05CA7"/>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2EF"/>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5A"/>
    <w:rsid w:val="00A86097"/>
    <w:rsid w:val="00A861F0"/>
    <w:rsid w:val="00A879C6"/>
    <w:rsid w:val="00A87A29"/>
    <w:rsid w:val="00A90CCE"/>
    <w:rsid w:val="00A91928"/>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3AB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7C1"/>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447"/>
    <w:rsid w:val="00B14F8F"/>
    <w:rsid w:val="00B15CE0"/>
    <w:rsid w:val="00B1656E"/>
    <w:rsid w:val="00B16718"/>
    <w:rsid w:val="00B16963"/>
    <w:rsid w:val="00B16E89"/>
    <w:rsid w:val="00B16FBF"/>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2E2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86C"/>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4D31"/>
    <w:rsid w:val="00BD53A6"/>
    <w:rsid w:val="00BD5A2B"/>
    <w:rsid w:val="00BD61DA"/>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07F"/>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59B0"/>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DE7"/>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557"/>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6E0"/>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5DC"/>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A2F"/>
    <w:rsid w:val="00D85B2E"/>
    <w:rsid w:val="00D86082"/>
    <w:rsid w:val="00D86087"/>
    <w:rsid w:val="00D87C5E"/>
    <w:rsid w:val="00D90399"/>
    <w:rsid w:val="00D90616"/>
    <w:rsid w:val="00D90C1F"/>
    <w:rsid w:val="00D9106F"/>
    <w:rsid w:val="00D91913"/>
    <w:rsid w:val="00D92D94"/>
    <w:rsid w:val="00D93FDF"/>
    <w:rsid w:val="00D940F0"/>
    <w:rsid w:val="00D94293"/>
    <w:rsid w:val="00D947B4"/>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3C45"/>
    <w:rsid w:val="00DB535C"/>
    <w:rsid w:val="00DB55EF"/>
    <w:rsid w:val="00DB5D9C"/>
    <w:rsid w:val="00DB60A8"/>
    <w:rsid w:val="00DB6C62"/>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CB7"/>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043"/>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3CF"/>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88C"/>
    <w:rsid w:val="00F22B70"/>
    <w:rsid w:val="00F234B7"/>
    <w:rsid w:val="00F25A80"/>
    <w:rsid w:val="00F2681D"/>
    <w:rsid w:val="00F26FE5"/>
    <w:rsid w:val="00F2777B"/>
    <w:rsid w:val="00F30BA6"/>
    <w:rsid w:val="00F30C7A"/>
    <w:rsid w:val="00F30D27"/>
    <w:rsid w:val="00F334E5"/>
    <w:rsid w:val="00F33D41"/>
    <w:rsid w:val="00F343FA"/>
    <w:rsid w:val="00F3516B"/>
    <w:rsid w:val="00F3548C"/>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AF2"/>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4D3"/>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E7FC7"/>
    <w:rsid w:val="00FF0672"/>
    <w:rsid w:val="00FF07C0"/>
    <w:rsid w:val="00FF12BE"/>
    <w:rsid w:val="00FF16DB"/>
    <w:rsid w:val="00FF238F"/>
    <w:rsid w:val="00FF31C2"/>
    <w:rsid w:val="00FF370F"/>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character" w:styleId="FollowedHyperlink">
    <w:name w:val="FollowedHyperlink"/>
    <w:basedOn w:val="DefaultParagraphFont"/>
    <w:uiPriority w:val="99"/>
    <w:semiHidden/>
    <w:unhideWhenUsed/>
    <w:rsid w:val="002F6E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24237786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22634166">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30964510">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02731199">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02411305">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56F95-7671-4383-B893-7C2107A0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2210</TotalTime>
  <Pages>18</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12475</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115</cp:revision>
  <cp:lastPrinted>2022-05-17T08:03:00Z</cp:lastPrinted>
  <dcterms:created xsi:type="dcterms:W3CDTF">2022-04-10T10:24:00Z</dcterms:created>
  <dcterms:modified xsi:type="dcterms:W3CDTF">2022-10-20T12:47:00Z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f0728ce24f56bfecdbf65d33beb4830c3457bb5e0ac712c8758a005d67bfacfb</vt:lpwstr>
  </property>
</Properties>
</file>