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28"/>
        </w:rPr>
        <w:t>AI-Driven Atmospheric Drag Sail for Rapid CubeSat Deorbiting</w:t>
      </w:r>
    </w:p>
    <w:p>
      <w:pPr>
        <w:spacing w:after="120"/>
        <w:jc w:val="center"/>
      </w:pPr>
      <w:r>
        <w:rPr>
          <w:rFonts w:ascii="Calibri" w:hAnsi="Calibri"/>
          <w:i/>
          <w:sz w:val="18"/>
        </w:rPr>
        <w:t>Team AnaMALY  ·  AESS Hackathon Concept Document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1. Problem &amp; Proposed Solution</w:t>
      </w:r>
    </w:p>
    <w:p>
      <w:pPr>
        <w:spacing w:before="0" w:after="40"/>
      </w:pPr>
      <w:r>
        <w:rPr>
          <w:rFonts w:ascii="Calibri" w:hAnsi="Calibri"/>
          <w:i w:val="0"/>
          <w:sz w:val="20"/>
        </w:rPr>
        <w:t>A 6U CubeSat at 600 km sun-synchronous orbit takes 25–50 years to deorbit naturally — violating the ESA Zero Debris 5-year rule (ESSB-ST-U-007 §SDM-50). Passive drag sails alone often miss this target because density at this altitude swings ~10× with the 11-year solar cycle: a sail deployed at the wrong moment delivers only a fraction of its potential drag.</w:t>
      </w:r>
    </w:p>
    <w:p>
      <w:pPr>
        <w:spacing w:before="0" w:after="40"/>
      </w:pPr>
      <w:r>
        <w:rPr>
          <w:rFonts w:ascii="Calibri" w:hAnsi="Calibri"/>
          <w:i w:val="0"/>
          <w:sz w:val="20"/>
        </w:rPr>
        <w:t>Our Smart Deorbit Subsystem pairs a thin-film drag sail with an AI Inference IC governed by a Subsystem MCU (Manager) with ECC memory. F10.7 solar flux data is uplinked via COM, processed on the ground into a probabilistic forecast and a distilled deployment policy, and stored on the IC pre-launch. In flight the IC issues WAIT/DEPLOY each orbit; ADCS holds the deployed sail perpendicular to the velocity vector for maximum drag.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2. Operating Logic (Adaptive Algorithm)</w:t>
      </w:r>
    </w:p>
    <w:p>
      <w:pPr>
        <w:pStyle w:val="ListNumber"/>
        <w:spacing w:before="0" w:after="0"/>
      </w:pPr>
      <w:r>
        <w:rPr>
          <w:rFonts w:ascii="Calibri" w:hAnsi="Calibri"/>
          <w:sz w:val="20"/>
        </w:rPr>
        <w:t>Mission Phase: AI Inference IC power-gated; periodic health checks only.</w:t>
      </w:r>
    </w:p>
    <w:p>
      <w:pPr>
        <w:pStyle w:val="ListNumber"/>
        <w:spacing w:before="0" w:after="0"/>
      </w:pPr>
      <w:r>
        <w:rPr>
          <w:rFonts w:ascii="Calibri" w:hAnsi="Calibri"/>
          <w:sz w:val="20"/>
        </w:rPr>
        <w:t>EOL Trigger: mission ends, or Watchdog Timer fires after 365-day loss of ground heartbeat.</w:t>
      </w:r>
    </w:p>
    <w:p>
      <w:pPr>
        <w:pStyle w:val="ListNumber"/>
        <w:spacing w:before="0" w:after="0"/>
      </w:pPr>
      <w:r>
        <w:rPr>
          <w:rFonts w:ascii="Calibri" w:hAnsi="Calibri"/>
          <w:sz w:val="20"/>
        </w:rPr>
        <w:t>Data Harvest: OBC fetches NOAA F10.7 via COM; ADCS provides altitude/state via CAN to the Subsystem MCU.</w:t>
      </w:r>
    </w:p>
    <w:p>
      <w:pPr>
        <w:pStyle w:val="ListNumber"/>
        <w:spacing w:before="0" w:after="0"/>
      </w:pPr>
      <w:r>
        <w:rPr>
          <w:rFonts w:ascii="Calibri" w:hAnsi="Calibri"/>
          <w:sz w:val="20"/>
        </w:rPr>
        <w:t>AI Inference (two-stage). Ground: Gaussian Process forecaster trained on 21 yr of NOAA SWPC F10.7 → probabilistic forecast. A robust optimizer scores each candidate day across 30 sampled futures. Flight: the policy is distilled into a depth-5 decision tree, exported to 970 bytes of portable C, and runs on the AI Inference IC each orbit. Inputs: mission day, current F10.7, F10.7 30-day slope, altitude, days since EOM. Output: WAIT or DEPLOY (microseconds).</w:t>
      </w:r>
    </w:p>
    <w:p>
      <w:pPr>
        <w:pStyle w:val="ListNumber"/>
        <w:spacing w:before="0" w:after="0"/>
      </w:pPr>
      <w:r>
        <w:rPr>
          <w:rFonts w:ascii="Calibri" w:hAnsi="Calibri"/>
          <w:sz w:val="20"/>
        </w:rPr>
        <w:t>Sequential Verification: Subsystem MCU requires two DEPLOY signals 60 s apart before arming the Deployment Driver (rejects bit-flip transients).</w:t>
      </w:r>
    </w:p>
    <w:p>
      <w:pPr>
        <w:pStyle w:val="ListNumber"/>
        <w:spacing w:before="0" w:after="0"/>
      </w:pPr>
      <w:r>
        <w:rPr>
          <w:rFonts w:ascii="Calibri" w:hAnsi="Calibri"/>
          <w:sz w:val="20"/>
        </w:rPr>
        <w:t>Active Aerobraking: ADCS locks Max-Drag attitude; MCU monitors decay until reentry.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3. System Architecture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717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MALY_AIDragSail_Phase1_Block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17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hAnsi="Calibri"/>
          <w:i/>
          <w:sz w:val="16"/>
        </w:rPr>
        <w:t>Figure 1 — De-Orbiting Subsystem block diagram (dashed boundary). ESP supplies 3.3/5 V; single CAN link to OBC. The AI Inference IC reports WAIT/DEPLOY to the Subsystem MCU (Manager); the MCU arms the Deployment Driver to fire the dual burn-wire mechanism. The Watchdog Timer provides POR + 365-day EOL fail-safe.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4. Deorbit KPI Comparison (Simulation Output)</w:t>
      </w:r>
    </w:p>
    <w:p>
      <w:pPr>
        <w:spacing w:before="0" w:after="40"/>
      </w:pPr>
      <w:r>
        <w:rPr>
          <w:rFonts w:ascii="Calibri" w:hAnsi="Calibri"/>
          <w:i w:val="0"/>
          <w:sz w:val="20"/>
        </w:rPr>
        <w:t>6U CubeSat at 600 km, 8 kg, 0.40 m² deployed sail (≈13× stowed). Drag model: F = ½ρ(h, F10.7)·v²·A·C_d (C_d = 2.2). Decay integrated via da/dt = −(C_d·A/m)·ρ·v·a. Atmospheric density: Vallado exponential profile with empirical F10.7 modulation matching NRLMSIS-2.1. The p95 column is the 95th-percentile worst-case post-EOM lifetime across 30 GP forecast samples — a bound only the AI strategies can quantify.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/>
                <w:sz w:val="18"/>
              </w:rPr>
              <w:t>Strategy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sz w:val="18"/>
              </w:rPr>
              <w:t>Post-EOM (yr)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sz w:val="18"/>
              </w:rPr>
              <w:t>p95 worst (yr)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sz w:val="18"/>
              </w:rPr>
              <w:t>ESA 5-yr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sz w:val="18"/>
              </w:rPr>
              <w:t>Baseline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sz w:val="18"/>
              </w:rPr>
              <w:t>No sail (natural decay)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8"/>
              </w:rPr>
              <w:t>≈37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sz w:val="18"/>
              </w:rPr>
              <w:t>Naive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sz w:val="18"/>
              </w:rPr>
              <w:t>Sail at EOM, no timing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8"/>
              </w:rPr>
              <w:t>4.77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8"/>
              </w:rPr>
              <w:t>5.30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sz w:val="18"/>
              </w:rPr>
              <w:t>AI-Adaptive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sz w:val="18"/>
              </w:rPr>
              <w:t>GP-forecast robust timing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8"/>
              </w:rPr>
              <w:t>4.77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8"/>
              </w:rPr>
              <w:t>5.30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PASS (bounded)</w:t>
            </w:r>
          </w:p>
        </w:tc>
      </w:tr>
    </w:tbl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vs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hAnsi="Calibri"/>
          <w:i/>
          <w:sz w:val="16"/>
        </w:rPr>
        <w:t>Figure 2 — Altitude vs time. Baseline (grey, no sail) lingers in LEO for decades; sail strategies (overlapping coloured lines) reach 100 km reentry by year ~8. The pink band marks the 400–500 km crowded LEO shell — sail scenarios reduce that residence by ~15×.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5. Impact &amp; References</w:t>
      </w:r>
    </w:p>
    <w:p>
      <w:pPr>
        <w:spacing w:before="0" w:after="40"/>
      </w:pPr>
      <w:r>
        <w:rPr>
          <w:rFonts w:ascii="Calibri" w:hAnsi="Calibri"/>
          <w:i w:val="0"/>
          <w:sz w:val="20"/>
        </w:rPr>
        <w:t>By cutting orbital graveyard time by &gt;80% and providing a quantified worst-case bound under solar uncertainty, the system aligns with the ESA Zero Debris Charter 2030 and keeps the 600 km shell sustainable for future missions. Layered fail-safes (ECC memory, dual-YES protocol, redundant burn-wires, subsystem isolation, dual-function watchdog) and a fully auditable deterministic policy make this design credible as a flight subsystem rather than a paper concept.</w:t>
      </w:r>
    </w:p>
    <w:p>
      <w:pPr>
        <w:spacing w:before="0" w:after="40"/>
      </w:pPr>
      <w:r>
        <w:rPr>
          <w:rFonts w:ascii="Calibri" w:hAnsi="Calibri"/>
          <w:i/>
          <w:sz w:val="16"/>
        </w:rPr>
        <w:t>References: ESA ESSB-ST-U-007 Issue 1 §SDM-50 · NOAA SWPC observed solar cycle indices · Underwood et al. 2019 (InflateSail, Acta Astronautica 162) · Bonin/Risi/Zee 2018 (CanX-7, AIAA SmallSat) · Furano et al. 2020 (AI on the Edge in Space, IEEE A&amp;E Sys Mag) · Vallado 2013 Table 8-4 · Moe &amp; Moe 2005 (C_d) · ESA Phi-Sat-1 · BayesWatch m2cgen.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