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ERpBRCA_OlderWomen: Biostatistical Corrections Report</w:t>
      </w:r>
    </w:p>
    <w:p>
      <w:r>
        <w:t>Code Review Summary - February 2026</w:t>
      </w:r>
    </w:p>
    <w:p/>
    <w:p>
      <w:pPr>
        <w:pStyle w:val="Heading1"/>
      </w:pPr>
      <w:r>
        <w:t>Executive Summary</w:t>
      </w:r>
    </w:p>
    <w:p>
      <w:r>
        <w:t>This report documents the biostatistical corrections applied during code review of the ERpBRCA_OlderWomen analysis pipeline. The corrections ensure proper multiple testing adjustment, complete statistical analyses, and reproducibility.</w:t>
      </w:r>
    </w:p>
    <w:p>
      <w:pPr>
        <w:pStyle w:val="Heading1"/>
      </w:pPr>
      <w:r>
        <w:t>Overview of Changes</w:t>
      </w:r>
    </w:p>
    <w:p>
      <w:pPr>
        <w:pStyle w:val="Heading2"/>
      </w:pPr>
      <w:r>
        <w:t>1. FDR Correction</w:t>
      </w:r>
    </w:p>
    <w:p>
      <w:r>
        <w:t>Added Benjamini-Hochberg FDR correction for multiple testing throughout the analysis pipeline. This is the standard approach for controlling false discovery rate in genomics studies.</w:t>
      </w:r>
    </w:p>
    <w:p>
      <w:pPr>
        <w:pStyle w:val="Heading2"/>
      </w:pPr>
      <w:r>
        <w:t>2. Missing Analyses Added</w:t>
      </w:r>
    </w:p>
    <w:p>
      <w:r>
        <w:t>The original rat snRNA-seq analysis was missing critical statistical tests:</w:t>
      </w:r>
    </w:p>
    <w:p>
      <w:r>
        <w:t>• Differential expression analysis (Young vs Aged per cell type)</w:t>
        <w:br/>
      </w:r>
      <w:r>
        <w:t>• Differential abundance testing (cell type proportions)</w:t>
        <w:br/>
      </w:r>
      <w:r>
        <w:t>• DoubletFinder for quality control</w:t>
      </w:r>
    </w:p>
    <w:p>
      <w:pPr>
        <w:pStyle w:val="Heading2"/>
      </w:pPr>
      <w:r>
        <w:t>3. Reproducibility Improvements</w:t>
      </w:r>
    </w:p>
    <w:p>
      <w:r>
        <w:t>Random seeds (12345) were added to all analyses to ensure reproducibility. Script path detection was fixed for Rscript execution compatibility.</w:t>
      </w:r>
    </w:p>
    <w:p>
      <w:pPr>
        <w:pStyle w:val="Heading1"/>
      </w:pPr>
      <w:r>
        <w:t>Human Bulk RNA-seq Results</w:t>
      </w:r>
    </w:p>
    <w:p>
      <w:pPr>
        <w:pStyle w:val="Heading2"/>
      </w:pPr>
      <w:r>
        <w:t>Correlation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After FDR</w:t>
            </w:r>
          </w:p>
        </w:tc>
      </w:tr>
      <w:tr>
        <w:tc>
          <w:tcPr>
            <w:tcW w:type="dxa" w:w="2880"/>
          </w:tcPr>
          <w:p>
            <w:r>
              <w:t>Total tests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Significant (p &lt; 0.05)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Significant (FDR &lt; 0.05)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Reproducibility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Key finding: All 22 nominally significant correlations are identical between original and corrected analyses, confirming reproducibility. After FDR correction, 2 correlations (HSD17B7 × Estrogen pathways) lost significance due to borderline p-values (0.026, 0.036).</w:t>
      </w:r>
    </w:p>
    <w:p>
      <w:pPr>
        <w:pStyle w:val="Heading1"/>
      </w:pPr>
      <w:r>
        <w:t>Rat snRNA-seq Results</w:t>
      </w:r>
    </w:p>
    <w:p>
      <w:pPr>
        <w:pStyle w:val="Heading2"/>
      </w:pPr>
      <w:r>
        <w:t>Differential Expression Analysis (NEW)</w:t>
      </w:r>
    </w:p>
    <w:p>
      <w:r>
        <w:t>This analysis was completely missing from the original pipeline. We now have comprehensive DE testing between Young and Aged samples for each cell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Cell Type</w:t>
            </w:r>
          </w:p>
        </w:tc>
        <w:tc>
          <w:tcPr>
            <w:tcW w:type="dxa" w:w="1728"/>
          </w:tcPr>
          <w:p>
            <w:r>
              <w:t>Total DE</w:t>
            </w:r>
          </w:p>
        </w:tc>
        <w:tc>
          <w:tcPr>
            <w:tcW w:type="dxa" w:w="1728"/>
          </w:tcPr>
          <w:p>
            <w:r>
              <w:t>FDR &lt; 0.05</w:t>
            </w:r>
          </w:p>
        </w:tc>
        <w:tc>
          <w:tcPr>
            <w:tcW w:type="dxa" w:w="1728"/>
          </w:tcPr>
          <w:p>
            <w:r>
              <w:t>Up in Aged</w:t>
            </w:r>
          </w:p>
        </w:tc>
        <w:tc>
          <w:tcPr>
            <w:tcW w:type="dxa" w:w="1728"/>
          </w:tcPr>
          <w:p>
            <w:r>
              <w:t>Down in Aged</w:t>
            </w:r>
          </w:p>
        </w:tc>
      </w:tr>
      <w:tr>
        <w:tc>
          <w:tcPr>
            <w:tcW w:type="dxa" w:w="1728"/>
          </w:tcPr>
          <w:p>
            <w:r>
              <w:t>Luminal</w:t>
            </w:r>
          </w:p>
        </w:tc>
        <w:tc>
          <w:tcPr>
            <w:tcW w:type="dxa" w:w="1728"/>
          </w:tcPr>
          <w:p>
            <w:r>
              <w:t>3,482</w:t>
            </w:r>
          </w:p>
        </w:tc>
        <w:tc>
          <w:tcPr>
            <w:tcW w:type="dxa" w:w="1728"/>
          </w:tcPr>
          <w:p>
            <w:r>
              <w:t>3,335</w:t>
            </w:r>
          </w:p>
        </w:tc>
        <w:tc>
          <w:tcPr>
            <w:tcW w:type="dxa" w:w="1728"/>
          </w:tcPr>
          <w:p>
            <w:r>
              <w:t>978</w:t>
            </w:r>
          </w:p>
        </w:tc>
        <w:tc>
          <w:tcPr>
            <w:tcW w:type="dxa" w:w="1728"/>
          </w:tcPr>
          <w:p>
            <w:r>
              <w:t>2,357</w:t>
            </w:r>
          </w:p>
        </w:tc>
      </w:tr>
      <w:tr>
        <w:tc>
          <w:tcPr>
            <w:tcW w:type="dxa" w:w="1728"/>
          </w:tcPr>
          <w:p>
            <w:r>
              <w:t>Basal</w:t>
            </w:r>
          </w:p>
        </w:tc>
        <w:tc>
          <w:tcPr>
            <w:tcW w:type="dxa" w:w="1728"/>
          </w:tcPr>
          <w:p>
            <w:r>
              <w:t>3,802</w:t>
            </w:r>
          </w:p>
        </w:tc>
        <w:tc>
          <w:tcPr>
            <w:tcW w:type="dxa" w:w="1728"/>
          </w:tcPr>
          <w:p>
            <w:r>
              <w:t>2,682</w:t>
            </w:r>
          </w:p>
        </w:tc>
        <w:tc>
          <w:tcPr>
            <w:tcW w:type="dxa" w:w="1728"/>
          </w:tcPr>
          <w:p>
            <w:r>
              <w:t>1,811</w:t>
            </w:r>
          </w:p>
        </w:tc>
        <w:tc>
          <w:tcPr>
            <w:tcW w:type="dxa" w:w="1728"/>
          </w:tcPr>
          <w:p>
            <w:r>
              <w:t>871</w:t>
            </w:r>
          </w:p>
        </w:tc>
      </w:tr>
      <w:tr>
        <w:tc>
          <w:tcPr>
            <w:tcW w:type="dxa" w:w="1728"/>
          </w:tcPr>
          <w:p>
            <w:r>
              <w:t>Fibroblasts</w:t>
            </w:r>
          </w:p>
        </w:tc>
        <w:tc>
          <w:tcPr>
            <w:tcW w:type="dxa" w:w="1728"/>
          </w:tcPr>
          <w:p>
            <w:r>
              <w:t>4,747</w:t>
            </w:r>
          </w:p>
        </w:tc>
        <w:tc>
          <w:tcPr>
            <w:tcW w:type="dxa" w:w="1728"/>
          </w:tcPr>
          <w:p>
            <w:r>
              <w:t>1,631</w:t>
            </w:r>
          </w:p>
        </w:tc>
        <w:tc>
          <w:tcPr>
            <w:tcW w:type="dxa" w:w="1728"/>
          </w:tcPr>
          <w:p>
            <w:r>
              <w:t>1,479</w:t>
            </w:r>
          </w:p>
        </w:tc>
        <w:tc>
          <w:tcPr>
            <w:tcW w:type="dxa" w:w="1728"/>
          </w:tcPr>
          <w:p>
            <w:r>
              <w:t>152</w:t>
            </w:r>
          </w:p>
        </w:tc>
      </w:tr>
      <w:tr>
        <w:tc>
          <w:tcPr>
            <w:tcW w:type="dxa" w:w="1728"/>
          </w:tcPr>
          <w:p>
            <w:r>
              <w:t>Endothelial</w:t>
            </w:r>
          </w:p>
        </w:tc>
        <w:tc>
          <w:tcPr>
            <w:tcW w:type="dxa" w:w="1728"/>
          </w:tcPr>
          <w:p>
            <w:r>
              <w:t>4,308</w:t>
            </w:r>
          </w:p>
        </w:tc>
        <w:tc>
          <w:tcPr>
            <w:tcW w:type="dxa" w:w="1728"/>
          </w:tcPr>
          <w:p>
            <w:r>
              <w:t>1,112</w:t>
            </w:r>
          </w:p>
        </w:tc>
        <w:tc>
          <w:tcPr>
            <w:tcW w:type="dxa" w:w="1728"/>
          </w:tcPr>
          <w:p>
            <w:r>
              <w:t>645</w:t>
            </w:r>
          </w:p>
        </w:tc>
        <w:tc>
          <w:tcPr>
            <w:tcW w:type="dxa" w:w="1728"/>
          </w:tcPr>
          <w:p>
            <w:r>
              <w:t>467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16,339</w:t>
            </w:r>
          </w:p>
        </w:tc>
        <w:tc>
          <w:tcPr>
            <w:tcW w:type="dxa" w:w="1728"/>
          </w:tcPr>
          <w:p>
            <w:r>
              <w:t>8,760</w:t>
            </w:r>
          </w:p>
        </w:tc>
        <w:tc>
          <w:tcPr>
            <w:tcW w:type="dxa" w:w="1728"/>
          </w:tcPr>
          <w:p>
            <w:r>
              <w:t>4,913</w:t>
            </w:r>
          </w:p>
        </w:tc>
        <w:tc>
          <w:tcPr>
            <w:tcW w:type="dxa" w:w="1728"/>
          </w:tcPr>
          <w:p>
            <w:r>
              <w:t>3,847</w:t>
            </w:r>
          </w:p>
        </w:tc>
      </w:tr>
    </w:tbl>
    <w:p/>
    <w:p>
      <w:pPr>
        <w:pStyle w:val="Heading2"/>
      </w:pPr>
      <w:r>
        <w:t>Biological Insights</w:t>
      </w:r>
    </w:p>
    <w:p>
      <w:r>
        <w:t>• Luminal cells show predominantly downregulation in aging (2,357 down vs 978 up)</w:t>
        <w:br/>
      </w:r>
      <w:r>
        <w:t>• Fibroblasts show predominantly upregulation in aging (1,479 up vs 152 down)</w:t>
        <w:br/>
      </w:r>
      <w:r>
        <w:t>• Basal cells show mixed regulation with more upregulation</w:t>
        <w:br/>
      </w:r>
      <w:r>
        <w:t>• Total of 8,760 genes show significant age-related changes</w:t>
      </w:r>
    </w:p>
    <w:p>
      <w:pPr>
        <w:pStyle w:val="Heading2"/>
      </w:pPr>
      <w:r>
        <w:t>Differential Abundance Analysis (NEW)</w:t>
      </w:r>
    </w:p>
    <w:p>
      <w:r>
        <w:t>Propeller testing was performed to compare cell type proportions between age groups. No significant differences were detected at FDR &lt; 0.05, though this is expected given the limited sample size (n=3 per group).</w:t>
      </w:r>
    </w:p>
    <w:p>
      <w:pPr>
        <w:pStyle w:val="Heading1"/>
      </w:pPr>
      <w:r>
        <w:t>Technical Fixes</w:t>
      </w:r>
    </w:p>
    <w:p>
      <w:r>
        <w:rPr>
          <w:b/>
        </w:rPr>
        <w:t xml:space="preserve">sys.frame(1)$ofile error: </w:t>
      </w:r>
      <w:r>
        <w:t>Replaced with commandArgs() function for proper script path detection when run via Rscript</w:t>
      </w:r>
    </w:p>
    <w:p>
      <w:r>
        <w:rPr>
          <w:b/>
        </w:rPr>
        <w:t xml:space="preserve">future.globals.maxSize: </w:t>
      </w:r>
      <w:r>
        <w:t>Increased from 500MB to 4GB to handle large cell populations in Seurat</w:t>
      </w:r>
    </w:p>
    <w:p>
      <w:r>
        <w:rPr>
          <w:b/>
        </w:rPr>
        <w:t xml:space="preserve">Cluster name 'g' prefix: </w:t>
      </w:r>
      <w:r>
        <w:t>Fixed Seurat v5 behavior that prepends 'g' to numeric cluster names</w:t>
      </w:r>
    </w:p>
    <w:p>
      <w:r>
        <w:rPr>
          <w:b/>
        </w:rPr>
        <w:t xml:space="preserve">JoinLayers(): </w:t>
      </w:r>
      <w:r>
        <w:t>Added before FindAllMarkers and FindMarkers for Seurat v5 compatibility</w:t>
      </w:r>
    </w:p>
    <w:p>
      <w:r>
        <w:rPr>
          <w:b/>
        </w:rPr>
        <w:t xml:space="preserve">tryCatch scope: </w:t>
      </w:r>
      <w:r>
        <w:t>Fixed variable scoping so error handlers properly set outer variables</w:t>
      </w:r>
    </w:p>
    <w:p>
      <w:pPr>
        <w:pStyle w:val="Heading1"/>
      </w:pPr>
      <w:r>
        <w:t>Conclusions</w:t>
      </w:r>
    </w:p>
    <w:p>
      <w:r>
        <w:t>The biostatistical corrections successfully address all issues identified during code review:</w:t>
      </w:r>
    </w:p>
    <w:p>
      <w:r>
        <w:rPr>
          <w:b/>
        </w:rPr>
        <w:t xml:space="preserve">1. </w:t>
      </w:r>
      <w:r>
        <w:t>Reproducibility confirmed - correlation values are identical</w:t>
        <w:br/>
      </w:r>
      <w:r>
        <w:rPr>
          <w:b/>
        </w:rPr>
        <w:t xml:space="preserve">2. </w:t>
      </w:r>
      <w:r>
        <w:t>91% of human correlations remain significant after FDR correction</w:t>
        <w:br/>
      </w:r>
      <w:r>
        <w:rPr>
          <w:b/>
        </w:rPr>
        <w:t xml:space="preserve">3. </w:t>
      </w:r>
      <w:r>
        <w:t>Rat snRNA-seq now has complete DE/DA analyses</w:t>
        <w:br/>
      </w:r>
      <w:r>
        <w:rPr>
          <w:b/>
        </w:rPr>
        <w:t xml:space="preserve">4. </w:t>
      </w:r>
      <w:r>
        <w:t>8,760 FDR-significant DE genes identified across 4 cell types</w:t>
        <w:br/>
      </w:r>
      <w:r>
        <w:rPr>
          <w:b/>
        </w:rPr>
        <w:t xml:space="preserve">5. </w:t>
      </w:r>
      <w:r>
        <w:t>All technical issues resolved for Seurat v5 compatibility</w:t>
      </w:r>
    </w:p>
    <w:p/>
    <w:p>
      <w:r>
        <w:t>The core biological findings are robust and the analysis pipeline now meets standards for biostatistical rigor.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