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3ccfb076ece3e7e752cf690d02fa7ef2906e84"/>
    <w:p>
      <w:pPr>
        <w:pStyle w:val="Heading1"/>
      </w:pPr>
      <w:r>
        <w:t xml:space="preserve">Computational Methods: Human Bulk RNA-seq Analysis (</w:t>
      </w:r>
      <w:r>
        <w:rPr>
          <w:rStyle w:val="VerbatimChar"/>
        </w:rPr>
        <w:t xml:space="preserve">01_human_bulk_rnaseq</w:t>
      </w:r>
      <w:r>
        <w:t xml:space="preserve">)</w:t>
      </w:r>
    </w:p>
    <w:bookmarkStart w:id="10" w:name="data-acquisition"/>
    <w:p>
      <w:pPr>
        <w:pStyle w:val="Heading2"/>
      </w:pPr>
      <w:r>
        <w:t xml:space="preserve">1. Data Acquisition</w:t>
      </w:r>
    </w:p>
    <w:p>
      <w:pPr>
        <w:pStyle w:val="FirstParagraph"/>
      </w:pPr>
      <w:r>
        <w:t xml:space="preserve">Human ER+ breast cancer bulk RNA-seq data were obtained as a pre-compiled feature count matrix (</w:t>
      </w:r>
      <w:r>
        <w:rPr>
          <w:rStyle w:val="VerbatimChar"/>
        </w:rPr>
        <w:t xml:space="preserve">HumanERpAge_39404g168s_FeatureCount.txt</w:t>
      </w:r>
      <w:r>
        <w:t xml:space="preserve">) containing 39,404 genes across 168 samples, accompanied by a sample annotation file (</w:t>
      </w:r>
      <w:r>
        <w:rPr>
          <w:rStyle w:val="VerbatimChar"/>
        </w:rPr>
        <w:t xml:space="preserve">HumanERpAge_BulkRNAseq_SampleInformation.txt</w:t>
      </w:r>
      <w:r>
        <w:t xml:space="preserve">). A parallel log2-transformed TPM matrix (</w:t>
      </w:r>
      <w:r>
        <w:rPr>
          <w:rStyle w:val="VerbatimChar"/>
        </w:rPr>
        <w:t xml:space="preserve">HumanERpAge_39404g168s_TPMlog2.txt</w:t>
      </w:r>
      <w:r>
        <w:t xml:space="preserve">) was provided as a fallback for analyses not requiring raw counts. Sample metadata included chronological age, tissue type (Tumor or Tumor-Adjacent), and age range classification. Gene annotations were obtained from NCBI (</w:t>
      </w:r>
      <w:r>
        <w:rPr>
          <w:rStyle w:val="VerbatimChar"/>
        </w:rPr>
        <w:t xml:space="preserve">Homo_sapiens.gene_info.txt</w:t>
      </w:r>
      <w:r>
        <w:t xml:space="preserve">) for protein-coding gene filtering.</w:t>
      </w:r>
    </w:p>
    <w:p>
      <w:pPr>
        <w:pStyle w:val="BodyText"/>
      </w:pPr>
      <w:r>
        <w:t xml:space="preserve">For the MICA concordance analysis (subdirectory</w:t>
      </w:r>
      <w:r>
        <w:t xml:space="preserve"> </w:t>
      </w:r>
      <w:r>
        <w:rPr>
          <w:rStyle w:val="VerbatimChar"/>
        </w:rPr>
        <w:t xml:space="preserve">mica/</w:t>
      </w:r>
      <w:r>
        <w:t xml:space="preserve">), external validation cohorts were planned from TCGA, METABRIC, and SCAN-B datasets (</w:t>
      </w:r>
      <w:r>
        <w:rPr>
          <w:rStyle w:val="VerbatimChar"/>
        </w:rPr>
        <w:t xml:space="preserve">ilc_clean_data.RData</w:t>
      </w:r>
      <w:r>
        <w:t xml:space="preserve">,</w:t>
      </w:r>
      <w:r>
        <w:t xml:space="preserve"> </w:t>
      </w:r>
      <w:r>
        <w:rPr>
          <w:rStyle w:val="VerbatimChar"/>
        </w:rPr>
        <w:t xml:space="preserve">METABRIC_Clinical_Info.csv</w:t>
      </w:r>
      <w:r>
        <w:t xml:space="preserve">,</w:t>
      </w:r>
      <w:r>
        <w:t xml:space="preserve"> </w:t>
      </w:r>
      <w:r>
        <w:rPr>
          <w:rStyle w:val="VerbatimChar"/>
        </w:rPr>
        <w:t xml:space="preserve">TCGA_Key.csv</w:t>
      </w:r>
      <w:r>
        <w:t xml:space="preserve">).</w:t>
      </w:r>
    </w:p>
    <w:bookmarkStart w:id="9" w:name="age-group-definitions"/>
    <w:p>
      <w:pPr>
        <w:pStyle w:val="Heading3"/>
      </w:pPr>
      <w:r>
        <w:t xml:space="preserve">Age Group Definitions</w:t>
      </w:r>
    </w:p>
    <w:p>
      <w:pPr>
        <w:pStyle w:val="FirstParagraph"/>
      </w:pPr>
      <w:r>
        <w:t xml:space="preserve">Samples were classified into age groups as follows:</w:t>
      </w:r>
    </w:p>
    <w:p>
      <w:pPr>
        <w:pStyle w:val="Compact"/>
        <w:numPr>
          <w:ilvl w:val="0"/>
          <w:numId w:val="1001"/>
        </w:numPr>
      </w:pPr>
      <w:r>
        <w:rPr>
          <w:b/>
          <w:bCs/>
        </w:rPr>
        <w:t xml:space="preserve">Primary analysis (main pipeline):</w:t>
      </w:r>
      <w:r>
        <w:t xml:space="preserve"> </w:t>
      </w:r>
      <w:r>
        <w:t xml:space="preserve">Age groups were derived from the sample annotation column</w:t>
      </w:r>
      <w:r>
        <w:t xml:space="preserve"> </w:t>
      </w:r>
      <w:r>
        <w:rPr>
          <w:rStyle w:val="VerbatimChar"/>
        </w:rPr>
        <w:t xml:space="preserve">AgeRange</w:t>
      </w:r>
      <w:r>
        <w:t xml:space="preserve"> </w:t>
      </w:r>
      <w:r>
        <w:t xml:space="preserve">(categorical values: Young, Middle, Elderly). Numeric age boundaries are Young: 35–44 years, Middle: 54–69 years, Elderly: 70–85 years; the correlation analysis (script</w:t>
      </w:r>
      <w:r>
        <w:t xml:space="preserve"> </w:t>
      </w:r>
      <w:r>
        <w:rPr>
          <w:rStyle w:val="VerbatimChar"/>
        </w:rPr>
        <w:t xml:space="preserve">04_correlations.R</w:t>
      </w:r>
      <w:r>
        <w:t xml:space="preserve">) restricted to Young and Elderly tumor samples only, excluding Middle-aged samples.</w:t>
      </w:r>
    </w:p>
    <w:p>
      <w:pPr>
        <w:pStyle w:val="Compact"/>
        <w:numPr>
          <w:ilvl w:val="0"/>
          <w:numId w:val="1001"/>
        </w:numPr>
      </w:pPr>
      <w:r>
        <w:rPr>
          <w:b/>
          <w:bCs/>
        </w:rPr>
        <w:t xml:space="preserve">MICA sub-analysis:</w:t>
      </w:r>
      <w:r>
        <w:t xml:space="preserve"> </w:t>
      </w:r>
      <w:r>
        <w:t xml:space="preserve">Young: 35-45 years; Middle-Aged: 55-69 years; Elderly: &gt;= 70 years. A postmenopausal subdivision was also defined: Early: 55-59, Middle: 60-69, Elderly: &gt;= 70.</w:t>
      </w:r>
    </w:p>
    <w:bookmarkEnd w:id="9"/>
    <w:bookmarkEnd w:id="10"/>
    <w:bookmarkStart w:id="16" w:name="preprocessing"/>
    <w:p>
      <w:pPr>
        <w:pStyle w:val="Heading2"/>
      </w:pPr>
      <w:r>
        <w:t xml:space="preserve">2. Preprocessing</w:t>
      </w:r>
    </w:p>
    <w:p>
      <w:pPr>
        <w:pStyle w:val="FirstParagraph"/>
      </w:pPr>
      <w:r>
        <w:t xml:space="preserve">Preprocessing was performed in</w:t>
      </w:r>
      <w:r>
        <w:t xml:space="preserve"> </w:t>
      </w:r>
      <w:r>
        <w:rPr>
          <w:rStyle w:val="VerbatimChar"/>
        </w:rPr>
        <w:t xml:space="preserve">01_preprocess.R</w:t>
      </w:r>
      <w:r>
        <w:t xml:space="preserve"> </w:t>
      </w:r>
      <w:r>
        <w:t xml:space="preserve">with two operational modes depending on input data availability.</w:t>
      </w:r>
    </w:p>
    <w:bookmarkStart w:id="11" w:name="count-mode-primary"/>
    <w:p>
      <w:pPr>
        <w:pStyle w:val="Heading3"/>
      </w:pPr>
      <w:r>
        <w:t xml:space="preserve">Count Mode (Primary)</w:t>
      </w:r>
    </w:p>
    <w:p>
      <w:pPr>
        <w:pStyle w:val="FirstParagraph"/>
      </w:pPr>
      <w:r>
        <w:t xml:space="preserve">When raw feature counts are available (</w:t>
      </w:r>
      <w:r>
        <w:rPr>
          <w:rStyle w:val="VerbatimChar"/>
        </w:rPr>
        <w:t xml:space="preserve">HumanERpAge_39404g168s_FeatureCount.txt</w:t>
      </w:r>
      <w:r>
        <w:t xml:space="preserve">), the pipeline performs:</w:t>
      </w:r>
    </w:p>
    <w:p>
      <w:pPr>
        <w:numPr>
          <w:ilvl w:val="0"/>
          <w:numId w:val="1002"/>
        </w:numPr>
      </w:pPr>
      <w:r>
        <w:rPr>
          <w:b/>
          <w:bCs/>
        </w:rPr>
        <w:t xml:space="preserve">Gene annotation filtering:</w:t>
      </w:r>
      <w:r>
        <w:t xml:space="preserve"> </w:t>
      </w:r>
      <w:r>
        <w:t xml:space="preserve">Genes were filtered to retain only protein-coding genes from the NCBI gene annotation file, excluding genes matching the pattern</w:t>
      </w:r>
      <w:r>
        <w:t xml:space="preserve"> </w:t>
      </w:r>
      <w:r>
        <w:rPr>
          <w:rStyle w:val="VerbatimChar"/>
        </w:rPr>
        <w:t xml:space="preserve">^LOC\d+</w:t>
      </w:r>
      <w:r>
        <w:t xml:space="preserve"> </w:t>
      </w:r>
      <w:r>
        <w:t xml:space="preserve">(uncharacterized loci). This was applied using</w:t>
      </w:r>
      <w:r>
        <w:t xml:space="preserve"> </w:t>
      </w:r>
      <w:r>
        <w:rPr>
          <w:rStyle w:val="VerbatimChar"/>
        </w:rPr>
        <w:t xml:space="preserve">dplyr::filter(type_of_gene == "protein-coding", !grepl("^LOC\\d+", Symbol))</w:t>
      </w:r>
      <w:r>
        <w:t xml:space="preserve">.</w:t>
      </w:r>
    </w:p>
    <w:p>
      <w:pPr>
        <w:numPr>
          <w:ilvl w:val="0"/>
          <w:numId w:val="1002"/>
        </w:numPr>
      </w:pPr>
      <w:r>
        <w:rPr>
          <w:b/>
          <w:bCs/>
        </w:rPr>
        <w:t xml:space="preserve">Sample name harmonization:</w:t>
      </w:r>
      <w:r>
        <w:t xml:space="preserve"> </w:t>
      </w:r>
      <w:r>
        <w:t xml:space="preserve">Sample identifiers were stripped of the</w:t>
      </w:r>
      <w:r>
        <w:t xml:space="preserve"> </w:t>
      </w:r>
      <w:r>
        <w:rPr>
          <w:rStyle w:val="VerbatimChar"/>
        </w:rPr>
        <w:t xml:space="preserve">_LEE*</w:t>
      </w:r>
      <w:r>
        <w:t xml:space="preserve"> </w:t>
      </w:r>
      <w:r>
        <w:t xml:space="preserve">suffix using</w:t>
      </w:r>
      <w:r>
        <w:t xml:space="preserve"> </w:t>
      </w:r>
      <w:r>
        <w:rPr>
          <w:rStyle w:val="VerbatimChar"/>
        </w:rPr>
        <w:t xml:space="preserve">gsub("_LEE(.*)", "", colnames(count_data))</w:t>
      </w:r>
      <w:r>
        <w:t xml:space="preserve"> </w:t>
      </w:r>
      <w:r>
        <w:t xml:space="preserve">to match annotation file naming.</w:t>
      </w:r>
    </w:p>
    <w:p>
      <w:pPr>
        <w:numPr>
          <w:ilvl w:val="0"/>
          <w:numId w:val="1002"/>
        </w:numPr>
      </w:pPr>
      <w:r>
        <w:rPr>
          <w:b/>
          <w:bCs/>
        </w:rPr>
        <w:t xml:space="preserve">Expression normalization:</w:t>
      </w:r>
      <w:r>
        <w:t xml:space="preserve"> </w:t>
      </w:r>
      <w:r>
        <w:t xml:space="preserve">A DESeq2 object was created with design</w:t>
      </w:r>
      <w:r>
        <w:t xml:space="preserve"> </w:t>
      </w:r>
      <w:r>
        <w:rPr>
          <w:rStyle w:val="VerbatimChar"/>
        </w:rPr>
        <w:t xml:space="preserve">~ AgeRange + Group</w:t>
      </w:r>
      <w:r>
        <w:t xml:space="preserve">, and variance stabilizing transformation (VST) was applied via</w:t>
      </w:r>
      <w:r>
        <w:t xml:space="preserve"> </w:t>
      </w:r>
      <w:r>
        <w:rPr>
          <w:rStyle w:val="VerbatimChar"/>
        </w:rPr>
        <w:t xml:space="preserve">varianceStabilizingTransformation(dds, blind = FALSE)</w:t>
      </w:r>
      <w:r>
        <w:t xml:space="preserve">. The resulting VST matrix was saved as</w:t>
      </w:r>
      <w:r>
        <w:t xml:space="preserve"> </w:t>
      </w:r>
      <w:r>
        <w:rPr>
          <w:rStyle w:val="VerbatimChar"/>
        </w:rPr>
        <w:t xml:space="preserve">vst_normalized_matrix.rds</w:t>
      </w:r>
      <w:r>
        <w:t xml:space="preserve"> </w:t>
      </w:r>
      <w:r>
        <w:t xml:space="preserve">and used as input for GSVA and PROGENy.</w:t>
      </w:r>
    </w:p>
    <w:bookmarkEnd w:id="11"/>
    <w:bookmarkStart w:id="12" w:name="tpm-mode-fallback"/>
    <w:p>
      <w:pPr>
        <w:pStyle w:val="Heading3"/>
      </w:pPr>
      <w:r>
        <w:t xml:space="preserve">TPM Mode (Fallback)</w:t>
      </w:r>
    </w:p>
    <w:p>
      <w:pPr>
        <w:pStyle w:val="FirstParagraph"/>
      </w:pPr>
      <w:r>
        <w:t xml:space="preserve">When count data are unavailable, the pipeline falls back to reading pre-computed log2(TPM) values (</w:t>
      </w:r>
      <w:r>
        <w:rPr>
          <w:rStyle w:val="VerbatimChar"/>
        </w:rPr>
        <w:t xml:space="preserve">HumanERpAge_39404g168s_TPMlog2.txt</w:t>
      </w:r>
      <w:r>
        <w:t xml:space="preserve">). The matrix is deduplicated by gene symbol (the row with the highest mean expression across samples is retained) and saved as</w:t>
      </w:r>
      <w:r>
        <w:t xml:space="preserve"> </w:t>
      </w:r>
      <w:r>
        <w:rPr>
          <w:rStyle w:val="VerbatimChar"/>
        </w:rPr>
        <w:t xml:space="preserve">vst_normalized_matrix.rds</w:t>
      </w:r>
      <w:r>
        <w:t xml:space="preserve"> </w:t>
      </w:r>
      <w:r>
        <w:t xml:space="preserve">(named for downstream compatibility). No DESeq2 normalization is performed in this mode.</w:t>
      </w:r>
    </w:p>
    <w:bookmarkEnd w:id="12"/>
    <w:bookmarkStart w:id="13" w:name="quality-control"/>
    <w:p>
      <w:pPr>
        <w:pStyle w:val="Heading3"/>
      </w:pPr>
      <w:r>
        <w:t xml:space="preserve">Quality Control</w:t>
      </w:r>
    </w:p>
    <w:p>
      <w:pPr>
        <w:pStyle w:val="FirstParagraph"/>
      </w:pPr>
      <w:r>
        <w:t xml:space="preserve">QC visualizations were generated as a multi-page PDF (</w:t>
      </w:r>
      <w:r>
        <w:rPr>
          <w:rStyle w:val="VerbatimChar"/>
        </w:rPr>
        <w:t xml:space="preserve">qc_plots.pdf</w:t>
      </w:r>
      <w:r>
        <w:t xml:space="preserve">):</w:t>
      </w:r>
      <w:r>
        <w:t xml:space="preserve"> </w:t>
      </w:r>
      <w:r>
        <w:t xml:space="preserve">-</w:t>
      </w:r>
      <w:r>
        <w:t xml:space="preserve"> </w:t>
      </w:r>
      <w:r>
        <w:rPr>
          <w:b/>
          <w:bCs/>
        </w:rPr>
        <w:t xml:space="preserve">PCA plot:</w:t>
      </w:r>
      <w:r>
        <w:t xml:space="preserve"> </w:t>
      </w:r>
      <w:r>
        <w:t xml:space="preserve">Principal component analysis with</w:t>
      </w:r>
      <w:r>
        <w:t xml:space="preserve"> </w:t>
      </w:r>
      <w:r>
        <w:rPr>
          <w:rStyle w:val="VerbatimChar"/>
        </w:rPr>
        <w:t xml:space="preserve">prcomp(t(expr_matrix), center = TRUE, scale. = TRUE)</w:t>
      </w:r>
      <w:r>
        <w:t xml:space="preserve"> </w:t>
      </w:r>
      <w:r>
        <w:t xml:space="preserve">(TPM mode) or</w:t>
      </w:r>
      <w:r>
        <w:t xml:space="preserve"> </w:t>
      </w:r>
      <w:r>
        <w:rPr>
          <w:rStyle w:val="VerbatimChar"/>
        </w:rPr>
        <w:t xml:space="preserve">plotPCA()</w:t>
      </w:r>
      <w:r>
        <w:t xml:space="preserve"> </w:t>
      </w:r>
      <w:r>
        <w:t xml:space="preserve">from DESeq2 (count mode), colored by age range and shaped by tissue type.</w:t>
      </w:r>
      <w:r>
        <w:t xml:space="preserve"> </w:t>
      </w:r>
      <w:r>
        <w:t xml:space="preserve">-</w:t>
      </w:r>
      <w:r>
        <w:t xml:space="preserve"> </w:t>
      </w:r>
      <w:r>
        <w:rPr>
          <w:b/>
          <w:bCs/>
        </w:rPr>
        <w:t xml:space="preserve">Sample similarity:</w:t>
      </w:r>
      <w:r>
        <w:t xml:space="preserve"> </w:t>
      </w:r>
      <w:r>
        <w:t xml:space="preserve">Pearson correlation heatmap (TPM mode) or Euclidean distance heatmap (count mode) with hierarchical clustering, annotated by age range and tissue type, generated using</w:t>
      </w:r>
      <w:r>
        <w:t xml:space="preserve"> </w:t>
      </w:r>
      <w:r>
        <w:rPr>
          <w:rStyle w:val="VerbatimChar"/>
        </w:rPr>
        <w:t xml:space="preserve">pheatmap::pheatmap()</w:t>
      </w:r>
      <w:r>
        <w:t xml:space="preserve">.</w:t>
      </w:r>
      <w:r>
        <w:t xml:space="preserve"> </w:t>
      </w:r>
      <w:r>
        <w:t xml:space="preserve">-</w:t>
      </w:r>
      <w:r>
        <w:t xml:space="preserve"> </w:t>
      </w:r>
      <w:r>
        <w:rPr>
          <w:b/>
          <w:bCs/>
        </w:rPr>
        <w:t xml:space="preserve">Library size distribution:</w:t>
      </w:r>
      <w:r>
        <w:t xml:space="preserve"> </w:t>
      </w:r>
      <w:r>
        <w:t xml:space="preserve">Bar plot of per-sample library sizes in millions (count mode only).</w:t>
      </w:r>
    </w:p>
    <w:bookmarkEnd w:id="13"/>
    <w:bookmarkStart w:id="14" w:name="duplicate-gene-handling"/>
    <w:p>
      <w:pPr>
        <w:pStyle w:val="Heading3"/>
      </w:pPr>
      <w:r>
        <w:t xml:space="preserve">Duplicate Gene Handling</w:t>
      </w:r>
    </w:p>
    <w:p>
      <w:pPr>
        <w:pStyle w:val="FirstParagraph"/>
      </w:pPr>
      <w:r>
        <w:t xml:space="preserve">When multiple rows shared the same gene symbol, the row with the highest mean expression across samples was retained.</w:t>
      </w:r>
    </w:p>
    <w:bookmarkEnd w:id="14"/>
    <w:bookmarkStart w:id="15" w:name="random-seed"/>
    <w:p>
      <w:pPr>
        <w:pStyle w:val="Heading3"/>
      </w:pPr>
      <w:r>
        <w:t xml:space="preserve">Random Seed</w:t>
      </w:r>
    </w:p>
    <w:p>
      <w:pPr>
        <w:pStyle w:val="FirstParagraph"/>
      </w:pPr>
      <w:r>
        <w:rPr>
          <w:rStyle w:val="VerbatimChar"/>
        </w:rPr>
        <w:t xml:space="preserve">set.seed(12345)</w:t>
      </w:r>
      <w:r>
        <w:t xml:space="preserve"> </w:t>
      </w:r>
      <w:r>
        <w:t xml:space="preserve">was set at the start of all scripts for reproducibility.</w:t>
      </w:r>
    </w:p>
    <w:bookmarkEnd w:id="15"/>
    <w:bookmarkEnd w:id="16"/>
    <w:bookmarkStart w:id="20" w:name="core-analyses"/>
    <w:p>
      <w:pPr>
        <w:pStyle w:val="Heading2"/>
      </w:pPr>
      <w:r>
        <w:t xml:space="preserve">3. Core Analyses</w:t>
      </w:r>
    </w:p>
    <w:bookmarkStart w:id="17" w:name="gene-set-variation-analysis-gsva"/>
    <w:p>
      <w:pPr>
        <w:pStyle w:val="Heading3"/>
      </w:pPr>
      <w:r>
        <w:t xml:space="preserve">3.1 Gene Set Variation Analysis (GSVA)</w:t>
      </w:r>
    </w:p>
    <w:p>
      <w:pPr>
        <w:pStyle w:val="FirstParagraph"/>
      </w:pPr>
      <w:r>
        <w:t xml:space="preserve">GSVA was performed in</w:t>
      </w:r>
      <w:r>
        <w:t xml:space="preserve"> </w:t>
      </w:r>
      <w:r>
        <w:rPr>
          <w:rStyle w:val="VerbatimChar"/>
        </w:rPr>
        <w:t xml:space="preserve">02_run_gsva.R</w:t>
      </w:r>
      <w:r>
        <w:t xml:space="preserve"> </w:t>
      </w:r>
      <w:r>
        <w:t xml:space="preserve">to quantify per-sample estrogen pathway activity.</w:t>
      </w:r>
    </w:p>
    <w:p>
      <w:pPr>
        <w:pStyle w:val="BodyText"/>
      </w:pPr>
      <w:r>
        <w:rPr>
          <w:b/>
          <w:bCs/>
        </w:rPr>
        <w:t xml:space="preserve">Gene sets assembled: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Gene Set</w:t>
            </w:r>
          </w:p>
        </w:tc>
        <w:tc>
          <w:tcPr/>
          <w:p>
            <w:pPr>
              <w:pStyle w:val="Compact"/>
            </w:pPr>
            <w:r>
              <w:t xml:space="preserve">Source</w:t>
            </w:r>
          </w:p>
        </w:tc>
        <w:tc>
          <w:tcPr/>
          <w:p>
            <w:pPr>
              <w:pStyle w:val="Compact"/>
            </w:pPr>
            <w:r>
              <w:t xml:space="preserve">Category</w:t>
            </w:r>
          </w:p>
        </w:tc>
      </w:tr>
      <w:tr>
        <w:tc>
          <w:tcPr/>
          <w:p>
            <w:pPr>
              <w:pStyle w:val="Compact"/>
            </w:pPr>
            <w:r>
              <w:t xml:space="preserve">HALLMARK_ESTROGEN_RESPONSE_EARLY</w:t>
            </w:r>
          </w:p>
        </w:tc>
        <w:tc>
          <w:tcPr/>
          <w:p>
            <w:pPr>
              <w:pStyle w:val="Compact"/>
            </w:pPr>
            <w:r>
              <w:t xml:space="preserve">MSigDB Hallmark (H)</w:t>
            </w:r>
          </w:p>
        </w:tc>
        <w:tc>
          <w:tcPr/>
          <w:p>
            <w:pPr>
              <w:pStyle w:val="Compact"/>
            </w:pPr>
            <w:r>
              <w:rPr>
                <w:rStyle w:val="VerbatimChar"/>
              </w:rPr>
              <w:t xml:space="preserve">msigdbr(species = "Homo sapiens", category = "H")</w:t>
            </w:r>
          </w:p>
        </w:tc>
      </w:tr>
      <w:tr>
        <w:tc>
          <w:tcPr/>
          <w:p>
            <w:pPr>
              <w:pStyle w:val="Compact"/>
            </w:pPr>
            <w:r>
              <w:t xml:space="preserve">HALLMARK_ESTROGEN_RESPONSE_LATE</w:t>
            </w:r>
          </w:p>
        </w:tc>
        <w:tc>
          <w:tcPr/>
          <w:p>
            <w:pPr>
              <w:pStyle w:val="Compact"/>
            </w:pPr>
            <w:r>
              <w:t xml:space="preserve">MSigDB Hallmark (H)</w:t>
            </w:r>
          </w:p>
        </w:tc>
        <w:tc>
          <w:tcPr/>
          <w:p>
            <w:pPr>
              <w:pStyle w:val="Compact"/>
            </w:pPr>
            <w:r>
              <w:rPr>
                <w:rStyle w:val="VerbatimChar"/>
              </w:rPr>
              <w:t xml:space="preserve">msigdbr(species = "Homo sapiens", category = "H")</w:t>
            </w:r>
          </w:p>
        </w:tc>
      </w:tr>
      <w:tr>
        <w:tc>
          <w:tcPr/>
          <w:p>
            <w:pPr>
              <w:pStyle w:val="Compact"/>
            </w:pPr>
            <w:r>
              <w:t xml:space="preserve">E1UpRegGene</w:t>
            </w:r>
          </w:p>
        </w:tc>
        <w:tc>
          <w:tcPr/>
          <w:p>
            <w:pPr>
              <w:pStyle w:val="Compact"/>
            </w:pPr>
            <w:r>
              <w:t xml:space="preserve">Custom (407 genes; Liguori et al., Cell Metabolism 2020, Table S1: genes uniquely upregulated by E1 not E2, FC&gt;2, q&lt;0.05)</w:t>
            </w:r>
          </w:p>
        </w:tc>
        <w:tc>
          <w:tcPr/>
          <w:p>
            <w:pPr>
              <w:pStyle w:val="Compact"/>
            </w:pPr>
            <w:r>
              <w:rPr>
                <w:rStyle w:val="VerbatimChar"/>
              </w:rPr>
              <w:t xml:space="preserve">SuppleTable1_UpregulatedByE1_NotE2_407g.txt</w:t>
            </w:r>
          </w:p>
        </w:tc>
      </w:tr>
      <w:tr>
        <w:tc>
          <w:tcPr/>
          <w:p>
            <w:pPr>
              <w:pStyle w:val="Compact"/>
            </w:pPr>
            <w:r>
              <w:t xml:space="preserve">REACTOME_ESTROGEN_DEPENDENT_GENE_EXPRESSION</w:t>
            </w:r>
          </w:p>
        </w:tc>
        <w:tc>
          <w:tcPr/>
          <w:p>
            <w:pPr>
              <w:pStyle w:val="Compact"/>
            </w:pPr>
            <w:r>
              <w:t xml:space="preserve">MSigDB C2:REACTOME</w:t>
            </w:r>
          </w:p>
        </w:tc>
        <w:tc>
          <w:tcPr/>
          <w:p>
            <w:pPr>
              <w:pStyle w:val="Compact"/>
            </w:pPr>
            <w:r>
              <w:rPr>
                <w:rStyle w:val="VerbatimChar"/>
              </w:rPr>
              <w:t xml:space="preserve">msigdbr(species = "Homo sapiens", category = "C2", subcategory = "REACTOME")</w:t>
            </w:r>
          </w:p>
        </w:tc>
      </w:tr>
      <w:tr>
        <w:tc>
          <w:tcPr/>
          <w:p>
            <w:pPr>
              <w:pStyle w:val="Compact"/>
            </w:pPr>
            <w:r>
              <w:t xml:space="preserve">WP_ESTROGEN_SIGNALING_PATHWAY</w:t>
            </w:r>
          </w:p>
        </w:tc>
        <w:tc>
          <w:tcPr/>
          <w:p>
            <w:pPr>
              <w:pStyle w:val="Compact"/>
            </w:pPr>
            <w:r>
              <w:t xml:space="preserve">MSigDB C2:WIKIPATHWAYS</w:t>
            </w:r>
          </w:p>
        </w:tc>
        <w:tc>
          <w:tcPr/>
          <w:p>
            <w:pPr>
              <w:pStyle w:val="Compact"/>
            </w:pPr>
            <w:r>
              <w:rPr>
                <w:rStyle w:val="VerbatimChar"/>
              </w:rPr>
              <w:t xml:space="preserve">msigdbr(species = "Homo sapiens", category = "C2", subcategory = "WIKIPATHWAYS")</w:t>
            </w:r>
          </w:p>
        </w:tc>
      </w:tr>
      <w:tr>
        <w:tc>
          <w:tcPr/>
          <w:p>
            <w:pPr>
              <w:pStyle w:val="Compact"/>
            </w:pPr>
            <w:r>
              <w:t xml:space="preserve">GOBP_INTRACELLULAR_ESTROGEN_RECEPTOR_SIGNALING_PATHWAY</w:t>
            </w:r>
          </w:p>
        </w:tc>
        <w:tc>
          <w:tcPr/>
          <w:p>
            <w:pPr>
              <w:pStyle w:val="Compact"/>
            </w:pPr>
            <w:r>
              <w:t xml:space="preserve">MSigDB C5:BP</w:t>
            </w:r>
          </w:p>
        </w:tc>
        <w:tc>
          <w:tcPr/>
          <w:p>
            <w:pPr>
              <w:pStyle w:val="Compact"/>
            </w:pPr>
            <w:r>
              <w:rPr>
                <w:rStyle w:val="VerbatimChar"/>
              </w:rPr>
              <w:t xml:space="preserve">msigdbr(species = "Homo sapiens", category = "C5", subcategory = "BP")</w:t>
            </w:r>
          </w:p>
        </w:tc>
      </w:tr>
      <w:tr>
        <w:tc>
          <w:tcPr/>
          <w:p>
            <w:pPr>
              <w:pStyle w:val="Compact"/>
            </w:pPr>
            <w:r>
              <w:t xml:space="preserve">GOBP_CELLULAR_RESPONSE_TO_ESTROGEN_STIMULUS</w:t>
            </w:r>
          </w:p>
        </w:tc>
        <w:tc>
          <w:tcPr/>
          <w:p>
            <w:pPr>
              <w:pStyle w:val="Compact"/>
            </w:pPr>
            <w:r>
              <w:t xml:space="preserve">MSigDB C5:BP</w:t>
            </w:r>
          </w:p>
        </w:tc>
        <w:tc>
          <w:tcPr/>
          <w:p>
            <w:pPr>
              <w:pStyle w:val="Compact"/>
            </w:pPr>
            <w:r>
              <w:rPr>
                <w:rStyle w:val="VerbatimChar"/>
              </w:rPr>
              <w:t xml:space="preserve">msigdbr(species = "Homo sapiens", category = "C5", subcategory = "BP")</w:t>
            </w:r>
          </w:p>
        </w:tc>
      </w:tr>
    </w:tbl>
    <w:p>
      <w:pPr>
        <w:pStyle w:val="BodyText"/>
      </w:pPr>
      <w:r>
        <w:t xml:space="preserve">For the E1-upregulated gene set, gene symbols containing hyphens were truncated at the first hyphen (</w:t>
      </w:r>
      <w:r>
        <w:rPr>
          <w:rStyle w:val="VerbatimChar"/>
        </w:rPr>
        <w:t xml:space="preserve">gsub("-.*", "", e1_genes$Gene)</w:t>
      </w:r>
      <w:r>
        <w:t xml:space="preserve">), and duplicates were removed.</w:t>
      </w:r>
    </w:p>
    <w:p>
      <w:pPr>
        <w:pStyle w:val="BodyText"/>
      </w:pPr>
      <w:r>
        <w:rPr>
          <w:b/>
          <w:bCs/>
        </w:rPr>
        <w:t xml:space="preserve">GSVA parameters:</w:t>
      </w:r>
      <w:r>
        <w:t xml:space="preserve"> </w:t>
      </w:r>
      <w:r>
        <w:t xml:space="preserve">- Function:</w:t>
      </w:r>
      <w:r>
        <w:t xml:space="preserve"> </w:t>
      </w:r>
      <w:r>
        <w:rPr>
          <w:rStyle w:val="VerbatimChar"/>
        </w:rPr>
        <w:t xml:space="preserve">gsva(gsvaParam(...))</w:t>
      </w:r>
      <w:r>
        <w:t xml:space="preserve"> </w:t>
      </w:r>
      <w:r>
        <w:t xml:space="preserve">(GSVA 2.x API)</w:t>
      </w:r>
      <w:r>
        <w:t xml:space="preserve"> </w:t>
      </w:r>
      <w:r>
        <w:t xml:space="preserve">-</w:t>
      </w:r>
      <w:r>
        <w:t xml:space="preserve"> </w:t>
      </w:r>
      <w:r>
        <w:rPr>
          <w:rStyle w:val="VerbatimChar"/>
        </w:rPr>
        <w:t xml:space="preserve">kcdf = "Gaussian"</w:t>
      </w:r>
      <w:r>
        <w:t xml:space="preserve"> </w:t>
      </w:r>
      <w:r>
        <w:t xml:space="preserve">(appropriate for continuous normalized data)</w:t>
      </w:r>
      <w:r>
        <w:t xml:space="preserve"> </w:t>
      </w:r>
      <w:r>
        <w:t xml:space="preserve">-</w:t>
      </w:r>
      <w:r>
        <w:t xml:space="preserve"> </w:t>
      </w:r>
      <w:r>
        <w:rPr>
          <w:rStyle w:val="VerbatimChar"/>
        </w:rPr>
        <w:t xml:space="preserve">maxDiff = TRUE</w:t>
      </w:r>
      <w:r>
        <w:t xml:space="preserve"> </w:t>
      </w:r>
      <w:r>
        <w:t xml:space="preserve">(Gaussian-like enrichment statistic)</w:t>
      </w:r>
      <w:r>
        <w:t xml:space="preserve"> </w:t>
      </w:r>
      <w:r>
        <w:t xml:space="preserve">- Input: preprocessed expression matrix (</w:t>
      </w:r>
      <w:r>
        <w:rPr>
          <w:rStyle w:val="VerbatimChar"/>
        </w:rPr>
        <w:t xml:space="preserve">vst_normalized_matrix.rds</w:t>
      </w:r>
      <w:r>
        <w:t xml:space="preserve">; VST in count mode, log2(TPM) in fallback mode)</w:t>
      </w:r>
    </w:p>
    <w:p>
      <w:pPr>
        <w:pStyle w:val="BodyText"/>
      </w:pPr>
      <w:r>
        <w:rPr>
          <w:b/>
          <w:bCs/>
        </w:rPr>
        <w:t xml:space="preserve">Visualization:</w:t>
      </w:r>
      <w:r>
        <w:t xml:space="preserve"> </w:t>
      </w:r>
      <w:r>
        <w:t xml:space="preserve">Row-scaled heatmap of GSVA enrichment scores across all samples, annotated by age range (Young = green</w:t>
      </w:r>
      <w:r>
        <w:t xml:space="preserve"> </w:t>
      </w:r>
      <w:r>
        <w:rPr>
          <w:rStyle w:val="VerbatimChar"/>
        </w:rPr>
        <w:t xml:space="preserve">#4DAF4A</w:t>
      </w:r>
      <w:r>
        <w:t xml:space="preserve">, Middle = blue</w:t>
      </w:r>
      <w:r>
        <w:t xml:space="preserve"> </w:t>
      </w:r>
      <w:r>
        <w:rPr>
          <w:rStyle w:val="VerbatimChar"/>
        </w:rPr>
        <w:t xml:space="preserve">#377EB8</w:t>
      </w:r>
      <w:r>
        <w:t xml:space="preserve">, Elderly = red</w:t>
      </w:r>
      <w:r>
        <w:t xml:space="preserve"> </w:t>
      </w:r>
      <w:r>
        <w:rPr>
          <w:rStyle w:val="VerbatimChar"/>
        </w:rPr>
        <w:t xml:space="preserve">#E41A1C</w:t>
      </w:r>
      <w:r>
        <w:t xml:space="preserve">) and tissue type (Tumor = purple</w:t>
      </w:r>
      <w:r>
        <w:t xml:space="preserve"> </w:t>
      </w:r>
      <w:r>
        <w:rPr>
          <w:rStyle w:val="VerbatimChar"/>
        </w:rPr>
        <w:t xml:space="preserve">#984EA3</w:t>
      </w:r>
      <w:r>
        <w:t xml:space="preserve">, TumorAdj = orange</w:t>
      </w:r>
      <w:r>
        <w:t xml:space="preserve"> </w:t>
      </w:r>
      <w:r>
        <w:rPr>
          <w:rStyle w:val="VerbatimChar"/>
        </w:rPr>
        <w:t xml:space="preserve">#FF7F00</w:t>
      </w:r>
      <w:r>
        <w:t xml:space="preserve">). Generated with</w:t>
      </w:r>
      <w:r>
        <w:t xml:space="preserve"> </w:t>
      </w:r>
      <w:r>
        <w:rPr>
          <w:rStyle w:val="VerbatimChar"/>
        </w:rPr>
        <w:t xml:space="preserve">pheatmap()</w:t>
      </w:r>
      <w:r>
        <w:t xml:space="preserve"> </w:t>
      </w:r>
      <w:r>
        <w:t xml:space="preserve">with</w:t>
      </w:r>
      <w:r>
        <w:t xml:space="preserve"> </w:t>
      </w:r>
      <w:r>
        <w:rPr>
          <w:rStyle w:val="VerbatimChar"/>
        </w:rPr>
        <w:t xml:space="preserve">scale = "row"</w:t>
      </w:r>
      <w:r>
        <w:t xml:space="preserve"> </w:t>
      </w:r>
      <w:r>
        <w:t xml:space="preserve">and</w:t>
      </w:r>
      <w:r>
        <w:t xml:space="preserve"> </w:t>
      </w:r>
      <w:r>
        <w:rPr>
          <w:rStyle w:val="VerbatimChar"/>
        </w:rPr>
        <w:t xml:space="preserve">show_colnames = FALSE</w:t>
      </w:r>
      <w:r>
        <w:t xml:space="preserve">.</w:t>
      </w:r>
    </w:p>
    <w:bookmarkEnd w:id="17"/>
    <w:bookmarkStart w:id="18" w:name="progeny-pathway-activity"/>
    <w:p>
      <w:pPr>
        <w:pStyle w:val="Heading3"/>
      </w:pPr>
      <w:r>
        <w:t xml:space="preserve">3.2 PROGENy Pathway Activity</w:t>
      </w:r>
    </w:p>
    <w:p>
      <w:pPr>
        <w:pStyle w:val="FirstParagraph"/>
      </w:pPr>
      <w:r>
        <w:t xml:space="preserve">PROGENy pathway activity inference was performed in</w:t>
      </w:r>
      <w:r>
        <w:t xml:space="preserve"> </w:t>
      </w:r>
      <w:r>
        <w:rPr>
          <w:rStyle w:val="VerbatimChar"/>
        </w:rPr>
        <w:t xml:space="preserve">03_run_progeny.R</w:t>
      </w:r>
      <w:r>
        <w:t xml:space="preserve">.</w:t>
      </w:r>
    </w:p>
    <w:p>
      <w:pPr>
        <w:pStyle w:val="BodyText"/>
      </w:pPr>
      <w:r>
        <w:rPr>
          <w:b/>
          <w:bCs/>
        </w:rPr>
        <w:t xml:space="preserve">Input data:</w:t>
      </w:r>
      <w:r>
        <w:t xml:space="preserve"> </w:t>
      </w:r>
      <w:r>
        <w:t xml:space="preserve">The preprocessed expression matrix (</w:t>
      </w:r>
      <w:r>
        <w:rPr>
          <w:rStyle w:val="VerbatimChar"/>
        </w:rPr>
        <w:t xml:space="preserve">vst_normalized_matrix.rds</w:t>
      </w:r>
      <w:r>
        <w:t xml:space="preserve">) produced by</w:t>
      </w:r>
      <w:r>
        <w:t xml:space="preserve"> </w:t>
      </w:r>
      <w:r>
        <w:rPr>
          <w:rStyle w:val="VerbatimChar"/>
        </w:rPr>
        <w:t xml:space="preserve">01_preprocess.R</w:t>
      </w:r>
      <w:r>
        <w:t xml:space="preserve">, consistent with the GSVA input. If the matrix is stored as a</w:t>
      </w:r>
      <w:r>
        <w:t xml:space="preserve"> </w:t>
      </w:r>
      <w:r>
        <w:rPr>
          <w:rStyle w:val="VerbatimChar"/>
        </w:rPr>
        <w:t xml:space="preserve">data.table</w:t>
      </w:r>
      <w:r>
        <w:t xml:space="preserve">, the first column is extracted as gene names and the remainder converted to a numeric data frame. Sample names are aligned with the annotation file by matching on</w:t>
      </w:r>
      <w:r>
        <w:t xml:space="preserve"> </w:t>
      </w:r>
      <w:r>
        <w:rPr>
          <w:rStyle w:val="VerbatimChar"/>
        </w:rPr>
        <w:t xml:space="preserve">SampleName</w:t>
      </w:r>
      <w:r>
        <w:t xml:space="preserve"> </w:t>
      </w:r>
      <w:r>
        <w:t xml:space="preserve">or</w:t>
      </w:r>
      <w:r>
        <w:t xml:space="preserve"> </w:t>
      </w:r>
      <w:r>
        <w:rPr>
          <w:rStyle w:val="VerbatimChar"/>
        </w:rPr>
        <w:t xml:space="preserve">SampleNameGroup</w:t>
      </w:r>
      <w:r>
        <w:t xml:space="preserve">; only samples present in both the matrix and annotation are retained.</w:t>
      </w:r>
    </w:p>
    <w:p>
      <w:pPr>
        <w:pStyle w:val="BodyText"/>
      </w:pPr>
      <w:r>
        <w:rPr>
          <w:b/>
          <w:bCs/>
        </w:rPr>
        <w:t xml:space="preserve">PROGENy parameters:</w:t>
      </w:r>
      <w:r>
        <w:t xml:space="preserve"> </w:t>
      </w:r>
      <w:r>
        <w:t xml:space="preserve">- Function:</w:t>
      </w:r>
      <w:r>
        <w:t xml:space="preserve"> </w:t>
      </w:r>
      <w:r>
        <w:rPr>
          <w:rStyle w:val="VerbatimChar"/>
        </w:rPr>
        <w:t xml:space="preserve">progeny::progeny()</w:t>
      </w:r>
      <w:r>
        <w:t xml:space="preserve"> </w:t>
      </w:r>
      <w:r>
        <w:t xml:space="preserve">-</w:t>
      </w:r>
      <w:r>
        <w:t xml:space="preserve"> </w:t>
      </w:r>
      <w:r>
        <w:rPr>
          <w:rStyle w:val="VerbatimChar"/>
        </w:rPr>
        <w:t xml:space="preserve">scale = FALSE</w:t>
      </w:r>
      <w:r>
        <w:t xml:space="preserve"> </w:t>
      </w:r>
      <w:r>
        <w:t xml:space="preserve">-</w:t>
      </w:r>
      <w:r>
        <w:t xml:space="preserve"> </w:t>
      </w:r>
      <w:r>
        <w:rPr>
          <w:rStyle w:val="VerbatimChar"/>
        </w:rPr>
        <w:t xml:space="preserve">organism = "Human"</w:t>
      </w:r>
      <w:r>
        <w:t xml:space="preserve"> </w:t>
      </w:r>
      <w:r>
        <w:t xml:space="preserve">-</w:t>
      </w:r>
      <w:r>
        <w:t xml:space="preserve"> </w:t>
      </w:r>
      <w:r>
        <w:rPr>
          <w:rStyle w:val="VerbatimChar"/>
        </w:rPr>
        <w:t xml:space="preserve">top = 100</w:t>
      </w:r>
      <w:r>
        <w:t xml:space="preserve"> </w:t>
      </w:r>
      <w:r>
        <w:t xml:space="preserve">(number of footprint genes per pathway)</w:t>
      </w:r>
      <w:r>
        <w:t xml:space="preserve"> </w:t>
      </w:r>
      <w:r>
        <w:t xml:space="preserve">-</w:t>
      </w:r>
      <w:r>
        <w:t xml:space="preserve"> </w:t>
      </w:r>
      <w:r>
        <w:rPr>
          <w:rStyle w:val="VerbatimChar"/>
        </w:rPr>
        <w:t xml:space="preserve">perm = 1000</w:t>
      </w:r>
      <w:r>
        <w:t xml:space="preserve"> </w:t>
      </w:r>
      <w:r>
        <w:t xml:space="preserve">(permutations for significance assessment)</w:t>
      </w:r>
    </w:p>
    <w:bookmarkEnd w:id="18"/>
    <w:bookmarkStart w:id="19" w:name="correlation-analysis"/>
    <w:p>
      <w:pPr>
        <w:pStyle w:val="Heading3"/>
      </w:pPr>
      <w:r>
        <w:t xml:space="preserve">3.3 Correlation Analysis</w:t>
      </w:r>
    </w:p>
    <w:p>
      <w:pPr>
        <w:pStyle w:val="FirstParagraph"/>
      </w:pPr>
      <w:r>
        <w:t xml:space="preserve">Spearman rank correlations between gene expression and pathway activity scores were computed in</w:t>
      </w:r>
      <w:r>
        <w:t xml:space="preserve"> </w:t>
      </w:r>
      <w:r>
        <w:rPr>
          <w:rStyle w:val="VerbatimChar"/>
        </w:rPr>
        <w:t xml:space="preserve">04_correlations.R</w:t>
      </w:r>
      <w:r>
        <w:t xml:space="preserve">.</w:t>
      </w:r>
    </w:p>
    <w:p>
      <w:pPr>
        <w:pStyle w:val="BodyText"/>
      </w:pPr>
      <w:r>
        <w:rPr>
          <w:b/>
          <w:bCs/>
        </w:rPr>
        <w:t xml:space="preserve">Sample selection:</w:t>
      </w:r>
      <w:r>
        <w:t xml:space="preserve"> </w:t>
      </w:r>
      <w:r>
        <w:t xml:space="preserve">Only tumor samples from the Young and Elderly age groups were included. Middle-aged samples and tumor-adjacent samples were excluded (</w:t>
      </w:r>
      <w:r>
        <w:rPr>
          <w:rStyle w:val="VerbatimChar"/>
        </w:rPr>
        <w:t xml:space="preserve">filter(Group == "Tumor", AgeRange %in% c("Young", "Elderly"))</w:t>
      </w:r>
      <w:r>
        <w:t xml:space="preserve">).</w:t>
      </w:r>
    </w:p>
    <w:p>
      <w:pPr>
        <w:pStyle w:val="BodyText"/>
      </w:pPr>
      <w:r>
        <w:rPr>
          <w:b/>
          <w:bCs/>
        </w:rPr>
        <w:t xml:space="preserve">Genes of interest:</w:t>
      </w:r>
      <w:r>
        <w:t xml:space="preserve"> </w:t>
      </w:r>
      <w:r>
        <w:t xml:space="preserve">PAK4, HSD17B7, GREB1, PGR, ESR1, TFF1, CYP19A1, HSD17B2, SAA1, and chronological Age (9 genes + 1 clinical variable).</w:t>
      </w:r>
    </w:p>
    <w:p>
      <w:pPr>
        <w:pStyle w:val="BodyText"/>
      </w:pPr>
      <w:r>
        <w:rPr>
          <w:b/>
          <w:bCs/>
        </w:rPr>
        <w:t xml:space="preserve">Pathway variables:</w:t>
      </w:r>
      <w:r>
        <w:t xml:space="preserve"> </w:t>
      </w:r>
      <w:r>
        <w:t xml:space="preserve">PROGENy Estrogen pathway activity score, plus all GSVA enrichment scores (7 estrogen-related pathway scores, see Section 3.1).</w:t>
      </w:r>
    </w:p>
    <w:p>
      <w:pPr>
        <w:pStyle w:val="BodyText"/>
      </w:pPr>
      <w:r>
        <w:rPr>
          <w:b/>
          <w:bCs/>
        </w:rPr>
        <w:t xml:space="preserve">Correlation method:</w:t>
      </w:r>
      <w:r>
        <w:t xml:space="preserve"> </w:t>
      </w:r>
      <w:r>
        <w:t xml:space="preserve">-</w:t>
      </w:r>
      <w:r>
        <w:t xml:space="preserve"> </w:t>
      </w:r>
      <w:r>
        <w:rPr>
          <w:rStyle w:val="VerbatimChar"/>
        </w:rPr>
        <w:t xml:space="preserve">cor.test(x, y, method = "spearman", exact = FALSE)</w:t>
      </w:r>
      <w:r>
        <w:t xml:space="preserve"> </w:t>
      </w:r>
      <w:r>
        <w:t xml:space="preserve">for each gene-pathway pair</w:t>
      </w:r>
      <w:r>
        <w:t xml:space="preserve"> </w:t>
      </w:r>
      <w:r>
        <w:t xml:space="preserve">- Minimum sample size threshold: 5 non-NA paired observations required per test</w:t>
      </w:r>
      <w:r>
        <w:t xml:space="preserve"> </w:t>
      </w:r>
      <w:r>
        <w:t xml:space="preserve">- Gene expression values were extracted from the raw log2(TPM) file (not the VST matrix)</w:t>
      </w:r>
    </w:p>
    <w:p>
      <w:pPr>
        <w:pStyle w:val="BodyText"/>
      </w:pPr>
      <w:r>
        <w:rPr>
          <w:b/>
          <w:bCs/>
        </w:rPr>
        <w:t xml:space="preserve">Multiple testing correction:</w:t>
      </w:r>
      <w:r>
        <w:t xml:space="preserve"> </w:t>
      </w:r>
      <w:r>
        <w:t xml:space="preserve">- Benjamini-Hochberg FDR applied globally across all correlation tests using</w:t>
      </w:r>
      <w:r>
        <w:t xml:space="preserve"> </w:t>
      </w:r>
      <w:r>
        <w:rPr>
          <w:rStyle w:val="VerbatimChar"/>
        </w:rPr>
        <w:t xml:space="preserve">p.adjust(method = "BH")</w:t>
      </w:r>
      <w:r>
        <w:t xml:space="preserve"> </w:t>
      </w:r>
      <w:r>
        <w:t xml:space="preserve">- Significance thresholds: nominal p &lt; 0.05 and FDR q &lt; 0.05</w:t>
      </w:r>
    </w:p>
    <w:p>
      <w:pPr>
        <w:pStyle w:val="BodyText"/>
      </w:pPr>
      <w:r>
        <w:rPr>
          <w:b/>
          <w:bCs/>
        </w:rPr>
        <w:t xml:space="preserve">Output:</w:t>
      </w:r>
      <w:r>
        <w:t xml:space="preserve"> </w:t>
      </w:r>
      <w:r>
        <w:t xml:space="preserve">Both original (uncorrected) and FDR-corrected results were saved to separate directories (</w:t>
      </w:r>
      <w:r>
        <w:rPr>
          <w:rStyle w:val="VerbatimChar"/>
        </w:rPr>
        <w:t xml:space="preserve">results/original/</w:t>
      </w:r>
      <w:r>
        <w:t xml:space="preserve"> </w:t>
      </w:r>
      <w:r>
        <w:t xml:space="preserve">and</w:t>
      </w:r>
      <w:r>
        <w:t xml:space="preserve"> </w:t>
      </w:r>
      <w:r>
        <w:rPr>
          <w:rStyle w:val="VerbatimChar"/>
        </w:rPr>
        <w:t xml:space="preserve">results/corrected/</w:t>
      </w:r>
      <w:r>
        <w:t xml:space="preserve">). A combined RDS file was also saved for visualization.</w:t>
      </w:r>
    </w:p>
    <w:p>
      <w:pPr>
        <w:pStyle w:val="BodyText"/>
      </w:pPr>
      <w:r>
        <w:t xml:space="preserve">The correlation analysis (</w:t>
      </w:r>
      <w:r>
        <w:rPr>
          <w:rStyle w:val="VerbatimChar"/>
        </w:rPr>
        <w:t xml:space="preserve">04_correlations.R</w:t>
      </w:r>
      <w:r>
        <w:t xml:space="preserve">) independently reads the raw log2(TPM) file and filters it to protein-coding genes using the NCBI gene annotation (</w:t>
      </w:r>
      <w:r>
        <w:rPr>
          <w:rStyle w:val="VerbatimChar"/>
        </w:rPr>
        <w:t xml:space="preserve">type_of_gene == "protein-coding"</w:t>
      </w:r>
      <w:r>
        <w:t xml:space="preserve">, excluding</w:t>
      </w:r>
      <w:r>
        <w:t xml:space="preserve"> </w:t>
      </w:r>
      <w:r>
        <w:rPr>
          <w:rStyle w:val="VerbatimChar"/>
        </w:rPr>
        <w:t xml:space="preserve">^LOC\d+</w:t>
      </w:r>
      <w:r>
        <w:t xml:space="preserve"> </w:t>
      </w:r>
      <w:r>
        <w:t xml:space="preserve">symbols). Note that PROGENy (</w:t>
      </w:r>
      <w:r>
        <w:rPr>
          <w:rStyle w:val="VerbatimChar"/>
        </w:rPr>
        <w:t xml:space="preserve">03_run_progeny.R</w:t>
      </w:r>
      <w:r>
        <w:t xml:space="preserve">) does not perform its own protein-coding filter; it operates on the full preprocessed matrix from</w:t>
      </w:r>
      <w:r>
        <w:t xml:space="preserve"> </w:t>
      </w:r>
      <w:r>
        <w:rPr>
          <w:rStyle w:val="VerbatimChar"/>
        </w:rPr>
        <w:t xml:space="preserve">01_preprocess.R</w:t>
      </w:r>
      <w:r>
        <w:t xml:space="preserve">.</w:t>
      </w:r>
    </w:p>
    <w:bookmarkEnd w:id="19"/>
    <w:bookmarkEnd w:id="20"/>
    <w:bookmarkStart w:id="23" w:name="downstream-analyses"/>
    <w:p>
      <w:pPr>
        <w:pStyle w:val="Heading2"/>
      </w:pPr>
      <w:r>
        <w:t xml:space="preserve">4. Downstream Analyses</w:t>
      </w:r>
    </w:p>
    <w:bookmarkStart w:id="21" w:name="mica-concordance-analysis"/>
    <w:p>
      <w:pPr>
        <w:pStyle w:val="Heading3"/>
      </w:pPr>
      <w:r>
        <w:t xml:space="preserve">4.1 MICA Concordance Analysis</w:t>
      </w:r>
    </w:p>
    <w:p>
      <w:pPr>
        <w:pStyle w:val="FirstParagraph"/>
      </w:pPr>
      <w:r>
        <w:t xml:space="preserve">The MICA (Mutual Information-based Concordance Analysis) sub-pipeline validated estrogen pathway findings across independent cohorts (TCGA, METABRIC, SCAN-B). Expression inputs varied by cohort: SCAN-B and TCGA used TPM matrices directly, while METABRIC microarray data was TMM-normalized and converted to log-CPM via</w:t>
      </w:r>
      <w:r>
        <w:t xml:space="preserve"> </w:t>
      </w:r>
      <w:r>
        <w:rPr>
          <w:rStyle w:val="VerbatimChar"/>
        </w:rPr>
        <w:t xml:space="preserve">edgeR::cpm(log = TRUE)</w:t>
      </w:r>
      <w:r>
        <w:t xml:space="preserve">. GSVA was used to compute pathway activity scores across cohorts with two age stratification schemes, and concordance was assessed using 500 permutations (</w:t>
      </w:r>
      <w:r>
        <w:rPr>
          <w:rStyle w:val="VerbatimChar"/>
        </w:rPr>
        <w:t xml:space="preserve">n.perm = 500</w:t>
      </w:r>
      <w:r>
        <w:t xml:space="preserve">) with</w:t>
      </w:r>
      <w:r>
        <w:t xml:space="preserve"> </w:t>
      </w:r>
      <w:r>
        <w:rPr>
          <w:rStyle w:val="VerbatimChar"/>
        </w:rPr>
        <w:t xml:space="preserve">p.threshold = 1</w:t>
      </w:r>
      <w:r>
        <w:t xml:space="preserve"> </w:t>
      </w:r>
      <w:r>
        <w:t xml:space="preserve">(all features passed to post-hoc analysis) and</w:t>
      </w:r>
      <w:r>
        <w:t xml:space="preserve"> </w:t>
      </w:r>
      <w:r>
        <w:rPr>
          <w:rStyle w:val="VerbatimChar"/>
        </w:rPr>
        <w:t xml:space="preserve">n.parallel = 10</w:t>
      </w:r>
      <w:r>
        <w:t xml:space="preserve"> </w:t>
      </w:r>
      <w:r>
        <w:t xml:space="preserve">parallel threads.</w:t>
      </w:r>
    </w:p>
    <w:bookmarkEnd w:id="21"/>
    <w:bookmarkStart w:id="22" w:name="hsd17b-gene-family-analysis"/>
    <w:p>
      <w:pPr>
        <w:pStyle w:val="Heading3"/>
      </w:pPr>
      <w:r>
        <w:t xml:space="preserve">4.2 HSD17B Gene Family Analysis</w:t>
      </w:r>
    </w:p>
    <w:p>
      <w:pPr>
        <w:pStyle w:val="FirstParagraph"/>
      </w:pPr>
      <w:r>
        <w:t xml:space="preserve">Figure 4C displays a heatmap of 14 genes (ESR1, GREB1, PGR, SAA1, RAB19, KRT37, TRPM8, CYP19A1, HSD17B1, HSD17B7, HSD17B12, HSD17B2, HSD17B10, HSD17B14) across age groups. Per-cohort expression matrices were first column-scaled via</w:t>
      </w:r>
      <w:r>
        <w:t xml:space="preserve"> </w:t>
      </w:r>
      <w:r>
        <w:rPr>
          <w:rStyle w:val="VerbatimChar"/>
        </w:rPr>
        <w:t xml:space="preserve">scale()</w:t>
      </w:r>
      <w:r>
        <w:t xml:space="preserve">, then aggregated by median within each age group, and visualized using</w:t>
      </w:r>
      <w:r>
        <w:t xml:space="preserve"> </w:t>
      </w:r>
      <w:r>
        <w:rPr>
          <w:rStyle w:val="VerbatimChar"/>
        </w:rPr>
        <w:t xml:space="preserve">ComplexHeatmap::Heatmap()</w:t>
      </w:r>
      <w:r>
        <w:t xml:space="preserve"> </w:t>
      </w:r>
      <w:r>
        <w:t xml:space="preserve">with row splitting by cohort (TCGA, METABRIC, SCAN-B).</w:t>
      </w:r>
    </w:p>
    <w:bookmarkEnd w:id="22"/>
    <w:bookmarkEnd w:id="23"/>
    <w:bookmarkStart w:id="26" w:name="visualization"/>
    <w:p>
      <w:pPr>
        <w:pStyle w:val="Heading2"/>
      </w:pPr>
      <w:r>
        <w:t xml:space="preserve">5. Visualization</w:t>
      </w:r>
    </w:p>
    <w:bookmarkStart w:id="24" w:name="implemented-visualizations"/>
    <w:p>
      <w:pPr>
        <w:pStyle w:val="Heading3"/>
      </w:pPr>
      <w:r>
        <w:t xml:space="preserve">Implemented Visualizations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Output File</w:t>
            </w:r>
          </w:p>
        </w:tc>
        <w:tc>
          <w:tcPr/>
          <w:p>
            <w:pPr>
              <w:pStyle w:val="Compact"/>
            </w:pPr>
            <w:r>
              <w:t xml:space="preserve">Type</w:t>
            </w:r>
          </w:p>
        </w:tc>
        <w:tc>
          <w:tcPr/>
          <w:p>
            <w:pPr>
              <w:pStyle w:val="Compact"/>
            </w:pPr>
            <w:r>
              <w:t xml:space="preserve">Script</w:t>
            </w:r>
          </w:p>
        </w:tc>
        <w:tc>
          <w:tcPr/>
          <w:p>
            <w:pPr>
              <w:pStyle w:val="Compact"/>
            </w:pPr>
            <w:r>
              <w:t xml:space="preserve">Description</w:t>
            </w:r>
          </w:p>
        </w:tc>
      </w:tr>
      <w:tr>
        <w:tc>
          <w:tcPr/>
          <w:p>
            <w:pPr>
              <w:pStyle w:val="Compact"/>
            </w:pPr>
            <w:r>
              <w:rPr>
                <w:rStyle w:val="VerbatimChar"/>
              </w:rPr>
              <w:t xml:space="preserve">qc_plots.pdf</w:t>
            </w:r>
          </w:p>
        </w:tc>
        <w:tc>
          <w:tcPr/>
          <w:p>
            <w:pPr>
              <w:pStyle w:val="Compact"/>
            </w:pPr>
            <w:r>
              <w:t xml:space="preserve">Multi-page PDF</w:t>
            </w:r>
          </w:p>
        </w:tc>
        <w:tc>
          <w:tcPr/>
          <w:p>
            <w:pPr>
              <w:pStyle w:val="Compact"/>
            </w:pPr>
            <w:r>
              <w:rPr>
                <w:rStyle w:val="VerbatimChar"/>
              </w:rPr>
              <w:t xml:space="preserve">01_preprocess.R</w:t>
            </w:r>
          </w:p>
        </w:tc>
        <w:tc>
          <w:tcPr/>
          <w:p>
            <w:pPr>
              <w:pStyle w:val="Compact"/>
            </w:pPr>
            <w:r>
              <w:t xml:space="preserve">PCA, sample correlation/distance heatmap, library size bars</w:t>
            </w:r>
          </w:p>
        </w:tc>
      </w:tr>
      <w:tr>
        <w:tc>
          <w:tcPr/>
          <w:p>
            <w:pPr>
              <w:pStyle w:val="Compact"/>
            </w:pPr>
            <w:r>
              <w:rPr>
                <w:rStyle w:val="VerbatimChar"/>
              </w:rPr>
              <w:t xml:space="preserve">gsva_heatmap.pdf</w:t>
            </w:r>
          </w:p>
        </w:tc>
        <w:tc>
          <w:tcPr/>
          <w:p>
            <w:pPr>
              <w:pStyle w:val="Compact"/>
            </w:pPr>
            <w:r>
              <w:t xml:space="preserve">PDF</w:t>
            </w:r>
          </w:p>
        </w:tc>
        <w:tc>
          <w:tcPr/>
          <w:p>
            <w:pPr>
              <w:pStyle w:val="Compact"/>
            </w:pPr>
            <w:r>
              <w:rPr>
                <w:rStyle w:val="VerbatimChar"/>
              </w:rPr>
              <w:t xml:space="preserve">02_run_gsva.R</w:t>
            </w:r>
          </w:p>
        </w:tc>
        <w:tc>
          <w:tcPr/>
          <w:p>
            <w:pPr>
              <w:pStyle w:val="Compact"/>
            </w:pPr>
            <w:r>
              <w:t xml:space="preserve">Row-scaled heatmap of GSVA scores (14 x 8 inches)</w:t>
            </w:r>
          </w:p>
        </w:tc>
      </w:tr>
      <w:tr>
        <w:tc>
          <w:tcPr/>
          <w:p>
            <w:pPr>
              <w:pStyle w:val="Compact"/>
            </w:pPr>
            <w:r>
              <w:rPr>
                <w:rStyle w:val="VerbatimChar"/>
              </w:rPr>
              <w:t xml:space="preserve">correlation_bubbleplot_original.pdf</w:t>
            </w:r>
          </w:p>
        </w:tc>
        <w:tc>
          <w:tcPr/>
          <w:p>
            <w:pPr>
              <w:pStyle w:val="Compact"/>
            </w:pPr>
            <w:r>
              <w:t xml:space="preserve">PDF + PNG</w:t>
            </w:r>
          </w:p>
        </w:tc>
        <w:tc>
          <w:tcPr/>
          <w:p>
            <w:pPr>
              <w:pStyle w:val="Compact"/>
            </w:pPr>
            <w:r>
              <w:rPr>
                <w:rStyle w:val="VerbatimChar"/>
              </w:rPr>
              <w:t xml:space="preserve">05_visualize.R</w:t>
            </w:r>
          </w:p>
        </w:tc>
        <w:tc>
          <w:tcPr/>
          <w:p>
            <w:pPr>
              <w:pStyle w:val="Compact"/>
            </w:pPr>
            <w:r>
              <w:t xml:space="preserve">Bubble plot: size = -log10(p), color = Spearman rho (12 x 7 inches)</w:t>
            </w:r>
          </w:p>
        </w:tc>
      </w:tr>
      <w:tr>
        <w:tc>
          <w:tcPr/>
          <w:p>
            <w:pPr>
              <w:pStyle w:val="Compact"/>
            </w:pPr>
            <w:r>
              <w:rPr>
                <w:rStyle w:val="VerbatimChar"/>
              </w:rPr>
              <w:t xml:space="preserve">correlation_bubbleplot_fdr.pdf</w:t>
            </w:r>
          </w:p>
        </w:tc>
        <w:tc>
          <w:tcPr/>
          <w:p>
            <w:pPr>
              <w:pStyle w:val="Compact"/>
            </w:pPr>
            <w:r>
              <w:t xml:space="preserve">PDF + PNG</w:t>
            </w:r>
          </w:p>
        </w:tc>
        <w:tc>
          <w:tcPr/>
          <w:p>
            <w:pPr>
              <w:pStyle w:val="Compact"/>
            </w:pPr>
            <w:r>
              <w:rPr>
                <w:rStyle w:val="VerbatimChar"/>
              </w:rPr>
              <w:t xml:space="preserve">05_visualize.R</w:t>
            </w:r>
          </w:p>
        </w:tc>
        <w:tc>
          <w:tcPr/>
          <w:p>
            <w:pPr>
              <w:pStyle w:val="Compact"/>
            </w:pPr>
            <w:r>
              <w:t xml:space="preserve">Bubble plot with FDR-corrected p-values (12 x 7 inches)</w:t>
            </w:r>
          </w:p>
        </w:tc>
      </w:tr>
      <w:tr>
        <w:tc>
          <w:tcPr/>
          <w:p>
            <w:pPr>
              <w:pStyle w:val="Compact"/>
            </w:pPr>
            <w:r>
              <w:rPr>
                <w:rStyle w:val="VerbatimChar"/>
              </w:rPr>
              <w:t xml:space="preserve">correlation_bubbleplot_comparison.pdf</w:t>
            </w:r>
          </w:p>
        </w:tc>
        <w:tc>
          <w:tcPr/>
          <w:p>
            <w:pPr>
              <w:pStyle w:val="Compact"/>
            </w:pPr>
            <w:r>
              <w:t xml:space="preserve">PDF + PNG</w:t>
            </w:r>
          </w:p>
        </w:tc>
        <w:tc>
          <w:tcPr/>
          <w:p>
            <w:pPr>
              <w:pStyle w:val="Compact"/>
            </w:pPr>
            <w:r>
              <w:rPr>
                <w:rStyle w:val="VerbatimChar"/>
              </w:rPr>
              <w:t xml:space="preserve">05_visualize.R</w:t>
            </w:r>
          </w:p>
        </w:tc>
        <w:tc>
          <w:tcPr/>
          <w:p>
            <w:pPr>
              <w:pStyle w:val="Compact"/>
            </w:pPr>
            <w:r>
              <w:t xml:space="preserve">Side-by-side original vs FDR using patchwork (20 x 8 inches)</w:t>
            </w:r>
          </w:p>
        </w:tc>
      </w:tr>
    </w:tbl>
    <w:p>
      <w:pPr>
        <w:pStyle w:val="BodyText"/>
      </w:pPr>
      <w:r>
        <w:rPr>
          <w:b/>
          <w:bCs/>
        </w:rPr>
        <w:t xml:space="preserve">Bubble plot aesthetics:</w:t>
      </w:r>
      <w:r>
        <w:t xml:space="preserve"> </w:t>
      </w:r>
      <w:r>
        <w:t xml:space="preserve">- Color scale: 3-color diverging palette (</w:t>
      </w:r>
      <w:r>
        <w:rPr>
          <w:rStyle w:val="VerbatimChar"/>
        </w:rPr>
        <w:t xml:space="preserve">#0072B2</w:t>
      </w:r>
      <w:r>
        <w:t xml:space="preserve"> </w:t>
      </w:r>
      <w:r>
        <w:t xml:space="preserve">blue →</w:t>
      </w:r>
      <w:r>
        <w:t xml:space="preserve"> </w:t>
      </w:r>
      <w:r>
        <w:rPr>
          <w:rStyle w:val="VerbatimChar"/>
        </w:rPr>
        <w:t xml:space="preserve">#F7F7F7</w:t>
      </w:r>
      <w:r>
        <w:t xml:space="preserve"> </w:t>
      </w:r>
      <w:r>
        <w:t xml:space="preserve">white →</w:t>
      </w:r>
      <w:r>
        <w:t xml:space="preserve"> </w:t>
      </w:r>
      <w:r>
        <w:rPr>
          <w:rStyle w:val="VerbatimChar"/>
        </w:rPr>
        <w:t xml:space="preserve">#D55E00</w:t>
      </w:r>
      <w:r>
        <w:t xml:space="preserve"> </w:t>
      </w:r>
      <w:r>
        <w:t xml:space="preserve">vermillion) via</w:t>
      </w:r>
      <w:r>
        <w:t xml:space="preserve"> </w:t>
      </w:r>
      <w:r>
        <w:rPr>
          <w:rStyle w:val="VerbatimChar"/>
        </w:rPr>
        <w:t xml:space="preserve">colorRampPalette()</w:t>
      </w:r>
      <w:r>
        <w:t xml:space="preserve">, mapped to Spearman rho with limits [-1, 1]</w:t>
      </w:r>
      <w:r>
        <w:t xml:space="preserve"> </w:t>
      </w:r>
      <w:r>
        <w:t xml:space="preserve">- Size:</w:t>
      </w:r>
      <w:r>
        <w:t xml:space="preserve"> </w:t>
      </w:r>
      <w:r>
        <w:rPr>
          <w:rStyle w:val="VerbatimChar"/>
        </w:rPr>
        <w:t xml:space="preserve">-log10(p-value)</w:t>
      </w:r>
      <w:r>
        <w:t xml:space="preserve"> </w:t>
      </w:r>
      <w:r>
        <w:t xml:space="preserve">or</w:t>
      </w:r>
      <w:r>
        <w:t xml:space="preserve"> </w:t>
      </w:r>
      <w:r>
        <w:rPr>
          <w:rStyle w:val="VerbatimChar"/>
        </w:rPr>
        <w:t xml:space="preserve">-log10(FDR)</w:t>
      </w:r>
      <w:r>
        <w:t xml:space="preserve">, range 1-10</w:t>
      </w:r>
      <w:r>
        <w:t xml:space="preserve"> </w:t>
      </w:r>
      <w:r>
        <w:t xml:space="preserve">- Gene order (y-axis): TFF1, SAA1, PGR, PAK4, HSD17B7, HSD17B2, GREB1, ESR1, CYP19A1, Age</w:t>
      </w:r>
      <w:r>
        <w:t xml:space="preserve"> </w:t>
      </w:r>
      <w:r>
        <w:t xml:space="preserve">- RAB19 was explicitly filtered out of visualization (</w:t>
      </w:r>
      <w:r>
        <w:rPr>
          <w:rStyle w:val="VerbatimChar"/>
        </w:rPr>
        <w:t xml:space="preserve">filter(!grepl("RAB19", GeneSymb))</w:t>
      </w:r>
      <w:r>
        <w:t xml:space="preserve">)</w:t>
      </w:r>
      <w:r>
        <w:t xml:space="preserve"> </w:t>
      </w:r>
      <w:r>
        <w:t xml:space="preserve">- Pathway names were abbreviated:</w:t>
      </w:r>
      <w:r>
        <w:t xml:space="preserve"> </w:t>
      </w:r>
      <w:r>
        <w:rPr>
          <w:rStyle w:val="VerbatimChar"/>
        </w:rPr>
        <w:t xml:space="preserve">HALLMARK_</w:t>
      </w:r>
      <w:r>
        <w:t xml:space="preserve"> </w:t>
      </w:r>
      <w:r>
        <w:t xml:space="preserve">to</w:t>
      </w:r>
      <w:r>
        <w:t xml:space="preserve"> </w:t>
      </w:r>
      <w:r>
        <w:rPr>
          <w:rStyle w:val="VerbatimChar"/>
        </w:rPr>
        <w:t xml:space="preserve">HM_</w:t>
      </w:r>
      <w:r>
        <w:t xml:space="preserve">,</w:t>
      </w:r>
      <w:r>
        <w:t xml:space="preserve"> </w:t>
      </w:r>
      <w:r>
        <w:rPr>
          <w:rStyle w:val="VerbatimChar"/>
        </w:rPr>
        <w:t xml:space="preserve">REACTOME_</w:t>
      </w:r>
      <w:r>
        <w:t xml:space="preserve"> </w:t>
      </w:r>
      <w:r>
        <w:t xml:space="preserve">to</w:t>
      </w:r>
      <w:r>
        <w:t xml:space="preserve"> </w:t>
      </w:r>
      <w:r>
        <w:rPr>
          <w:rStyle w:val="VerbatimChar"/>
        </w:rPr>
        <w:t xml:space="preserve">RC_</w:t>
      </w:r>
      <w:r>
        <w:t xml:space="preserve">,</w:t>
      </w:r>
      <w:r>
        <w:t xml:space="preserve"> </w:t>
      </w:r>
      <w:r>
        <w:rPr>
          <w:rStyle w:val="VerbatimChar"/>
        </w:rPr>
        <w:t xml:space="preserve">GOBP_</w:t>
      </w:r>
      <w:r>
        <w:t xml:space="preserve"> </w:t>
      </w:r>
      <w:r>
        <w:t xml:space="preserve">to</w:t>
      </w:r>
      <w:r>
        <w:t xml:space="preserve"> </w:t>
      </w:r>
      <w:r>
        <w:rPr>
          <w:rStyle w:val="VerbatimChar"/>
        </w:rPr>
        <w:t xml:space="preserve">GO_</w:t>
      </w:r>
    </w:p>
    <w:bookmarkEnd w:id="24"/>
    <w:bookmarkStart w:id="25" w:name="mica-visualizations"/>
    <w:p>
      <w:pPr>
        <w:pStyle w:val="Heading3"/>
      </w:pPr>
      <w:r>
        <w:t xml:space="preserve">MICA Visualizations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Output File</w:t>
            </w:r>
          </w:p>
        </w:tc>
        <w:tc>
          <w:tcPr/>
          <w:p>
            <w:pPr>
              <w:pStyle w:val="Compact"/>
            </w:pPr>
            <w:r>
              <w:t xml:space="preserve">Type</w:t>
            </w:r>
          </w:p>
        </w:tc>
        <w:tc>
          <w:tcPr/>
          <w:p>
            <w:pPr>
              <w:pStyle w:val="Compact"/>
            </w:pPr>
            <w:r>
              <w:t xml:space="preserve">Script</w:t>
            </w:r>
          </w:p>
        </w:tc>
        <w:tc>
          <w:tcPr/>
          <w:p>
            <w:pPr>
              <w:pStyle w:val="Compact"/>
            </w:pPr>
            <w:r>
              <w:t xml:space="preserve">Description</w:t>
            </w:r>
          </w:p>
        </w:tc>
      </w:tr>
      <w:tr>
        <w:tc>
          <w:tcPr/>
          <w:p>
            <w:pPr>
              <w:pStyle w:val="Compact"/>
            </w:pPr>
            <w:r>
              <w:rPr>
                <w:rStyle w:val="VerbatimChar"/>
              </w:rPr>
              <w:t xml:space="preserve">fig4c.pdf</w:t>
            </w:r>
          </w:p>
        </w:tc>
        <w:tc>
          <w:tcPr/>
          <w:p>
            <w:pPr>
              <w:pStyle w:val="Compact"/>
            </w:pPr>
            <w:r>
              <w:t xml:space="preserve">PDF</w:t>
            </w:r>
          </w:p>
        </w:tc>
        <w:tc>
          <w:tcPr/>
          <w:p>
            <w:pPr>
              <w:pStyle w:val="Compact"/>
            </w:pPr>
            <w:r>
              <w:rPr>
                <w:rStyle w:val="VerbatimChar"/>
              </w:rPr>
              <w:t xml:space="preserve">mica/04_fig4_estrogen.R</w:t>
            </w:r>
          </w:p>
        </w:tc>
        <w:tc>
          <w:tcPr/>
          <w:p>
            <w:pPr>
              <w:pStyle w:val="Compact"/>
            </w:pPr>
            <w:r>
              <w:t xml:space="preserve">HSD17B gene heatmap across cohorts</w:t>
            </w:r>
          </w:p>
        </w:tc>
      </w:tr>
      <w:tr>
        <w:tc>
          <w:tcPr/>
          <w:p>
            <w:pPr>
              <w:pStyle w:val="Compact"/>
            </w:pPr>
            <w:r>
              <w:rPr>
                <w:rStyle w:val="VerbatimChar"/>
              </w:rPr>
              <w:t xml:space="preserve">fig4h.pdf</w:t>
            </w:r>
          </w:p>
        </w:tc>
        <w:tc>
          <w:tcPr/>
          <w:p>
            <w:pPr>
              <w:pStyle w:val="Compact"/>
            </w:pPr>
            <w:r>
              <w:t xml:space="preserve">PDF</w:t>
            </w:r>
          </w:p>
        </w:tc>
        <w:tc>
          <w:tcPr/>
          <w:p>
            <w:pPr>
              <w:pStyle w:val="Compact"/>
            </w:pPr>
            <w:r>
              <w:rPr>
                <w:rStyle w:val="VerbatimChar"/>
              </w:rPr>
              <w:t xml:space="preserve">mica/04_fig4_estrogen.R</w:t>
            </w:r>
          </w:p>
        </w:tc>
        <w:tc>
          <w:tcPr/>
          <w:p>
            <w:pPr>
              <w:pStyle w:val="Compact"/>
            </w:pPr>
            <w:r>
              <w:t xml:space="preserve">EstroGene pathway boxplots by age</w:t>
            </w:r>
          </w:p>
        </w:tc>
      </w:tr>
      <w:tr>
        <w:tc>
          <w:tcPr/>
          <w:p>
            <w:pPr>
              <w:pStyle w:val="Compact"/>
            </w:pPr>
            <w:r>
              <w:rPr>
                <w:rStyle w:val="VerbatimChar"/>
              </w:rPr>
              <w:t xml:space="preserve">fig5c.pdf</w:t>
            </w:r>
          </w:p>
        </w:tc>
        <w:tc>
          <w:tcPr/>
          <w:p>
            <w:pPr>
              <w:pStyle w:val="Compact"/>
            </w:pPr>
            <w:r>
              <w:t xml:space="preserve">PDF</w:t>
            </w:r>
          </w:p>
        </w:tc>
        <w:tc>
          <w:tcPr/>
          <w:p>
            <w:pPr>
              <w:pStyle w:val="Compact"/>
            </w:pPr>
            <w:r>
              <w:rPr>
                <w:rStyle w:val="VerbatimChar"/>
              </w:rPr>
              <w:t xml:space="preserve">mica/05_fig5_immune.R</w:t>
            </w:r>
          </w:p>
        </w:tc>
        <w:tc>
          <w:tcPr/>
          <w:p>
            <w:pPr>
              <w:pStyle w:val="Compact"/>
            </w:pPr>
            <w:r>
              <w:t xml:space="preserve">Inflammatory pathway heatmap</w:t>
            </w:r>
          </w:p>
        </w:tc>
      </w:tr>
      <w:tr>
        <w:tc>
          <w:tcPr/>
          <w:p>
            <w:pPr>
              <w:pStyle w:val="Compact"/>
            </w:pPr>
            <w:r>
              <w:rPr>
                <w:rStyle w:val="VerbatimChar"/>
              </w:rPr>
              <w:t xml:space="preserve">fig5e.pdf</w:t>
            </w:r>
          </w:p>
        </w:tc>
        <w:tc>
          <w:tcPr/>
          <w:p>
            <w:pPr>
              <w:pStyle w:val="Compact"/>
            </w:pPr>
            <w:r>
              <w:t xml:space="preserve">PDF</w:t>
            </w:r>
          </w:p>
        </w:tc>
        <w:tc>
          <w:tcPr/>
          <w:p>
            <w:pPr>
              <w:pStyle w:val="Compact"/>
            </w:pPr>
            <w:r>
              <w:rPr>
                <w:rStyle w:val="VerbatimChar"/>
              </w:rPr>
              <w:t xml:space="preserve">mica/05_fig5_immune.R</w:t>
            </w:r>
          </w:p>
        </w:tc>
        <w:tc>
          <w:tcPr/>
          <w:p>
            <w:pPr>
              <w:pStyle w:val="Compact"/>
            </w:pPr>
            <w:r>
              <w:t xml:space="preserve">Immune cell abundance by age</w:t>
            </w:r>
          </w:p>
        </w:tc>
      </w:tr>
    </w:tbl>
    <w:bookmarkEnd w:id="25"/>
    <w:bookmarkEnd w:id="26"/>
    <w:bookmarkStart w:id="28" w:name="software-versions"/>
    <w:p>
      <w:pPr>
        <w:pStyle w:val="Heading2"/>
      </w:pPr>
      <w:r>
        <w:t xml:space="preserve">6. Software Versions</w:t>
      </w:r>
    </w:p>
    <w:p>
      <w:pPr>
        <w:pStyle w:val="FirstParagraph"/>
      </w:pPr>
      <w:r>
        <w:t xml:space="preserve">From</w:t>
      </w:r>
      <w:r>
        <w:t xml:space="preserve"> </w:t>
      </w:r>
      <w:r>
        <w:rPr>
          <w:rStyle w:val="VerbatimChar"/>
        </w:rPr>
        <w:t xml:space="preserve">envs/bulk_rnaseq.yml</w:t>
      </w:r>
      <w:r>
        <w:t xml:space="preserve"> </w:t>
      </w:r>
      <w:r>
        <w:t xml:space="preserve">(conda environment</w:t>
      </w:r>
      <w:r>
        <w:t xml:space="preserve"> </w:t>
      </w:r>
      <w:r>
        <w:rPr>
          <w:rStyle w:val="VerbatimChar"/>
        </w:rPr>
        <w:t xml:space="preserve">erp_bulk_rnaseq</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Purpose</w:t>
            </w:r>
          </w:p>
        </w:tc>
      </w:tr>
      <w:tr>
        <w:tc>
          <w:tcPr/>
          <w:p>
            <w:pPr>
              <w:pStyle w:val="Compact"/>
            </w:pPr>
            <w:r>
              <w:t xml:space="preserve">R</w:t>
            </w:r>
          </w:p>
        </w:tc>
        <w:tc>
          <w:tcPr/>
          <w:p>
            <w:pPr>
              <w:pStyle w:val="Compact"/>
            </w:pPr>
            <w:r>
              <w:t xml:space="preserve">4.3 (pinned in yml; exact patch version needs verification via</w:t>
            </w:r>
            <w:r>
              <w:t xml:space="preserve"> </w:t>
            </w:r>
            <w:r>
              <w:rPr>
                <w:rStyle w:val="VerbatimChar"/>
              </w:rPr>
              <w:t xml:space="preserve">sessionInfo()</w:t>
            </w:r>
            <w:r>
              <w:t xml:space="preserve">)</w:t>
            </w:r>
          </w:p>
        </w:tc>
        <w:tc>
          <w:tcPr/>
          <w:p>
            <w:pPr>
              <w:pStyle w:val="Compact"/>
            </w:pPr>
            <w:r>
              <w:t xml:space="preserve">Base language</w:t>
            </w:r>
          </w:p>
        </w:tc>
      </w:tr>
      <w:tr>
        <w:tc>
          <w:tcPr/>
          <w:p>
            <w:pPr>
              <w:pStyle w:val="Compact"/>
            </w:pPr>
            <w:r>
              <w:t xml:space="preserve">DESeq2</w:t>
            </w:r>
          </w:p>
        </w:tc>
        <w:tc>
          <w:tcPr/>
          <w:p>
            <w:pPr>
              <w:pStyle w:val="Compact"/>
            </w:pPr>
            <w:r>
              <w:t xml:space="preserve">(Bioconductor, version not pinned)</w:t>
            </w:r>
          </w:p>
        </w:tc>
        <w:tc>
          <w:tcPr/>
          <w:p>
            <w:pPr>
              <w:pStyle w:val="Compact"/>
            </w:pPr>
            <w:r>
              <w:t xml:space="preserve">Count normalization and VST (count mode)</w:t>
            </w:r>
          </w:p>
        </w:tc>
      </w:tr>
      <w:tr>
        <w:tc>
          <w:tcPr/>
          <w:p>
            <w:pPr>
              <w:pStyle w:val="Compact"/>
            </w:pPr>
            <w:r>
              <w:t xml:space="preserve">GSVA</w:t>
            </w:r>
          </w:p>
        </w:tc>
        <w:tc>
          <w:tcPr/>
          <w:p>
            <w:pPr>
              <w:pStyle w:val="Compact"/>
            </w:pPr>
            <w:r>
              <w:t xml:space="preserve">(Bioconductor, version not pinned)</w:t>
            </w:r>
          </w:p>
        </w:tc>
        <w:tc>
          <w:tcPr/>
          <w:p>
            <w:pPr>
              <w:pStyle w:val="Compact"/>
            </w:pPr>
            <w:r>
              <w:t xml:space="preserve">Gene set variation analysis</w:t>
            </w:r>
          </w:p>
        </w:tc>
      </w:tr>
      <w:tr>
        <w:tc>
          <w:tcPr/>
          <w:p>
            <w:pPr>
              <w:pStyle w:val="Compact"/>
            </w:pPr>
            <w:r>
              <w:t xml:space="preserve">PROGENy</w:t>
            </w:r>
          </w:p>
        </w:tc>
        <w:tc>
          <w:tcPr/>
          <w:p>
            <w:pPr>
              <w:pStyle w:val="Compact"/>
            </w:pPr>
            <w:r>
              <w:t xml:space="preserve">(Bioconductor, version not pinned)</w:t>
            </w:r>
          </w:p>
        </w:tc>
        <w:tc>
          <w:tcPr/>
          <w:p>
            <w:pPr>
              <w:pStyle w:val="Compact"/>
            </w:pPr>
            <w:r>
              <w:t xml:space="preserve">Pathway activity inference</w:t>
            </w:r>
          </w:p>
        </w:tc>
      </w:tr>
      <w:tr>
        <w:tc>
          <w:tcPr/>
          <w:p>
            <w:pPr>
              <w:pStyle w:val="Compact"/>
            </w:pPr>
            <w:r>
              <w:t xml:space="preserve">msigdbr</w:t>
            </w:r>
          </w:p>
        </w:tc>
        <w:tc>
          <w:tcPr/>
          <w:p>
            <w:pPr>
              <w:pStyle w:val="Compact"/>
            </w:pPr>
            <w:r>
              <w:t xml:space="preserve">(Bioconductor, version not pinned)</w:t>
            </w:r>
          </w:p>
        </w:tc>
        <w:tc>
          <w:tcPr/>
          <w:p>
            <w:pPr>
              <w:pStyle w:val="Compact"/>
            </w:pPr>
            <w:r>
              <w:t xml:space="preserve">MSigDB gene set retrieval</w:t>
            </w:r>
          </w:p>
        </w:tc>
      </w:tr>
      <w:tr>
        <w:tc>
          <w:tcPr/>
          <w:p>
            <w:pPr>
              <w:pStyle w:val="Compact"/>
            </w:pPr>
            <w:r>
              <w:t xml:space="preserve">tidyverse</w:t>
            </w:r>
          </w:p>
        </w:tc>
        <w:tc>
          <w:tcPr/>
          <w:p>
            <w:pPr>
              <w:pStyle w:val="Compact"/>
            </w:pPr>
            <w:r>
              <w:t xml:space="preserve">(not pinned)</w:t>
            </w:r>
          </w:p>
        </w:tc>
        <w:tc>
          <w:tcPr/>
          <w:p>
            <w:pPr>
              <w:pStyle w:val="Compact"/>
            </w:pPr>
            <w:r>
              <w:t xml:space="preserve">Data manipulation</w:t>
            </w:r>
          </w:p>
        </w:tc>
      </w:tr>
      <w:tr>
        <w:tc>
          <w:tcPr/>
          <w:p>
            <w:pPr>
              <w:pStyle w:val="Compact"/>
            </w:pPr>
            <w:r>
              <w:t xml:space="preserve">data.table</w:t>
            </w:r>
          </w:p>
        </w:tc>
        <w:tc>
          <w:tcPr/>
          <w:p>
            <w:pPr>
              <w:pStyle w:val="Compact"/>
            </w:pPr>
            <w:r>
              <w:t xml:space="preserve">(not pinned)</w:t>
            </w:r>
          </w:p>
        </w:tc>
        <w:tc>
          <w:tcPr/>
          <w:p>
            <w:pPr>
              <w:pStyle w:val="Compact"/>
            </w:pPr>
            <w:r>
              <w:t xml:space="preserve">Fast I/O</w:t>
            </w:r>
          </w:p>
        </w:tc>
      </w:tr>
      <w:tr>
        <w:tc>
          <w:tcPr/>
          <w:p>
            <w:pPr>
              <w:pStyle w:val="Compact"/>
            </w:pPr>
            <w:r>
              <w:t xml:space="preserve">pheatmap</w:t>
            </w:r>
          </w:p>
        </w:tc>
        <w:tc>
          <w:tcPr/>
          <w:p>
            <w:pPr>
              <w:pStyle w:val="Compact"/>
            </w:pPr>
            <w:r>
              <w:t xml:space="preserve">(not pinned)</w:t>
            </w:r>
          </w:p>
        </w:tc>
        <w:tc>
          <w:tcPr/>
          <w:p>
            <w:pPr>
              <w:pStyle w:val="Compact"/>
            </w:pPr>
            <w:r>
              <w:t xml:space="preserve">Heatmaps</w:t>
            </w:r>
          </w:p>
        </w:tc>
      </w:tr>
      <w:tr>
        <w:tc>
          <w:tcPr/>
          <w:p>
            <w:pPr>
              <w:pStyle w:val="Compact"/>
            </w:pPr>
            <w:r>
              <w:t xml:space="preserve">ggplot2</w:t>
            </w:r>
          </w:p>
        </w:tc>
        <w:tc>
          <w:tcPr/>
          <w:p>
            <w:pPr>
              <w:pStyle w:val="Compact"/>
            </w:pPr>
            <w:r>
              <w:t xml:space="preserve">(not pinned)</w:t>
            </w:r>
          </w:p>
        </w:tc>
        <w:tc>
          <w:tcPr/>
          <w:p>
            <w:pPr>
              <w:pStyle w:val="Compact"/>
            </w:pPr>
            <w:r>
              <w:t xml:space="preserve">Plotting</w:t>
            </w:r>
          </w:p>
        </w:tc>
      </w:tr>
      <w:tr>
        <w:tc>
          <w:tcPr/>
          <w:p>
            <w:pPr>
              <w:pStyle w:val="Compact"/>
            </w:pPr>
            <w:r>
              <w:t xml:space="preserve">patchwork</w:t>
            </w:r>
          </w:p>
        </w:tc>
        <w:tc>
          <w:tcPr/>
          <w:p>
            <w:pPr>
              <w:pStyle w:val="Compact"/>
            </w:pPr>
            <w:r>
              <w:t xml:space="preserve">(not pinned)</w:t>
            </w:r>
          </w:p>
        </w:tc>
        <w:tc>
          <w:tcPr/>
          <w:p>
            <w:pPr>
              <w:pStyle w:val="Compact"/>
            </w:pPr>
            <w:r>
              <w:t xml:space="preserve">Multi-panel figures</w:t>
            </w:r>
          </w:p>
        </w:tc>
      </w:tr>
      <w:tr>
        <w:tc>
          <w:tcPr/>
          <w:p>
            <w:pPr>
              <w:pStyle w:val="Compact"/>
            </w:pPr>
            <w:r>
              <w:t xml:space="preserve">edgeR</w:t>
            </w:r>
          </w:p>
        </w:tc>
        <w:tc>
          <w:tcPr/>
          <w:p>
            <w:pPr>
              <w:pStyle w:val="Compact"/>
            </w:pPr>
            <w:r>
              <w:t xml:space="preserve">(not pinned)</w:t>
            </w:r>
          </w:p>
        </w:tc>
        <w:tc>
          <w:tcPr/>
          <w:p>
            <w:pPr>
              <w:pStyle w:val="Compact"/>
            </w:pPr>
            <w:r>
              <w:t xml:space="preserve">CPM normalization (MICA sub-pipeline)</w:t>
            </w:r>
          </w:p>
        </w:tc>
      </w:tr>
      <w:tr>
        <w:tc>
          <w:tcPr/>
          <w:p>
            <w:pPr>
              <w:pStyle w:val="Compact"/>
            </w:pPr>
            <w:r>
              <w:t xml:space="preserve">ComplexHeatmap</w:t>
            </w:r>
          </w:p>
        </w:tc>
        <w:tc>
          <w:tcPr/>
          <w:p>
            <w:pPr>
              <w:pStyle w:val="Compact"/>
            </w:pPr>
            <w:r>
              <w:t xml:space="preserve">(not listed in environment.yml)</w:t>
            </w:r>
          </w:p>
        </w:tc>
        <w:tc>
          <w:tcPr/>
          <w:p>
            <w:pPr>
              <w:pStyle w:val="Compact"/>
            </w:pPr>
            <w:r>
              <w:t xml:space="preserve">MICA figure generation</w:t>
            </w:r>
          </w:p>
        </w:tc>
      </w:tr>
      <w:tr>
        <w:tc>
          <w:tcPr/>
          <w:p>
            <w:pPr>
              <w:pStyle w:val="Compact"/>
            </w:pPr>
            <w:r>
              <w:t xml:space="preserve">circlize</w:t>
            </w:r>
          </w:p>
        </w:tc>
        <w:tc>
          <w:tcPr/>
          <w:p>
            <w:pPr>
              <w:pStyle w:val="Compact"/>
            </w:pPr>
            <w:r>
              <w:t xml:space="preserve">(not listed in environment.yml)</w:t>
            </w:r>
          </w:p>
        </w:tc>
        <w:tc>
          <w:tcPr/>
          <w:p>
            <w:pPr>
              <w:pStyle w:val="Compact"/>
            </w:pPr>
            <w:r>
              <w:t xml:space="preserve">Color functions for ComplexHeatmap</w:t>
            </w:r>
          </w:p>
        </w:tc>
      </w:tr>
      <w:tr>
        <w:tc>
          <w:tcPr/>
          <w:p>
            <w:pPr>
              <w:pStyle w:val="Compact"/>
            </w:pPr>
            <w:r>
              <w:t xml:space="preserve">MICA</w:t>
            </w:r>
          </w:p>
        </w:tc>
        <w:tc>
          <w:tcPr/>
          <w:p>
            <w:pPr>
              <w:pStyle w:val="Compact"/>
            </w:pPr>
            <w:r>
              <w:t xml:space="preserve">(not listed in environment.yml)</w:t>
            </w:r>
          </w:p>
        </w:tc>
        <w:tc>
          <w:tcPr/>
          <w:p>
            <w:pPr>
              <w:pStyle w:val="Compact"/>
            </w:pPr>
            <w:r>
              <w:t xml:space="preserve">Concordance analysis</w:t>
            </w:r>
          </w:p>
        </w:tc>
      </w:tr>
    </w:tbl>
    <w:bookmarkStart w:id="27" w:name="slurm-execution-parameters"/>
    <w:p>
      <w:pPr>
        <w:pStyle w:val="Heading3"/>
      </w:pPr>
      <w:r>
        <w:t xml:space="preserve">SLURM Execution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Main Pipeline (</w:t>
            </w:r>
            <w:r>
              <w:rPr>
                <w:rStyle w:val="VerbatimChar"/>
              </w:rPr>
              <w:t xml:space="preserve">run_analysis.sbatch</w:t>
            </w:r>
            <w:r>
              <w:t xml:space="preserve">)</w:t>
            </w:r>
          </w:p>
        </w:tc>
        <w:tc>
          <w:tcPr/>
          <w:p>
            <w:pPr>
              <w:pStyle w:val="Compact"/>
            </w:pPr>
            <w:r>
              <w:t xml:space="preserve">MICA Pipeline (</w:t>
            </w:r>
            <w:r>
              <w:rPr>
                <w:rStyle w:val="VerbatimChar"/>
              </w:rPr>
              <w:t xml:space="preserve">mica/run_all.sbatch</w:t>
            </w:r>
            <w:r>
              <w:t xml:space="preserve">)</w:t>
            </w:r>
          </w:p>
        </w:tc>
      </w:tr>
      <w:tr>
        <w:tc>
          <w:tcPr/>
          <w:p>
            <w:pPr>
              <w:pStyle w:val="Compact"/>
            </w:pPr>
            <w:r>
              <w:t xml:space="preserve">Partition</w:t>
            </w:r>
          </w:p>
        </w:tc>
        <w:tc>
          <w:tcPr/>
          <w:p>
            <w:pPr>
              <w:pStyle w:val="Compact"/>
            </w:pPr>
            <w:r>
              <w:t xml:space="preserve">htc</w:t>
            </w:r>
          </w:p>
        </w:tc>
        <w:tc>
          <w:tcPr/>
          <w:p>
            <w:pPr>
              <w:pStyle w:val="Compact"/>
            </w:pPr>
            <w:r>
              <w:t xml:space="preserve">htc</w:t>
            </w:r>
          </w:p>
        </w:tc>
      </w:tr>
      <w:tr>
        <w:tc>
          <w:tcPr/>
          <w:p>
            <w:pPr>
              <w:pStyle w:val="Compact"/>
            </w:pPr>
            <w:r>
              <w:t xml:space="preserve">Time limit</w:t>
            </w:r>
          </w:p>
        </w:tc>
        <w:tc>
          <w:tcPr/>
          <w:p>
            <w:pPr>
              <w:pStyle w:val="Compact"/>
            </w:pPr>
            <w:r>
              <w:t xml:space="preserve">4 hours</w:t>
            </w:r>
          </w:p>
        </w:tc>
        <w:tc>
          <w:tcPr/>
          <w:p>
            <w:pPr>
              <w:pStyle w:val="Compact"/>
            </w:pPr>
            <w:r>
              <w:t xml:space="preserve">4 hours</w:t>
            </w:r>
          </w:p>
        </w:tc>
      </w:tr>
      <w:tr>
        <w:tc>
          <w:tcPr/>
          <w:p>
            <w:pPr>
              <w:pStyle w:val="Compact"/>
            </w:pPr>
            <w:r>
              <w:t xml:space="preserve">Memory</w:t>
            </w:r>
          </w:p>
        </w:tc>
        <w:tc>
          <w:tcPr/>
          <w:p>
            <w:pPr>
              <w:pStyle w:val="Compact"/>
            </w:pPr>
            <w:r>
              <w:t xml:space="preserve">32 GB</w:t>
            </w:r>
          </w:p>
        </w:tc>
        <w:tc>
          <w:tcPr/>
          <w:p>
            <w:pPr>
              <w:pStyle w:val="Compact"/>
            </w:pPr>
            <w:r>
              <w:t xml:space="preserve">32 GB</w:t>
            </w:r>
          </w:p>
        </w:tc>
      </w:tr>
      <w:tr>
        <w:tc>
          <w:tcPr/>
          <w:p>
            <w:pPr>
              <w:pStyle w:val="Compact"/>
            </w:pPr>
            <w:r>
              <w:t xml:space="preserve">CPUs</w:t>
            </w:r>
          </w:p>
        </w:tc>
        <w:tc>
          <w:tcPr/>
          <w:p>
            <w:pPr>
              <w:pStyle w:val="Compact"/>
            </w:pPr>
            <w:r>
              <w:t xml:space="preserve">4</w:t>
            </w:r>
          </w:p>
        </w:tc>
        <w:tc>
          <w:tcPr/>
          <w:p>
            <w:pPr>
              <w:pStyle w:val="Compact"/>
            </w:pPr>
            <w:r>
              <w:t xml:space="preserve">4 (sbatch requests 4;</w:t>
            </w:r>
            <w:r>
              <w:t xml:space="preserve"> </w:t>
            </w:r>
            <w:r>
              <w:rPr>
                <w:rStyle w:val="VerbatimChar"/>
              </w:rPr>
              <w:t xml:space="preserve">n.parallel = 10</w:t>
            </w:r>
            <w:r>
              <w:t xml:space="preserve"> </w:t>
            </w:r>
            <w:r>
              <w:t xml:space="preserve">is set in R code)</w:t>
            </w:r>
          </w:p>
        </w:tc>
      </w:tr>
      <w:tr>
        <w:tc>
          <w:tcPr/>
          <w:p>
            <w:pPr>
              <w:pStyle w:val="Compact"/>
            </w:pPr>
            <w:r>
              <w:t xml:space="preserve">Conda env</w:t>
            </w:r>
          </w:p>
        </w:tc>
        <w:tc>
          <w:tcPr/>
          <w:p>
            <w:pPr>
              <w:pStyle w:val="Compact"/>
            </w:pPr>
            <w:r>
              <w:rPr>
                <w:rStyle w:val="VerbatimChar"/>
              </w:rPr>
              <w:t xml:space="preserve">erp_bulk_rnaseq</w:t>
            </w:r>
          </w:p>
        </w:tc>
        <w:tc>
          <w:tcPr/>
          <w:p>
            <w:pPr>
              <w:pStyle w:val="Compact"/>
            </w:pPr>
            <w:r>
              <w:rPr>
                <w:rStyle w:val="VerbatimChar"/>
              </w:rPr>
              <w:t xml:space="preserve">/ix1/.../envs/erp_brca_aging</w:t>
            </w:r>
          </w:p>
        </w:tc>
      </w:tr>
    </w:tbl>
    <w:bookmarkEnd w:id="27"/>
    <w:bookmarkEnd w:id="28"/>
    <w:bookmarkStart w:id="29" w:name="reproducibility-notes"/>
    <w:p>
      <w:pPr>
        <w:pStyle w:val="Heading2"/>
      </w:pPr>
      <w:r>
        <w:t xml:space="preserve">7. Reproducibility Notes</w:t>
      </w:r>
    </w:p>
    <w:p>
      <w:pPr>
        <w:pStyle w:val="Compact"/>
        <w:numPr>
          <w:ilvl w:val="0"/>
          <w:numId w:val="1003"/>
        </w:numPr>
      </w:pPr>
      <w:r>
        <w:rPr>
          <w:b/>
          <w:bCs/>
        </w:rPr>
        <w:t xml:space="preserve">Random seeds:</w:t>
      </w:r>
      <w:r>
        <w:t xml:space="preserve"> </w:t>
      </w:r>
      <w:r>
        <w:rPr>
          <w:rStyle w:val="VerbatimChar"/>
        </w:rPr>
        <w:t xml:space="preserve">set.seed(12345)</w:t>
      </w:r>
      <w:r>
        <w:t xml:space="preserve"> </w:t>
      </w:r>
      <w:r>
        <w:t xml:space="preserve">was set at the start of every R script in the pipeline.</w:t>
      </w:r>
    </w:p>
    <w:p>
      <w:pPr>
        <w:pStyle w:val="Compact"/>
        <w:numPr>
          <w:ilvl w:val="0"/>
          <w:numId w:val="1003"/>
        </w:numPr>
      </w:pPr>
      <w:r>
        <w:rPr>
          <w:b/>
          <w:bCs/>
        </w:rPr>
        <w:t xml:space="preserve">Execution order:</w:t>
      </w:r>
      <w:r>
        <w:t xml:space="preserve"> </w:t>
      </w:r>
      <w:r>
        <w:t xml:space="preserve">Scripts were executed sequentially (</w:t>
      </w:r>
      <w:r>
        <w:rPr>
          <w:rStyle w:val="VerbatimChar"/>
        </w:rPr>
        <w:t xml:space="preserve">01</w:t>
      </w:r>
      <w:r>
        <w:t xml:space="preserve"> </w:t>
      </w:r>
      <w:r>
        <w:t xml:space="preserve">through</w:t>
      </w:r>
      <w:r>
        <w:t xml:space="preserve"> </w:t>
      </w:r>
      <w:r>
        <w:rPr>
          <w:rStyle w:val="VerbatimChar"/>
        </w:rPr>
        <w:t xml:space="preserve">05</w:t>
      </w:r>
      <w:r>
        <w:t xml:space="preserve">) via shell scripts, with each script depending on outputs from prior steps. The sbatch script enforced sequential execution with</w:t>
      </w:r>
      <w:r>
        <w:t xml:space="preserve"> </w:t>
      </w:r>
      <w:r>
        <w:rPr>
          <w:rStyle w:val="VerbatimChar"/>
        </w:rPr>
        <w:t xml:space="preserve">set -eo pipefail</w:t>
      </w:r>
      <w:r>
        <w:t xml:space="preserve">.</w:t>
      </w:r>
    </w:p>
    <w:p>
      <w:pPr>
        <w:pStyle w:val="Compact"/>
        <w:numPr>
          <w:ilvl w:val="0"/>
          <w:numId w:val="1003"/>
        </w:numPr>
      </w:pPr>
      <w:r>
        <w:rPr>
          <w:b/>
          <w:bCs/>
        </w:rPr>
        <w:t xml:space="preserve">Completion markers:</w:t>
      </w:r>
      <w:r>
        <w:t xml:space="preserve"> </w:t>
      </w:r>
      <w:r>
        <w:t xml:space="preserve">Upon successful completion, the sbatch script wrote a marker file to</w:t>
      </w:r>
      <w:r>
        <w:t xml:space="preserve"> </w:t>
      </w:r>
      <w:r>
        <w:rPr>
          <w:rStyle w:val="VerbatimChar"/>
        </w:rPr>
        <w:t xml:space="preserve">.pipeline_markers/01_human_bulk_rnaseq.complete</w:t>
      </w:r>
      <w:r>
        <w:t xml:space="preserve">.</w:t>
      </w:r>
    </w:p>
    <w:p>
      <w:pPr>
        <w:pStyle w:val="Compact"/>
        <w:numPr>
          <w:ilvl w:val="0"/>
          <w:numId w:val="1003"/>
        </w:numPr>
      </w:pPr>
      <w:r>
        <w:rPr>
          <w:b/>
          <w:bCs/>
        </w:rPr>
        <w:t xml:space="preserve">Intermediate checkpoints:</w:t>
      </w:r>
      <w:r>
        <w:t xml:space="preserve"> </w:t>
      </w:r>
      <w:r>
        <w:t xml:space="preserve">All intermediate results (expression matrix, GSVA scores, PROGENy activity, correlation results) were saved as RDS files. Key results were additionally exported as CSV for cross-platform accessibility.</w:t>
      </w:r>
    </w:p>
    <w:p>
      <w:pPr>
        <w:pStyle w:val="Compact"/>
        <w:numPr>
          <w:ilvl w:val="0"/>
          <w:numId w:val="1003"/>
        </w:numPr>
      </w:pPr>
      <w:r>
        <w:rPr>
          <w:b/>
          <w:bCs/>
        </w:rPr>
        <w:t xml:space="preserve">Hardcoded paths:</w:t>
      </w:r>
      <w:r>
        <w:t xml:space="preserve"> </w:t>
      </w:r>
      <w:r>
        <w:t xml:space="preserve">The sbatch script contains an absolute path to</w:t>
      </w:r>
      <w:r>
        <w:t xml:space="preserve"> </w:t>
      </w:r>
      <w:r>
        <w:rPr>
          <w:rStyle w:val="VerbatimChar"/>
        </w:rPr>
        <w:t xml:space="preserve">SCRIPT_DIR</w:t>
      </w:r>
      <w:r>
        <w:t xml:space="preserve">. Main pipeline R scripts (</w:t>
      </w:r>
      <w:r>
        <w:rPr>
          <w:rStyle w:val="VerbatimChar"/>
        </w:rPr>
        <w:t xml:space="preserve">01</w:t>
      </w:r>
      <w:r>
        <w:t xml:space="preserve">–</w:t>
      </w:r>
      <w:r>
        <w:rPr>
          <w:rStyle w:val="VerbatimChar"/>
        </w:rPr>
        <w:t xml:space="preserve">05</w:t>
      </w:r>
      <w:r>
        <w:t xml:space="preserve">) derive paths relative to the script location using</w:t>
      </w:r>
      <w:r>
        <w:t xml:space="preserve"> </w:t>
      </w:r>
      <w:r>
        <w:rPr>
          <w:rStyle w:val="VerbatimChar"/>
        </w:rPr>
        <w:t xml:space="preserve">commandArgs()</w:t>
      </w:r>
      <w:r>
        <w:t xml:space="preserve">. MICA sub-pipeline scripts (</w:t>
      </w:r>
      <w:r>
        <w:rPr>
          <w:rStyle w:val="VerbatimChar"/>
        </w:rPr>
        <w:t xml:space="preserve">mica/01</w:t>
      </w:r>
      <w:r>
        <w:t xml:space="preserve">–</w:t>
      </w:r>
      <w:r>
        <w:rPr>
          <w:rStyle w:val="VerbatimChar"/>
        </w:rPr>
        <w:t xml:space="preserve">05</w:t>
      </w:r>
      <w:r>
        <w:t xml:space="preserve">) use</w:t>
      </w:r>
      <w:r>
        <w:t xml:space="preserve"> </w:t>
      </w:r>
      <w:r>
        <w:rPr>
          <w:rStyle w:val="VerbatimChar"/>
        </w:rPr>
        <w:t xml:space="preserve">sys.frame(1)$ofile</w:t>
      </w:r>
      <w:r>
        <w:t xml:space="preserve"> </w:t>
      </w:r>
      <w:r>
        <w:t xml:space="preserve">with a</w:t>
      </w:r>
      <w:r>
        <w:t xml:space="preserve"> </w:t>
      </w:r>
      <w:r>
        <w:rPr>
          <w:rStyle w:val="VerbatimChar"/>
        </w:rPr>
        <w:t xml:space="preserve">getwd()</w:t>
      </w:r>
      <w:r>
        <w:t xml:space="preserve"> </w:t>
      </w:r>
      <w:r>
        <w:t xml:space="preserve">fallback.</w:t>
      </w:r>
    </w:p>
    <w:p>
      <w:r>
        <w:pict>
          <v:rect style="width:0;height:1.5pt" o:hralign="center" o:hrstd="t" o:hr="t"/>
        </w:pict>
      </w:r>
    </w:p>
    <w:bookmarkEnd w:id="29"/>
    <w:bookmarkStart w:id="30" w:name="main-text-summary"/>
    <w:p>
      <w:pPr>
        <w:pStyle w:val="Heading2"/>
      </w:pPr>
      <w:r>
        <w:t xml:space="preserve">Main Text Summary</w:t>
      </w:r>
    </w:p>
    <w:p>
      <w:pPr>
        <w:pStyle w:val="FirstParagraph"/>
      </w:pPr>
      <w:r>
        <w:t xml:space="preserve">Human ER+ breast cancer bulk RNA-seq data (39,404 genes, 168 samples) were preprocessed by filtering to protein-coding genes using NCBI gene annotations. When raw counts were available, DESeq2 variance stabilizing transformation (VST, design</w:t>
      </w:r>
      <w:r>
        <w:t xml:space="preserve"> </w:t>
      </w:r>
      <w:r>
        <w:rPr>
          <w:rStyle w:val="VerbatimChar"/>
        </w:rPr>
        <w:t xml:space="preserve">~ AgeRange + Group</w:t>
      </w:r>
      <w:r>
        <w:t xml:space="preserve">) was applied; otherwise, pre-computed log2(TPM) values were used as the expression matrix. Estrogen pathway activity was quantified using GSVA (v2.x,</w:t>
      </w:r>
      <w:r>
        <w:t xml:space="preserve"> </w:t>
      </w:r>
      <w:r>
        <w:rPr>
          <w:rStyle w:val="VerbatimChar"/>
        </w:rPr>
        <w:t xml:space="preserve">kcdf = "Gaussian"</w:t>
      </w:r>
      <w:r>
        <w:t xml:space="preserve">,</w:t>
      </w:r>
      <w:r>
        <w:t xml:space="preserve"> </w:t>
      </w:r>
      <w:r>
        <w:rPr>
          <w:rStyle w:val="VerbatimChar"/>
        </w:rPr>
        <w:t xml:space="preserve">maxDiff = TRUE</w:t>
      </w:r>
      <w:r>
        <w:t xml:space="preserve">) across seven curated estrogen-related gene sets: two MSigDB Hallmark (Estrogen Response Early/Late), one Reactome (Estrogen Dependent Gene Expression), one WikiPathways (Estrogen Signaling Pathway), two GO Biological Process (Intracellular Estrogen Receptor Signaling Pathway, Cellular Response to Estrogen Stimulus), and a custom E1-responsive gene set (407 genes uniquely upregulated by estrone but not estradiol, FC&gt;2, q&lt;0.05; Table S1 from Liguori et al., Cell Metabolism, 2020). PROGENy pathway activity was inferred using the top 100 footprint genes per pathway with 1,000 permutations. Spearman rank correlations between nine estrogen-related genes (PAK4, HSD17B7, GREB1, PGR, ESR1, TFF1, CYP19A1, HSD17B2, SAA1) plus chronological age and all pathway activity scores were computed for Young and Elderly tumor samples, with Benjamini-Hochberg false discovery rate correction applied across all tests. MICA concordance analysis was performed across TCGA, METABRIC, and SCAN-B cohorts using GSVA with two age stratification schemes and 500 permutations. All analyses used R 4.3 (conda-pinned; exact patch version needs verification via</w:t>
      </w:r>
      <w:r>
        <w:t xml:space="preserve"> </w:t>
      </w:r>
      <w:r>
        <w:rPr>
          <w:rStyle w:val="VerbatimChar"/>
        </w:rPr>
        <w:t xml:space="preserve">sessionInfo()</w:t>
      </w:r>
      <w:r>
        <w:t xml:space="preserve">) with seed 12345 for reproducibility.</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2026-03-23T14:32:24Z</dcterms:created>
  <dcterms:modified xsi:type="dcterms:W3CDTF">2026-03-23T14:32:24Z</dcterms:modified>
</cp:coreProperties>
</file>

<file path=docProps/custom.xml><?xml version="1.0" encoding="utf-8"?>
<Properties xmlns="http://schemas.openxmlformats.org/officeDocument/2006/custom-properties" xmlns:vt="http://schemas.openxmlformats.org/officeDocument/2006/docPropsVTypes"/>
</file>