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d6e707b7d39e9f03af0ed91f1d8c1a71036fc4"/>
    <w:p>
      <w:pPr>
        <w:pStyle w:val="Heading1"/>
      </w:pPr>
      <w:r>
        <w:t xml:space="preserve">Methods: Rat Whole Exome Sequencing Analysis (</w:t>
      </w:r>
      <w:r>
        <w:rPr>
          <w:rStyle w:val="VerbatimChar"/>
        </w:rPr>
        <w:t xml:space="preserve">03_rat_wes</w:t>
      </w:r>
      <w:r>
        <w:t xml:space="preserve">)</w:t>
      </w:r>
    </w:p>
    <w:bookmarkStart w:id="9" w:name="data-acquisition"/>
    <w:p>
      <w:pPr>
        <w:pStyle w:val="Heading2"/>
      </w:pPr>
      <w:r>
        <w:t xml:space="preserve">1. Data Acquisition</w:t>
      </w:r>
    </w:p>
    <w:p>
      <w:pPr>
        <w:pStyle w:val="FirstParagraph"/>
      </w:pPr>
      <w:r>
        <w:t xml:space="preserve">Whole exome sequencing (WES) was performed on mammary tumors from six rats, comprising three old (sample IDs: 102, 107, 116) and three young (sample IDs: 157, 158, 167) animals. Matched spleen tissue served as the germline reference for each animal. Somatic variants were called using Mutect2 (upstream of this pipeline); input VCF files were located in a shared directory (</w:t>
      </w:r>
      <w:r>
        <w:rPr>
          <w:rStyle w:val="VerbatimChar"/>
        </w:rPr>
        <w:t xml:space="preserve">NeilRatWES/RatWES_Mutect2_VCF_Input/</w:t>
      </w:r>
      <w:r>
        <w:t xml:space="preserve">). Sample naming in the input VCFs followed the format</w:t>
      </w:r>
      <w:r>
        <w:t xml:space="preserve"> </w:t>
      </w:r>
      <w:r>
        <w:rPr>
          <w:rStyle w:val="VerbatimChar"/>
        </w:rPr>
        <w:t xml:space="preserve">Rat_O_&lt;ID&gt;</w:t>
      </w:r>
      <w:r>
        <w:t xml:space="preserve"> </w:t>
      </w:r>
      <w:r>
        <w:t xml:space="preserve">(old) or</w:t>
      </w:r>
      <w:r>
        <w:t xml:space="preserve"> </w:t>
      </w:r>
      <w:r>
        <w:rPr>
          <w:rStyle w:val="VerbatimChar"/>
        </w:rPr>
        <w:t xml:space="preserve">Rat_Y_&lt;ID&gt;</w:t>
      </w:r>
      <w:r>
        <w:t xml:space="preserve"> </w:t>
      </w:r>
      <w:r>
        <w:t xml:space="preserve">(young), which was parsed via regex to extract the three-digit numeric sample identifier.</w:t>
      </w:r>
    </w:p>
    <w:bookmarkEnd w:id="9"/>
    <w:bookmarkStart w:id="10" w:name="variant-annotation-with-vep"/>
    <w:p>
      <w:pPr>
        <w:pStyle w:val="Heading2"/>
      </w:pPr>
      <w:r>
        <w:t xml:space="preserve">2. Variant Annotation with VEP</w:t>
      </w:r>
    </w:p>
    <w:p>
      <w:pPr>
        <w:pStyle w:val="FirstParagraph"/>
      </w:pPr>
      <w:r>
        <w:t xml:space="preserve">Somatic variants were annotated using Ensembl Variant Effect Predictor (VEP) v114.2 (module</w:t>
      </w:r>
      <w:r>
        <w:t xml:space="preserve"> </w:t>
      </w:r>
      <w:r>
        <w:rPr>
          <w:rStyle w:val="VerbatimChar"/>
        </w:rPr>
        <w:t xml:space="preserve">ensembl-vep/114.2</w:t>
      </w:r>
      <w:r>
        <w:t xml:space="preserve">), run in offline mode against a local cache (</w:t>
      </w:r>
      <w:r>
        <w:rPr>
          <w:rStyle w:val="VerbatimChar"/>
        </w:rPr>
        <w:t xml:space="preserve">00_run_vep.sbatch</w:t>
      </w:r>
      <w:r>
        <w:t xml:space="preserve">). VEP was executed with the following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--species</w:t>
            </w:r>
          </w:p>
        </w:tc>
        <w:tc>
          <w:tcPr/>
          <w:p>
            <w:pPr>
              <w:pStyle w:val="Compact"/>
            </w:pPr>
            <w:r>
              <w:rPr>
                <w:rStyle w:val="VerbatimChar"/>
              </w:rPr>
              <w:t xml:space="preserve">rattus_norvegicus</w:t>
            </w:r>
          </w:p>
        </w:tc>
      </w:tr>
      <w:tr>
        <w:tc>
          <w:tcPr/>
          <w:p>
            <w:pPr>
              <w:pStyle w:val="Compact"/>
            </w:pPr>
            <w:r>
              <w:rPr>
                <w:rStyle w:val="VerbatimChar"/>
              </w:rPr>
              <w:t xml:space="preserve">--assembly</w:t>
            </w:r>
          </w:p>
        </w:tc>
        <w:tc>
          <w:tcPr/>
          <w:p>
            <w:pPr>
              <w:pStyle w:val="Compact"/>
            </w:pPr>
            <w:r>
              <w:rPr>
                <w:rStyle w:val="VerbatimChar"/>
              </w:rPr>
              <w:t xml:space="preserve">Rnor_6.0</w:t>
            </w:r>
          </w:p>
        </w:tc>
      </w:tr>
      <w:tr>
        <w:tc>
          <w:tcPr/>
          <w:p>
            <w:pPr>
              <w:pStyle w:val="Compact"/>
            </w:pPr>
            <w:r>
              <w:rPr>
                <w:rStyle w:val="VerbatimChar"/>
              </w:rPr>
              <w:t xml:space="preserve">--cache_version</w:t>
            </w:r>
          </w:p>
        </w:tc>
        <w:tc>
          <w:tcPr/>
          <w:p>
            <w:pPr>
              <w:pStyle w:val="Compact"/>
            </w:pPr>
            <w:r>
              <w:rPr>
                <w:rStyle w:val="VerbatimChar"/>
              </w:rPr>
              <w:t xml:space="preserve">104</w:t>
            </w:r>
          </w:p>
        </w:tc>
      </w:tr>
      <w:tr>
        <w:tc>
          <w:tcPr/>
          <w:p>
            <w:pPr>
              <w:pStyle w:val="Compact"/>
            </w:pPr>
            <w:r>
              <w:rPr>
                <w:rStyle w:val="VerbatimChar"/>
              </w:rPr>
              <w:t xml:space="preserve">--offline</w:t>
            </w:r>
          </w:p>
        </w:tc>
        <w:tc>
          <w:tcPr/>
          <w:p>
            <w:pPr>
              <w:pStyle w:val="Compact"/>
            </w:pPr>
            <w:r>
              <w:t xml:space="preserve">enabled</w:t>
            </w:r>
          </w:p>
        </w:tc>
      </w:tr>
      <w:tr>
        <w:tc>
          <w:tcPr/>
          <w:p>
            <w:pPr>
              <w:pStyle w:val="Compact"/>
            </w:pPr>
            <w:r>
              <w:rPr>
                <w:rStyle w:val="VerbatimChar"/>
              </w:rPr>
              <w:t xml:space="preserve">--force_overwrite</w:t>
            </w:r>
          </w:p>
        </w:tc>
        <w:tc>
          <w:tcPr/>
          <w:p>
            <w:pPr>
              <w:pStyle w:val="Compact"/>
            </w:pPr>
            <w:r>
              <w:t xml:space="preserve">enabled</w:t>
            </w:r>
          </w:p>
        </w:tc>
      </w:tr>
      <w:tr>
        <w:tc>
          <w:tcPr/>
          <w:p>
            <w:pPr>
              <w:pStyle w:val="Compact"/>
            </w:pPr>
            <w:r>
              <w:rPr>
                <w:rStyle w:val="VerbatimChar"/>
              </w:rPr>
              <w:t xml:space="preserve">--tab</w:t>
            </w:r>
          </w:p>
        </w:tc>
        <w:tc>
          <w:tcPr/>
          <w:p>
            <w:pPr>
              <w:pStyle w:val="Compact"/>
            </w:pPr>
            <w:r>
              <w:t xml:space="preserve">tab-delimited output</w:t>
            </w:r>
          </w:p>
        </w:tc>
      </w:tr>
      <w:tr>
        <w:tc>
          <w:tcPr/>
          <w:p>
            <w:pPr>
              <w:pStyle w:val="Compact"/>
            </w:pPr>
            <w:r>
              <w:rPr>
                <w:rStyle w:val="VerbatimChar"/>
              </w:rPr>
              <w:t xml:space="preserve">--fork</w:t>
            </w:r>
          </w:p>
        </w:tc>
        <w:tc>
          <w:tcPr/>
          <w:p>
            <w:pPr>
              <w:pStyle w:val="Compact"/>
            </w:pPr>
            <w:r>
              <w:rPr>
                <w:rStyle w:val="VerbatimChar"/>
              </w:rPr>
              <w:t xml:space="preserve">4</w:t>
            </w:r>
            <w:r>
              <w:t xml:space="preserve"> </w:t>
            </w:r>
            <w:r>
              <w:t xml:space="preserve">(parallel threads)</w:t>
            </w:r>
          </w:p>
        </w:tc>
      </w:tr>
    </w:tbl>
    <w:p>
      <w:pPr>
        <w:pStyle w:val="BodyText"/>
      </w:pPr>
      <w:r>
        <w:t xml:space="preserve">Output files were named</w:t>
      </w:r>
      <w:r>
        <w:t xml:space="preserve"> </w:t>
      </w:r>
      <w:r>
        <w:rPr>
          <w:rStyle w:val="VerbatimChar"/>
        </w:rPr>
        <w:t xml:space="preserve">&lt;ID&gt;_tumor_vs_&lt;ID&gt;_spleen.mutect2.txt</w:t>
      </w:r>
      <w:r>
        <w:t xml:space="preserve"> </w:t>
      </w:r>
      <w:r>
        <w:t xml:space="preserve">and organized into per-sample subdirectories. The SLURM job requested 4 CPUs and 16 GB memory with a 2-hour time limit.</w:t>
      </w:r>
    </w:p>
    <w:bookmarkEnd w:id="10"/>
    <w:bookmarkStart w:id="11" w:name="vep-output-parsing-and-filtering"/>
    <w:p>
      <w:pPr>
        <w:pStyle w:val="Heading2"/>
      </w:pPr>
      <w:r>
        <w:t xml:space="preserve">3. VEP Output Parsing and Filtering</w:t>
      </w:r>
    </w:p>
    <w:p>
      <w:pPr>
        <w:pStyle w:val="FirstParagraph"/>
      </w:pPr>
      <w:r>
        <w:t xml:space="preserve">Annotated variants were parsed and filtered using a custom Python script (</w:t>
      </w:r>
      <w:r>
        <w:rPr>
          <w:rStyle w:val="VerbatimChar"/>
        </w:rPr>
        <w:t xml:space="preserve">01_parse_vep.py</w:t>
      </w:r>
      <w:r>
        <w:t xml:space="preserve">). The VEP tab-delimited output was read with custom header parsing: the script identified the header line as the first line beginning with a single</w:t>
      </w:r>
      <w:r>
        <w:t xml:space="preserve"> </w:t>
      </w:r>
      <w:r>
        <w:rPr>
          <w:rStyle w:val="VerbatimChar"/>
        </w:rPr>
        <w:t xml:space="preserve">#</w:t>
      </w:r>
      <w:r>
        <w:t xml:space="preserve"> </w:t>
      </w:r>
      <w:r>
        <w:t xml:space="preserve">(but not</w:t>
      </w:r>
      <w:r>
        <w:t xml:space="preserve"> </w:t>
      </w:r>
      <w:r>
        <w:rPr>
          <w:rStyle w:val="VerbatimChar"/>
        </w:rPr>
        <w:t xml:space="preserve">##</w:t>
      </w:r>
      <w:r>
        <w:t xml:space="preserve">), stripped the leading</w:t>
      </w:r>
      <w:r>
        <w:t xml:space="preserve"> </w:t>
      </w:r>
      <w:r>
        <w:rPr>
          <w:rStyle w:val="VerbatimChar"/>
        </w:rPr>
        <w:t xml:space="preserve">#</w:t>
      </w:r>
      <w:r>
        <w:t xml:space="preserve">, and used the resulting fields as column names. All subsequent non-comment lines were loaded via</w:t>
      </w:r>
      <w:r>
        <w:t xml:space="preserve"> </w:t>
      </w:r>
      <w:r>
        <w:rPr>
          <w:rStyle w:val="VerbatimChar"/>
        </w:rPr>
        <w:t xml:space="preserve">pd.read_csv()</w:t>
      </w:r>
      <w:r>
        <w:t xml:space="preserve"> </w:t>
      </w:r>
      <w:r>
        <w:t xml:space="preserve">with</w:t>
      </w:r>
      <w:r>
        <w:t xml:space="preserve"> </w:t>
      </w:r>
      <w:r>
        <w:rPr>
          <w:rStyle w:val="VerbatimChar"/>
        </w:rPr>
        <w:t xml:space="preserve">comment='#'</w:t>
      </w:r>
      <w:r>
        <w:t xml:space="preserve">.</w:t>
      </w:r>
    </w:p>
    <w:p>
      <w:pPr>
        <w:pStyle w:val="BodyText"/>
      </w:pPr>
      <w:r>
        <w:t xml:space="preserve">Variants were retained if they met two criteria:</w:t>
      </w:r>
      <w:r>
        <w:t xml:space="preserve"> </w:t>
      </w:r>
      <w:r>
        <w:t xml:space="preserve">1.</w:t>
      </w:r>
      <w:r>
        <w:t xml:space="preserve"> </w:t>
      </w:r>
      <w:r>
        <w:rPr>
          <w:b/>
          <w:bCs/>
        </w:rPr>
        <w:t xml:space="preserve">Ensembl gene filter</w:t>
      </w:r>
      <w:r>
        <w:t xml:space="preserve">: The</w:t>
      </w:r>
      <w:r>
        <w:t xml:space="preserve"> </w:t>
      </w:r>
      <w:r>
        <w:rPr>
          <w:rStyle w:val="VerbatimChar"/>
        </w:rPr>
        <w:t xml:space="preserve">Gene</w:t>
      </w:r>
      <w:r>
        <w:t xml:space="preserve"> </w:t>
      </w:r>
      <w:r>
        <w:t xml:space="preserve">column value started with the prefix</w:t>
      </w:r>
      <w:r>
        <w:t xml:space="preserve"> </w:t>
      </w:r>
      <w:r>
        <w:rPr>
          <w:rStyle w:val="VerbatimChar"/>
        </w:rPr>
        <w:t xml:space="preserve">'ENS'</w:t>
      </w:r>
      <w:r>
        <w:t xml:space="preserve"> </w:t>
      </w:r>
      <w:r>
        <w:t xml:space="preserve">(string match via</w:t>
      </w:r>
      <w:r>
        <w:t xml:space="preserve"> </w:t>
      </w:r>
      <w:r>
        <w:rPr>
          <w:rStyle w:val="VerbatimChar"/>
        </w:rPr>
        <w:t xml:space="preserve">str.startswith()</w:t>
      </w:r>
      <w:r>
        <w:t xml:space="preserve">).</w:t>
      </w:r>
      <w:r>
        <w:t xml:space="preserve"> </w:t>
      </w:r>
      <w:r>
        <w:t xml:space="preserve">2.</w:t>
      </w:r>
      <w:r>
        <w:t xml:space="preserve"> </w:t>
      </w:r>
      <w:r>
        <w:rPr>
          <w:b/>
          <w:bCs/>
        </w:rPr>
        <w:t xml:space="preserve">Impact filter</w:t>
      </w:r>
      <w:r>
        <w:t xml:space="preserve">: The</w:t>
      </w:r>
      <w:r>
        <w:t xml:space="preserve"> </w:t>
      </w:r>
      <w:r>
        <w:rPr>
          <w:rStyle w:val="VerbatimChar"/>
        </w:rPr>
        <w:t xml:space="preserve">IMPACT</w:t>
      </w:r>
      <w:r>
        <w:t xml:space="preserve"> </w:t>
      </w:r>
      <w:r>
        <w:t xml:space="preserve">field (either as a standalone column or extracted from the</w:t>
      </w:r>
      <w:r>
        <w:t xml:space="preserve"> </w:t>
      </w:r>
      <w:r>
        <w:rPr>
          <w:rStyle w:val="VerbatimChar"/>
        </w:rPr>
        <w:t xml:space="preserve">Extra</w:t>
      </w:r>
      <w:r>
        <w:t xml:space="preserve"> </w:t>
      </w:r>
      <w:r>
        <w:t xml:space="preserve">column) was</w:t>
      </w:r>
      <w:r>
        <w:t xml:space="preserve"> </w:t>
      </w:r>
      <w:r>
        <w:rPr>
          <w:rStyle w:val="VerbatimChar"/>
        </w:rPr>
        <w:t xml:space="preserve">'HIGH'</w:t>
      </w:r>
      <w:r>
        <w:t xml:space="preserve"> </w:t>
      </w:r>
      <w:r>
        <w:t xml:space="preserve">or</w:t>
      </w:r>
      <w:r>
        <w:t xml:space="preserve"> </w:t>
      </w:r>
      <w:r>
        <w:rPr>
          <w:rStyle w:val="VerbatimChar"/>
        </w:rPr>
        <w:t xml:space="preserve">'MODERATE'</w:t>
      </w:r>
      <w:r>
        <w:t xml:space="preserve">.</w:t>
      </w:r>
    </w:p>
    <w:p>
      <w:pPr>
        <w:pStyle w:val="BodyText"/>
      </w:pPr>
      <w:r>
        <w:t xml:space="preserve">Only subfolders whose names ended in</w:t>
      </w:r>
      <w:r>
        <w:t xml:space="preserve"> </w:t>
      </w:r>
      <w:r>
        <w:rPr>
          <w:rStyle w:val="VerbatimChar"/>
        </w:rPr>
        <w:t xml:space="preserve">'spleen'</w:t>
      </w:r>
      <w:r>
        <w:t xml:space="preserve"> </w:t>
      </w:r>
      <w:r>
        <w:t xml:space="preserve">(matching the</w:t>
      </w:r>
      <w:r>
        <w:t xml:space="preserve"> </w:t>
      </w:r>
      <w:r>
        <w:rPr>
          <w:rStyle w:val="VerbatimChar"/>
        </w:rPr>
        <w:t xml:space="preserve">&lt;ID&gt;_tumor_vs_&lt;ID&gt;_spleen</w:t>
      </w:r>
      <w:r>
        <w:t xml:space="preserve"> </w:t>
      </w:r>
      <w:r>
        <w:t xml:space="preserve">convention) were processed. Filtered variants from each sample were saved as individual CSV files (</w:t>
      </w:r>
      <w:r>
        <w:rPr>
          <w:rStyle w:val="VerbatimChar"/>
        </w:rPr>
        <w:t xml:space="preserve">&lt;sample&gt;_filtered.csv</w:t>
      </w:r>
      <w:r>
        <w:t xml:space="preserve">) and concatenated into a combined file (</w:t>
      </w:r>
      <w:r>
        <w:rPr>
          <w:rStyle w:val="VerbatimChar"/>
        </w:rPr>
        <w:t xml:space="preserve">all_samples_filtered.csv</w:t>
      </w:r>
      <w:r>
        <w:t xml:space="preserve">) using</w:t>
      </w:r>
      <w:r>
        <w:t xml:space="preserve"> </w:t>
      </w:r>
      <w:r>
        <w:rPr>
          <w:rStyle w:val="VerbatimChar"/>
        </w:rPr>
        <w:t xml:space="preserve">pd.concat()</w:t>
      </w:r>
      <w:r>
        <w:t xml:space="preserve"> </w:t>
      </w:r>
      <w:r>
        <w:t xml:space="preserve">with sample names as hierarchical index keys.</w:t>
      </w:r>
    </w:p>
    <w:bookmarkEnd w:id="11"/>
    <w:bookmarkStart w:id="12" w:name="mutational-signature-analysis"/>
    <w:p>
      <w:pPr>
        <w:pStyle w:val="Heading2"/>
      </w:pPr>
      <w:r>
        <w:t xml:space="preserve">4. Mutational Signature Analysis</w:t>
      </w:r>
    </w:p>
    <w:p>
      <w:pPr>
        <w:pStyle w:val="FirstParagraph"/>
      </w:pPr>
      <w:r>
        <w:t xml:space="preserve">COSMIC mutational signatures were assigned using SigProfilerAssignment (</w:t>
      </w:r>
      <w:r>
        <w:rPr>
          <w:rStyle w:val="VerbatimChar"/>
        </w:rPr>
        <w:t xml:space="preserve">02_cosmic_signatures.py</w:t>
      </w:r>
      <w:r>
        <w:t xml:space="preserve">). The</w:t>
      </w:r>
      <w:r>
        <w:t xml:space="preserve"> </w:t>
      </w:r>
      <w:r>
        <w:rPr>
          <w:rStyle w:val="VerbatimChar"/>
        </w:rPr>
        <w:t xml:space="preserve">Analyzer.cosmic_fit()</w:t>
      </w:r>
      <w:r>
        <w:t xml:space="preserve"> </w:t>
      </w:r>
      <w:r>
        <w:t xml:space="preserve">function was called with the following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input_type</w:t>
            </w:r>
          </w:p>
        </w:tc>
        <w:tc>
          <w:tcPr/>
          <w:p>
            <w:pPr>
              <w:pStyle w:val="Compact"/>
            </w:pPr>
            <w:r>
              <w:rPr>
                <w:rStyle w:val="VerbatimChar"/>
              </w:rPr>
              <w:t xml:space="preserve">"vcf"</w:t>
            </w:r>
          </w:p>
        </w:tc>
      </w:tr>
      <w:tr>
        <w:tc>
          <w:tcPr/>
          <w:p>
            <w:pPr>
              <w:pStyle w:val="Compact"/>
            </w:pPr>
            <w:r>
              <w:rPr>
                <w:rStyle w:val="VerbatimChar"/>
              </w:rPr>
              <w:t xml:space="preserve">context_type</w:t>
            </w:r>
          </w:p>
        </w:tc>
        <w:tc>
          <w:tcPr/>
          <w:p>
            <w:pPr>
              <w:pStyle w:val="Compact"/>
            </w:pPr>
            <w:r>
              <w:rPr>
                <w:rStyle w:val="VerbatimChar"/>
              </w:rPr>
              <w:t xml:space="preserve">"96"</w:t>
            </w:r>
            <w:r>
              <w:t xml:space="preserve"> </w:t>
            </w:r>
            <w:r>
              <w:t xml:space="preserve">(trinucleotide context, SBS)</w:t>
            </w:r>
          </w:p>
        </w:tc>
      </w:tr>
      <w:tr>
        <w:tc>
          <w:tcPr/>
          <w:p>
            <w:pPr>
              <w:pStyle w:val="Compact"/>
            </w:pPr>
            <w:r>
              <w:rPr>
                <w:rStyle w:val="VerbatimChar"/>
              </w:rPr>
              <w:t xml:space="preserve">genome_build</w:t>
            </w:r>
          </w:p>
        </w:tc>
        <w:tc>
          <w:tcPr/>
          <w:p>
            <w:pPr>
              <w:pStyle w:val="Compact"/>
            </w:pPr>
            <w:r>
              <w:rPr>
                <w:rStyle w:val="VerbatimChar"/>
              </w:rPr>
              <w:t xml:space="preserve">"rn6"</w:t>
            </w:r>
            <w:r>
              <w:t xml:space="preserve"> </w:t>
            </w:r>
            <w:r>
              <w:t xml:space="preserve">(rat genome, Rnor_6.0)</w:t>
            </w:r>
          </w:p>
        </w:tc>
      </w:tr>
      <w:tr>
        <w:tc>
          <w:tcPr/>
          <w:p>
            <w:pPr>
              <w:pStyle w:val="Compact"/>
            </w:pPr>
            <w:r>
              <w:rPr>
                <w:rStyle w:val="VerbatimChar"/>
              </w:rPr>
              <w:t xml:space="preserve">cosmic_version</w:t>
            </w:r>
          </w:p>
        </w:tc>
        <w:tc>
          <w:tcPr/>
          <w:p>
            <w:pPr>
              <w:pStyle w:val="Compact"/>
            </w:pPr>
            <w:r>
              <w:rPr>
                <w:rStyle w:val="VerbatimChar"/>
              </w:rPr>
              <w:t xml:space="preserve">3.4</w:t>
            </w:r>
          </w:p>
        </w:tc>
      </w:tr>
    </w:tbl>
    <w:p>
      <w:pPr>
        <w:pStyle w:val="BodyText"/>
      </w:pPr>
      <w:r>
        <w:t xml:space="preserve">The function performed signature decomposition by fitting observed trinucleotide mutation spectra to the COSMIC v3.4 single base substitution (SBS) reference signatures. Genome-wide trinucleotide context frequencies were used for normalization (</w:t>
      </w:r>
      <w:r>
        <w:rPr>
          <w:rStyle w:val="VerbatimChar"/>
        </w:rPr>
        <w:t xml:space="preserve">exome=False</w:t>
      </w:r>
      <w:r>
        <w:t xml:space="preserve">); exome-specific normalization (</w:t>
      </w:r>
      <w:r>
        <w:rPr>
          <w:rStyle w:val="VerbatimChar"/>
        </w:rPr>
        <w:t xml:space="preserve">exome=True</w:t>
      </w:r>
      <w:r>
        <w:t xml:space="preserve">) was not applied because SigProfilerMatrixGenerator’s exome downsampling is non-functional for the rn6 rat genome (the exome interval file uses UCSC-style chromosome naming incompatible with the NCBI-style VCFs, and the downsampling step hangs after matrix generation). This means signature weights reflect whole-genome context rather than exome-specific context. Because exonic regions are GC-enriched relative to the genome, GC-associated signatures (e.g., SBS1, CpG deamination) may be modestly underweighted. However, since all six samples share this bias uniformly, relative comparisons between young and old groups are unaffected. Input VCF files were read directly from the shared input directory.</w:t>
      </w:r>
    </w:p>
    <w:p>
      <w:pPr>
        <w:pStyle w:val="BodyText"/>
      </w:pPr>
      <w:r>
        <w:t xml:space="preserve">After fitting, the script parsed the SigProfiler output file (</w:t>
      </w:r>
      <w:r>
        <w:rPr>
          <w:rStyle w:val="VerbatimChar"/>
        </w:rPr>
        <w:t xml:space="preserve">Assignment_Solution/Activities/Assignment_Solution_Activities.txt</w:t>
      </w:r>
      <w:r>
        <w:t xml:space="preserve">), removed signatures with zero activity across all samples, and annotated each sample with its age group (Old or Young) based on a hardcoded ID-to-group mapping. Results were saved to</w:t>
      </w:r>
      <w:r>
        <w:t xml:space="preserve"> </w:t>
      </w:r>
      <w:r>
        <w:rPr>
          <w:rStyle w:val="VerbatimChar"/>
        </w:rPr>
        <w:t xml:space="preserve">cosmic_signatures.csv</w:t>
      </w:r>
      <w:r>
        <w:t xml:space="preserve">.</w:t>
      </w:r>
    </w:p>
    <w:p>
      <w:pPr>
        <w:pStyle w:val="BodyText"/>
      </w:pPr>
      <w:r>
        <w:t xml:space="preserve">A stacked bar chart was generated showing signature activities per sample. Samples were ordered with Young first (descending numeric ID: 167, 158, 157) then Old (descending: 116, 107, 102). Display labels appended an age suffix (e.g.,</w:t>
      </w:r>
      <w:r>
        <w:t xml:space="preserve"> </w:t>
      </w:r>
      <w:r>
        <w:rPr>
          <w:rStyle w:val="VerbatimChar"/>
        </w:rPr>
        <w:t xml:space="preserve">"157_Y"</w:t>
      </w:r>
      <w:r>
        <w:t xml:space="preserve">,</w:t>
      </w:r>
      <w:r>
        <w:t xml:space="preserve"> </w:t>
      </w:r>
      <w:r>
        <w:rPr>
          <w:rStyle w:val="VerbatimChar"/>
        </w:rPr>
        <w:t xml:space="preserve">"102_O"</w:t>
      </w:r>
      <w:r>
        <w:t xml:space="preserve">). The figure used the</w:t>
      </w:r>
      <w:r>
        <w:t xml:space="preserve"> </w:t>
      </w:r>
      <w:r>
        <w:rPr>
          <w:rStyle w:val="VerbatimChar"/>
        </w:rPr>
        <w:t xml:space="preserve">tab10</w:t>
      </w:r>
      <w:r>
        <w:t xml:space="preserve"> </w:t>
      </w:r>
      <w:r>
        <w:t xml:space="preserve">colormap,</w:t>
      </w:r>
      <w:r>
        <w:t xml:space="preserve"> </w:t>
      </w:r>
      <w:r>
        <w:rPr>
          <w:rStyle w:val="VerbatimChar"/>
        </w:rPr>
        <w:t xml:space="preserve">figsize=(14, 8)</w:t>
      </w:r>
      <w:r>
        <w:t xml:space="preserve">, axis label font size 18, tick font size 14/12, and was saved as both SVG and PNG (300 DPI).</w:t>
      </w:r>
    </w:p>
    <w:bookmarkEnd w:id="12"/>
    <w:bookmarkStart w:id="16" w:name="oncoplot-generation"/>
    <w:p>
      <w:pPr>
        <w:pStyle w:val="Heading2"/>
      </w:pPr>
      <w:r>
        <w:t xml:space="preserve">5. Oncoplot Generation</w:t>
      </w:r>
    </w:p>
    <w:p>
      <w:pPr>
        <w:pStyle w:val="FirstParagraph"/>
      </w:pPr>
      <w:r>
        <w:t xml:space="preserve">An oncoplot was generated from the filtered variant data (</w:t>
      </w:r>
      <w:r>
        <w:rPr>
          <w:rStyle w:val="VerbatimChar"/>
        </w:rPr>
        <w:t xml:space="preserve">03_generate_oncoplot.py</w:t>
      </w:r>
      <w:r>
        <w:t xml:space="preserve">) through the following steps:</w:t>
      </w:r>
    </w:p>
    <w:bookmarkStart w:id="13" w:name="rat-to-human-gene-mapping"/>
    <w:p>
      <w:pPr>
        <w:pStyle w:val="Heading3"/>
      </w:pPr>
      <w:r>
        <w:t xml:space="preserve">5.1 Rat-to-Human Gene Mapping</w:t>
      </w:r>
    </w:p>
    <w:p>
      <w:pPr>
        <w:pStyle w:val="FirstParagraph"/>
      </w:pPr>
      <w:r>
        <w:t xml:space="preserve">Rat Ensembl gene IDs were mapped to human gene symbols via a two-step BioMart query using the</w:t>
      </w:r>
      <w:r>
        <w:t xml:space="preserve"> </w:t>
      </w:r>
      <w:r>
        <w:rPr>
          <w:rStyle w:val="VerbatimChar"/>
        </w:rPr>
        <w:t xml:space="preserve">pybiomart</w:t>
      </w:r>
      <w:r>
        <w:t xml:space="preserve"> </w:t>
      </w:r>
      <w:r>
        <w:t xml:space="preserve">Python package:</w:t>
      </w:r>
    </w:p>
    <w:p>
      <w:pPr>
        <w:pStyle w:val="Compact"/>
        <w:numPr>
          <w:ilvl w:val="0"/>
          <w:numId w:val="1001"/>
        </w:numPr>
      </w:pPr>
      <w:r>
        <w:rPr>
          <w:b/>
          <w:bCs/>
        </w:rPr>
        <w:t xml:space="preserve">Homolog lookup</w:t>
      </w:r>
      <w:r>
        <w:t xml:space="preserve">: Rat gene IDs (</w:t>
      </w:r>
      <w:r>
        <w:rPr>
          <w:rStyle w:val="VerbatimChar"/>
        </w:rPr>
        <w:t xml:space="preserve">rnorvegicus_gene_ensembl</w:t>
      </w:r>
      <w:r>
        <w:t xml:space="preserve"> </w:t>
      </w:r>
      <w:r>
        <w:t xml:space="preserve">dataset) were queried for human homologs (</w:t>
      </w:r>
      <w:r>
        <w:rPr>
          <w:rStyle w:val="VerbatimChar"/>
        </w:rPr>
        <w:t xml:space="preserve">hsapiens_homolog_ensembl_gene</w:t>
      </w:r>
      <w:r>
        <w:t xml:space="preserve"> </w:t>
      </w:r>
      <w:r>
        <w:t xml:space="preserve">attribute). Queries were batched in chunks of 200 genes to avoid API timeouts.</w:t>
      </w:r>
    </w:p>
    <w:p>
      <w:pPr>
        <w:pStyle w:val="Compact"/>
        <w:numPr>
          <w:ilvl w:val="0"/>
          <w:numId w:val="1001"/>
        </w:numPr>
      </w:pPr>
      <w:r>
        <w:rPr>
          <w:b/>
          <w:bCs/>
        </w:rPr>
        <w:t xml:space="preserve">Symbol resolution</w:t>
      </w:r>
      <w:r>
        <w:t xml:space="preserve">: The resulting human Ensembl IDs were queried against the</w:t>
      </w:r>
      <w:r>
        <w:t xml:space="preserve"> </w:t>
      </w:r>
      <w:r>
        <w:rPr>
          <w:rStyle w:val="VerbatimChar"/>
        </w:rPr>
        <w:t xml:space="preserve">hsapiens_gene_ensembl</w:t>
      </w:r>
      <w:r>
        <w:t xml:space="preserve"> </w:t>
      </w:r>
      <w:r>
        <w:t xml:space="preserve">dataset for</w:t>
      </w:r>
      <w:r>
        <w:t xml:space="preserve"> </w:t>
      </w:r>
      <w:r>
        <w:rPr>
          <w:rStyle w:val="VerbatimChar"/>
        </w:rPr>
        <w:t xml:space="preserve">external_gene_name</w:t>
      </w:r>
      <w:r>
        <w:t xml:space="preserve"> </w:t>
      </w:r>
      <w:r>
        <w:t xml:space="preserve">attributes, also in chunks of 200.</w:t>
      </w:r>
    </w:p>
    <w:p>
      <w:pPr>
        <w:pStyle w:val="FirstParagraph"/>
      </w:pPr>
      <w:r>
        <w:t xml:space="preserve">Results were cached to</w:t>
      </w:r>
      <w:r>
        <w:t xml:space="preserve"> </w:t>
      </w:r>
      <w:r>
        <w:rPr>
          <w:rStyle w:val="VerbatimChar"/>
        </w:rPr>
        <w:t xml:space="preserve">homolog_cache.csv</w:t>
      </w:r>
      <w:r>
        <w:t xml:space="preserve"> </w:t>
      </w:r>
      <w:r>
        <w:t xml:space="preserve">to avoid redundant API calls on re-runs. Genes without a human homolog or without a resolved symbol were excluded.</w:t>
      </w:r>
    </w:p>
    <w:bookmarkEnd w:id="13"/>
    <w:bookmarkStart w:id="14" w:name="cancer-gene-filtering"/>
    <w:p>
      <w:pPr>
        <w:pStyle w:val="Heading3"/>
      </w:pPr>
      <w:r>
        <w:t xml:space="preserve">5.2 Cancer Gene Filtering</w:t>
      </w:r>
    </w:p>
    <w:p>
      <w:pPr>
        <w:pStyle w:val="FirstParagraph"/>
      </w:pPr>
      <w:r>
        <w:t xml:space="preserve">Mapped variants were filtered against a curated breast cancer gene list (</w:t>
      </w:r>
      <w:r>
        <w:rPr>
          <w:rStyle w:val="VerbatimChar"/>
        </w:rPr>
        <w:t xml:space="preserve">data/brca_genelist.csv</w:t>
      </w:r>
      <w:r>
        <w:t xml:space="preserve">, 229 entries plus header, containing 201 unique genes after deduplication). The gene list contained two columns:</w:t>
      </w:r>
      <w:r>
        <w:t xml:space="preserve"> </w:t>
      </w:r>
      <w:r>
        <w:rPr>
          <w:rStyle w:val="VerbatimChar"/>
        </w:rPr>
        <w:t xml:space="preserve">Gene</w:t>
      </w:r>
      <w:r>
        <w:t xml:space="preserve"> </w:t>
      </w:r>
      <w:r>
        <w:t xml:space="preserve">(human gene symbol) and</w:t>
      </w:r>
      <w:r>
        <w:t xml:space="preserve"> </w:t>
      </w:r>
      <w:r>
        <w:rPr>
          <w:rStyle w:val="VerbatimChar"/>
        </w:rPr>
        <w:t xml:space="preserve">Cancer</w:t>
      </w:r>
      <w:r>
        <w:t xml:space="preserve"> </w:t>
      </w:r>
      <w:r>
        <w:t xml:space="preserve">(cancer type annotation, e.g.,</w:t>
      </w:r>
      <w:r>
        <w:t xml:space="preserve"> </w:t>
      </w:r>
      <w:r>
        <w:rPr>
          <w:rStyle w:val="VerbatimChar"/>
        </w:rPr>
        <w:t xml:space="preserve">"PANCAN"</w:t>
      </w:r>
      <w:r>
        <w:t xml:space="preserve">). The 28 duplicated gene symbols (e.g., AKT1) arise from genes annotated under multiple cancer types. The script converts the gene column to a</w:t>
      </w:r>
      <w:r>
        <w:t xml:space="preserve"> </w:t>
      </w:r>
      <w:r>
        <w:rPr>
          <w:rStyle w:val="VerbatimChar"/>
        </w:rPr>
        <w:t xml:space="preserve">set</w:t>
      </w:r>
      <w:r>
        <w:t xml:space="preserve">, so duplicates do not affect filtering. Only variants whose human gene symbol appeared in this set were retained for the oncoplot.</w:t>
      </w:r>
    </w:p>
    <w:bookmarkEnd w:id="14"/>
    <w:bookmarkStart w:id="15" w:name="oncoplot-construction"/>
    <w:p>
      <w:pPr>
        <w:pStyle w:val="Heading3"/>
      </w:pPr>
      <w:r>
        <w:t xml:space="preserve">5.3 Oncoplot Construction</w:t>
      </w:r>
    </w:p>
    <w:p>
      <w:pPr>
        <w:pStyle w:val="FirstParagraph"/>
      </w:pPr>
      <w:r>
        <w:t xml:space="preserve">The oncoplot was constructed as follows:</w:t>
      </w:r>
    </w:p>
    <w:p>
      <w:pPr>
        <w:pStyle w:val="Compact"/>
        <w:numPr>
          <w:ilvl w:val="0"/>
          <w:numId w:val="1002"/>
        </w:numPr>
      </w:pPr>
      <w:r>
        <w:rPr>
          <w:b/>
          <w:bCs/>
        </w:rPr>
        <w:t xml:space="preserve">Impact prioritization</w:t>
      </w:r>
      <w:r>
        <w:t xml:space="preserve">: When a gene harbored multiple variants in the same sample, the variant with the highest impact was retained (HIGH &gt; MODERATE, priority values 1 and 2 respectively). Rows were sorted by</w:t>
      </w:r>
      <w:r>
        <w:t xml:space="preserve"> </w:t>
      </w:r>
      <w:r>
        <w:rPr>
          <w:rStyle w:val="VerbatimChar"/>
        </w:rPr>
        <w:t xml:space="preserve">['Sample', 'gene_symbol', 'IMPACT_PRIORITY']</w:t>
      </w:r>
      <w:r>
        <w:t xml:space="preserve"> </w:t>
      </w:r>
      <w:r>
        <w:t xml:space="preserve">and the first entry per gene-sample pair was kept via</w:t>
      </w:r>
      <w:r>
        <w:t xml:space="preserve"> </w:t>
      </w:r>
      <w:r>
        <w:rPr>
          <w:rStyle w:val="VerbatimChar"/>
        </w:rPr>
        <w:t xml:space="preserve">groupby().first()</w:t>
      </w:r>
      <w:r>
        <w:t xml:space="preserve">.</w:t>
      </w:r>
    </w:p>
    <w:p>
      <w:pPr>
        <w:pStyle w:val="Compact"/>
        <w:numPr>
          <w:ilvl w:val="0"/>
          <w:numId w:val="1002"/>
        </w:numPr>
      </w:pPr>
      <w:r>
        <w:rPr>
          <w:b/>
          <w:bCs/>
        </w:rPr>
        <w:t xml:space="preserve">Matrix pivoting</w:t>
      </w:r>
      <w:r>
        <w:t xml:space="preserve">: Data were pivoted to a gene-by-sample matrix with VEP consequence types as cell values (</w:t>
      </w:r>
      <w:r>
        <w:rPr>
          <w:rStyle w:val="VerbatimChar"/>
        </w:rPr>
        <w:t xml:space="preserve">pivot_table()</w:t>
      </w:r>
      <w:r>
        <w:t xml:space="preserve"> </w:t>
      </w:r>
      <w:r>
        <w:t xml:space="preserve">with</w:t>
      </w:r>
      <w:r>
        <w:t xml:space="preserve"> </w:t>
      </w:r>
      <w:r>
        <w:rPr>
          <w:rStyle w:val="VerbatimChar"/>
        </w:rPr>
        <w:t xml:space="preserve">aggfunc='first'</w:t>
      </w:r>
      <w:r>
        <w:t xml:space="preserve">).</w:t>
      </w:r>
    </w:p>
    <w:p>
      <w:pPr>
        <w:pStyle w:val="Compact"/>
        <w:numPr>
          <w:ilvl w:val="0"/>
          <w:numId w:val="1002"/>
        </w:numPr>
      </w:pPr>
      <w:r>
        <w:rPr>
          <w:b/>
          <w:bCs/>
        </w:rPr>
        <w:t xml:space="preserve">Gene ordering</w:t>
      </w:r>
      <w:r>
        <w:t xml:space="preserve">: Genes were sorted by mutation frequency (number of samples with a non-null entry) in descending order.</w:t>
      </w:r>
    </w:p>
    <w:p>
      <w:pPr>
        <w:pStyle w:val="Compact"/>
        <w:numPr>
          <w:ilvl w:val="0"/>
          <w:numId w:val="1002"/>
        </w:numPr>
      </w:pPr>
      <w:r>
        <w:rPr>
          <w:b/>
          <w:bCs/>
        </w:rPr>
        <w:t xml:space="preserve">Sample ordering</w:t>
      </w:r>
      <w:r>
        <w:t xml:space="preserve">: Samples were ordered with Young first (descending numeric ID), then Old (descending numeric ID).</w:t>
      </w:r>
    </w:p>
    <w:p>
      <w:pPr>
        <w:pStyle w:val="Compact"/>
        <w:numPr>
          <w:ilvl w:val="0"/>
          <w:numId w:val="1002"/>
        </w:numPr>
      </w:pPr>
      <w:r>
        <w:rPr>
          <w:b/>
          <w:bCs/>
        </w:rPr>
        <w:t xml:space="preserve">Visualization</w:t>
      </w:r>
      <w:r>
        <w:t xml:space="preserve">: The consequence matrix was encoded numerically (unique consequence types mapped to integers 1..N, 0 for wild-type), rendered as a heatmap via</w:t>
      </w:r>
      <w:r>
        <w:t xml:space="preserve"> </w:t>
      </w:r>
      <w:r>
        <w:rPr>
          <w:rStyle w:val="VerbatimChar"/>
        </w:rPr>
        <w:t xml:space="preserve">seaborn.heatmap()</w:t>
      </w:r>
      <w:r>
        <w:t xml:space="preserve"> </w:t>
      </w:r>
      <w:r>
        <w:t xml:space="preserve">with a custom Wong colorblind-safe palette (white for wild-type, followed by blue, vermillion, green, pink, sky blue, yellow, amber, black, and gray), 0.5-width gray gridlines, and a categorical legend. Figure height scaled dynamically as</w:t>
      </w:r>
      <w:r>
        <w:t xml:space="preserve"> </w:t>
      </w:r>
      <w:r>
        <w:rPr>
          <w:rStyle w:val="VerbatimChar"/>
        </w:rPr>
        <w:t xml:space="preserve">max(num_genes * 0.4, 6)</w:t>
      </w:r>
      <w:r>
        <w:t xml:space="preserve"> </w:t>
      </w:r>
      <w:r>
        <w:t xml:space="preserve">with fixed width of 10. Output was saved as SVG and PNG (300 DPI).</w:t>
      </w:r>
    </w:p>
    <w:p>
      <w:pPr>
        <w:pStyle w:val="FirstParagraph"/>
      </w:pPr>
      <w:r>
        <w:t xml:space="preserve">X-axis labels displayed sample IDs with age suffixes (e.g.,</w:t>
      </w:r>
      <w:r>
        <w:t xml:space="preserve"> </w:t>
      </w:r>
      <w:r>
        <w:rPr>
          <w:rStyle w:val="VerbatimChar"/>
        </w:rPr>
        <w:t xml:space="preserve">"167_Y"</w:t>
      </w:r>
      <w:r>
        <w:t xml:space="preserve">,</w:t>
      </w:r>
      <w:r>
        <w:t xml:space="preserve"> </w:t>
      </w:r>
      <w:r>
        <w:rPr>
          <w:rStyle w:val="VerbatimChar"/>
        </w:rPr>
        <w:t xml:space="preserve">"102_O"</w:t>
      </w:r>
      <w:r>
        <w:t xml:space="preserve">).</w:t>
      </w:r>
    </w:p>
    <w:bookmarkEnd w:id="15"/>
    <w:bookmarkEnd w:id="16"/>
    <w:bookmarkStart w:id="17" w:name="pipeline-orchestration"/>
    <w:p>
      <w:pPr>
        <w:pStyle w:val="Heading2"/>
      </w:pPr>
      <w:r>
        <w:t xml:space="preserve">6. Pipeline Orchestration</w:t>
      </w:r>
    </w:p>
    <w:p>
      <w:pPr>
        <w:pStyle w:val="FirstParagraph"/>
      </w:pPr>
      <w:r>
        <w:t xml:space="preserve">The analysis pipeline was orchestrated via</w:t>
      </w:r>
      <w:r>
        <w:t xml:space="preserve"> </w:t>
      </w:r>
      <w:r>
        <w:rPr>
          <w:rStyle w:val="VerbatimChar"/>
        </w:rPr>
        <w:t xml:space="preserve">run_analysis.sbatch</w:t>
      </w:r>
      <w:r>
        <w:t xml:space="preserve">, which executed steps 01 through 03 sequentially under the</w:t>
      </w:r>
      <w:r>
        <w:t xml:space="preserve"> </w:t>
      </w:r>
      <w:r>
        <w:rPr>
          <w:rStyle w:val="VerbatimChar"/>
        </w:rPr>
        <w:t xml:space="preserve">aging_wes</w:t>
      </w:r>
      <w:r>
        <w:t xml:space="preserve"> </w:t>
      </w:r>
      <w:r>
        <w:t xml:space="preserve">conda environment. The SLURM job requested 8 CPUs, 32 GB memory, and an 8-hour time limit. VEP annotation (</w:t>
      </w:r>
      <w:r>
        <w:rPr>
          <w:rStyle w:val="VerbatimChar"/>
        </w:rPr>
        <w:t xml:space="preserve">00_run_vep.sbatch</w:t>
      </w:r>
      <w:r>
        <w:t xml:space="preserve">) was submitted as a separate job (4 CPUs, 16 GB, 2-hour limit) and was a prerequisite for the main pipeline. Upon completion, a marker file (</w:t>
      </w:r>
      <w:r>
        <w:rPr>
          <w:rStyle w:val="VerbatimChar"/>
        </w:rPr>
        <w:t xml:space="preserve">.pipeline_markers/03_rat_wes.complete</w:t>
      </w:r>
      <w:r>
        <w:t xml:space="preserve">) was written with the job ID and UTC timestamp.</w:t>
      </w:r>
    </w:p>
    <w:bookmarkEnd w:id="17"/>
    <w:bookmarkStart w:id="18" w:name="software-versions"/>
    <w:p>
      <w:pPr>
        <w:pStyle w:val="Heading2"/>
      </w:pPr>
      <w:r>
        <w:t xml:space="preserve">7. Software Versions</w:t>
      </w:r>
    </w:p>
    <w:p>
      <w:pPr>
        <w:pStyle w:val="FirstParagraph"/>
      </w:pPr>
      <w:r>
        <w:t xml:space="preserve">From the</w:t>
      </w:r>
      <w:r>
        <w:t xml:space="preserve"> </w:t>
      </w:r>
      <w:r>
        <w:rPr>
          <w:rStyle w:val="VerbatimChar"/>
        </w:rPr>
        <w:t xml:space="preserve">aging_wes</w:t>
      </w:r>
      <w:r>
        <w:t xml:space="preserve"> </w:t>
      </w:r>
      <w:r>
        <w:t xml:space="preserve">conda environment (activated by path in</w:t>
      </w:r>
      <w:r>
        <w:t xml:space="preserve"> </w:t>
      </w:r>
      <w:r>
        <w:rPr>
          <w:rStyle w:val="VerbatimChar"/>
        </w:rPr>
        <w:t xml:space="preserve">run_analysis.sbatch</w:t>
      </w:r>
      <w:r>
        <w:t xml:space="preserve">), with runtime versions recorded by SigProfiler metadata (</w:t>
      </w:r>
      <w:r>
        <w:rPr>
          <w:rStyle w:val="VerbatimChar"/>
        </w:rPr>
        <w:t xml:space="preserve">outputs/sigprofiler/JOB_METADATA_SPA.txt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Source</w:t>
            </w:r>
          </w:p>
        </w:tc>
      </w:tr>
      <w:tr>
        <w:tc>
          <w:tcPr/>
          <w:p>
            <w:pPr>
              <w:pStyle w:val="Compact"/>
            </w:pPr>
            <w:r>
              <w:t xml:space="preserve">Python</w:t>
            </w:r>
          </w:p>
        </w:tc>
        <w:tc>
          <w:tcPr/>
          <w:p>
            <w:pPr>
              <w:pStyle w:val="Compact"/>
            </w:pPr>
            <w:r>
              <w:t xml:space="preserve">3.9.19</w:t>
            </w:r>
          </w:p>
        </w:tc>
        <w:tc>
          <w:tcPr/>
          <w:p>
            <w:pPr>
              <w:pStyle w:val="Compact"/>
            </w:pPr>
            <w:r>
              <w:t xml:space="preserve">conda-forge</w:t>
            </w:r>
          </w:p>
        </w:tc>
      </w:tr>
      <w:tr>
        <w:tc>
          <w:tcPr/>
          <w:p>
            <w:pPr>
              <w:pStyle w:val="Compact"/>
            </w:pPr>
            <w:r>
              <w:t xml:space="preserve">pandas</w:t>
            </w:r>
          </w:p>
        </w:tc>
        <w:tc>
          <w:tcPr/>
          <w:p>
            <w:pPr>
              <w:pStyle w:val="Compact"/>
            </w:pPr>
            <w:r>
              <w:t xml:space="preserve">1.3.5</w:t>
            </w:r>
          </w:p>
        </w:tc>
        <w:tc>
          <w:tcPr/>
          <w:p>
            <w:pPr>
              <w:pStyle w:val="Compact"/>
            </w:pPr>
            <w:r>
              <w:t xml:space="preserve">conda-forge</w:t>
            </w:r>
          </w:p>
        </w:tc>
      </w:tr>
      <w:tr>
        <w:tc>
          <w:tcPr/>
          <w:p>
            <w:pPr>
              <w:pStyle w:val="Compact"/>
            </w:pPr>
            <w:r>
              <w:t xml:space="preserve">numpy</w:t>
            </w:r>
          </w:p>
        </w:tc>
        <w:tc>
          <w:tcPr/>
          <w:p>
            <w:pPr>
              <w:pStyle w:val="Compact"/>
            </w:pPr>
            <w:r>
              <w:t xml:space="preserve">1.26.4</w:t>
            </w:r>
          </w:p>
        </w:tc>
        <w:tc>
          <w:tcPr/>
          <w:p>
            <w:pPr>
              <w:pStyle w:val="Compact"/>
            </w:pPr>
            <w:r>
              <w:t xml:space="preserve">conda-forge</w:t>
            </w:r>
          </w:p>
        </w:tc>
      </w:tr>
      <w:tr>
        <w:tc>
          <w:tcPr/>
          <w:p>
            <w:pPr>
              <w:pStyle w:val="Compact"/>
            </w:pPr>
            <w:r>
              <w:t xml:space="preserve">matplotlib</w:t>
            </w:r>
          </w:p>
        </w:tc>
        <w:tc>
          <w:tcPr/>
          <w:p>
            <w:pPr>
              <w:pStyle w:val="Compact"/>
            </w:pPr>
            <w:r>
              <w:t xml:space="preserve">(not pinned)</w:t>
            </w:r>
          </w:p>
        </w:tc>
        <w:tc>
          <w:tcPr/>
          <w:p>
            <w:pPr>
              <w:pStyle w:val="Compact"/>
            </w:pPr>
            <w:r>
              <w:t xml:space="preserve">conda-forge</w:t>
            </w:r>
          </w:p>
        </w:tc>
      </w:tr>
      <w:tr>
        <w:tc>
          <w:tcPr/>
          <w:p>
            <w:pPr>
              <w:pStyle w:val="Compact"/>
            </w:pPr>
            <w:r>
              <w:t xml:space="preserve">seaborn</w:t>
            </w:r>
          </w:p>
        </w:tc>
        <w:tc>
          <w:tcPr/>
          <w:p>
            <w:pPr>
              <w:pStyle w:val="Compact"/>
            </w:pPr>
            <w:r>
              <w:t xml:space="preserve">(not pinned)</w:t>
            </w:r>
          </w:p>
        </w:tc>
        <w:tc>
          <w:tcPr/>
          <w:p>
            <w:pPr>
              <w:pStyle w:val="Compact"/>
            </w:pPr>
            <w:r>
              <w:t xml:space="preserve">conda-forge</w:t>
            </w:r>
          </w:p>
        </w:tc>
      </w:tr>
    </w:tbl>
    <w:p>
      <w:pPr>
        <w:pStyle w:val="BodyText"/>
      </w:pPr>
      <w:r>
        <w:t xml:space="preserve">Additional dependencies not in</w:t>
      </w:r>
      <w:r>
        <w:t xml:space="preserve"> </w:t>
      </w:r>
      <w:r>
        <w:rPr>
          <w:rStyle w:val="VerbatimChar"/>
        </w:rPr>
        <w:t xml:space="preserve">environment.yml</w:t>
      </w:r>
      <w:r>
        <w:t xml:space="preserve"> </w:t>
      </w:r>
      <w:r>
        <w:t xml:space="preserve">but required by the scripts:</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Notes</w:t>
            </w:r>
          </w:p>
        </w:tc>
      </w:tr>
      <w:tr>
        <w:tc>
          <w:tcPr/>
          <w:p>
            <w:pPr>
              <w:pStyle w:val="Compact"/>
            </w:pPr>
            <w:r>
              <w:t xml:space="preserve">Ensembl VEP</w:t>
            </w:r>
          </w:p>
        </w:tc>
        <w:tc>
          <w:tcPr/>
          <w:p>
            <w:pPr>
              <w:pStyle w:val="Compact"/>
            </w:pPr>
            <w:r>
              <w:t xml:space="preserve">114.2</w:t>
            </w:r>
          </w:p>
        </w:tc>
        <w:tc>
          <w:tcPr/>
          <w:p>
            <w:pPr>
              <w:pStyle w:val="Compact"/>
            </w:pPr>
            <w:r>
              <w:t xml:space="preserve">Loaded via</w:t>
            </w:r>
            <w:r>
              <w:t xml:space="preserve"> </w:t>
            </w:r>
            <w:r>
              <w:rPr>
                <w:rStyle w:val="VerbatimChar"/>
              </w:rPr>
              <w:t xml:space="preserve">module load ensembl-vep/114.2</w:t>
            </w:r>
          </w:p>
        </w:tc>
      </w:tr>
      <w:tr>
        <w:tc>
          <w:tcPr/>
          <w:p>
            <w:pPr>
              <w:pStyle w:val="Compact"/>
            </w:pPr>
            <w:r>
              <w:t xml:space="preserve">VEP cache</w:t>
            </w:r>
          </w:p>
        </w:tc>
        <w:tc>
          <w:tcPr/>
          <w:p>
            <w:pPr>
              <w:pStyle w:val="Compact"/>
            </w:pPr>
            <w:r>
              <w:t xml:space="preserve">104</w:t>
            </w:r>
          </w:p>
        </w:tc>
        <w:tc>
          <w:tcPr/>
          <w:p>
            <w:pPr>
              <w:pStyle w:val="Compact"/>
            </w:pPr>
            <w:r>
              <w:t xml:space="preserve">Rnor_6.0, offline cache</w:t>
            </w:r>
          </w:p>
        </w:tc>
      </w:tr>
      <w:tr>
        <w:tc>
          <w:tcPr/>
          <w:p>
            <w:pPr>
              <w:pStyle w:val="Compact"/>
            </w:pPr>
            <w:r>
              <w:t xml:space="preserve">SigProfilerAssignment</w:t>
            </w:r>
          </w:p>
        </w:tc>
        <w:tc>
          <w:tcPr/>
          <w:p>
            <w:pPr>
              <w:pStyle w:val="Compact"/>
            </w:pPr>
            <w:r>
              <w:t xml:space="preserve">(not pinned)</w:t>
            </w:r>
          </w:p>
        </w:tc>
        <w:tc>
          <w:tcPr/>
          <w:p>
            <w:pPr>
              <w:pStyle w:val="Compact"/>
            </w:pPr>
            <w:r>
              <w:rPr>
                <w:rStyle w:val="VerbatimChar"/>
              </w:rPr>
              <w:t xml:space="preserve">cosmic_fit()</w:t>
            </w:r>
            <w:r>
              <w:t xml:space="preserve"> </w:t>
            </w:r>
            <w:r>
              <w:t xml:space="preserve">with COSMIC v3.4</w:t>
            </w:r>
          </w:p>
        </w:tc>
      </w:tr>
      <w:tr>
        <w:tc>
          <w:tcPr/>
          <w:p>
            <w:pPr>
              <w:pStyle w:val="Compact"/>
            </w:pPr>
            <w:r>
              <w:t xml:space="preserve">pybiomart</w:t>
            </w:r>
          </w:p>
        </w:tc>
        <w:tc>
          <w:tcPr/>
          <w:p>
            <w:pPr>
              <w:pStyle w:val="Compact"/>
            </w:pPr>
            <w:r>
              <w:t xml:space="preserve">(not pinned)</w:t>
            </w:r>
          </w:p>
        </w:tc>
        <w:tc>
          <w:tcPr/>
          <w:p>
            <w:pPr>
              <w:pStyle w:val="Compact"/>
            </w:pPr>
            <w:r>
              <w:t xml:space="preserve">BioMart API queries</w:t>
            </w:r>
          </w:p>
        </w:tc>
      </w:tr>
    </w:tbl>
    <w:bookmarkEnd w:id="18"/>
    <w:bookmarkStart w:id="19" w:name="reproducibility-notes"/>
    <w:p>
      <w:pPr>
        <w:pStyle w:val="Heading2"/>
      </w:pPr>
      <w:r>
        <w:t xml:space="preserve">8. Reproducibility Notes</w:t>
      </w:r>
    </w:p>
    <w:p>
      <w:pPr>
        <w:pStyle w:val="Compact"/>
        <w:numPr>
          <w:ilvl w:val="0"/>
          <w:numId w:val="1003"/>
        </w:numPr>
      </w:pPr>
      <w:r>
        <w:rPr>
          <w:b/>
          <w:bCs/>
        </w:rPr>
        <w:t xml:space="preserve">Random seeds</w:t>
      </w:r>
      <w:r>
        <w:t xml:space="preserve">:</w:t>
      </w:r>
      <w:r>
        <w:t xml:space="preserve"> </w:t>
      </w:r>
      <w:r>
        <w:rPr>
          <w:rStyle w:val="VerbatimChar"/>
        </w:rPr>
        <w:t xml:space="preserve">np.random.seed(12345)</w:t>
      </w:r>
      <w:r>
        <w:t xml:space="preserve"> </w:t>
      </w:r>
      <w:r>
        <w:t xml:space="preserve">is set at the top of</w:t>
      </w:r>
      <w:r>
        <w:t xml:space="preserve"> </w:t>
      </w:r>
      <w:r>
        <w:rPr>
          <w:rStyle w:val="VerbatimChar"/>
        </w:rPr>
        <w:t xml:space="preserve">01_parse_vep.py</w:t>
      </w:r>
      <w:r>
        <w:t xml:space="preserve"> </w:t>
      </w:r>
      <w:r>
        <w:t xml:space="preserve">and</w:t>
      </w:r>
      <w:r>
        <w:t xml:space="preserve"> </w:t>
      </w:r>
      <w:r>
        <w:rPr>
          <w:rStyle w:val="VerbatimChar"/>
        </w:rPr>
        <w:t xml:space="preserve">02_cosmic_signatures.py</w:t>
      </w:r>
      <w:r>
        <w:t xml:space="preserve">, consistent with the project requirement.</w:t>
      </w:r>
    </w:p>
    <w:p>
      <w:pPr>
        <w:pStyle w:val="Compact"/>
        <w:numPr>
          <w:ilvl w:val="0"/>
          <w:numId w:val="1003"/>
        </w:numPr>
      </w:pPr>
      <w:r>
        <w:rPr>
          <w:b/>
          <w:bCs/>
        </w:rPr>
        <w:t xml:space="preserve">Caching</w:t>
      </w:r>
      <w:r>
        <w:t xml:space="preserve">: BioMart homolog queries were cached to</w:t>
      </w:r>
      <w:r>
        <w:t xml:space="preserve"> </w:t>
      </w:r>
      <w:r>
        <w:rPr>
          <w:rStyle w:val="VerbatimChar"/>
        </w:rPr>
        <w:t xml:space="preserve">outputs/homolog_cache.csv</w:t>
      </w:r>
      <w:r>
        <w:t xml:space="preserve">, making subsequent runs independent of external API state. SigProfiler was skipped on re-runs if its output file already existed.</w:t>
      </w:r>
    </w:p>
    <w:p>
      <w:pPr>
        <w:pStyle w:val="Compact"/>
        <w:numPr>
          <w:ilvl w:val="0"/>
          <w:numId w:val="1003"/>
        </w:numPr>
      </w:pPr>
      <w:r>
        <w:rPr>
          <w:b/>
          <w:bCs/>
        </w:rPr>
        <w:t xml:space="preserve">VEP version history</w:t>
      </w:r>
      <w:r>
        <w:t xml:space="preserve">: Results were regenerated with VEP v114.2 using the Ensembl release 104 cache (latest available for Rnor_6.0 assembly). The original analysis used VEP v95 with cache v95.</w:t>
      </w:r>
    </w:p>
    <w:p>
      <w:pPr>
        <w:pStyle w:val="Compact"/>
        <w:numPr>
          <w:ilvl w:val="0"/>
          <w:numId w:val="1003"/>
        </w:numPr>
      </w:pPr>
      <w:r>
        <w:rPr>
          <w:b/>
          <w:bCs/>
        </w:rPr>
        <w:t xml:space="preserve">Determinism</w:t>
      </w:r>
      <w:r>
        <w:t xml:space="preserve">: VEP annotation and VEP parsing are deterministic. SigProfilerAssignment’s internal optimization may not be deterministic without explicit seed control. BioMart query results may vary across Ensembl releases.</w:t>
      </w:r>
    </w:p>
    <w:p>
      <w:pPr>
        <w:pStyle w:val="Compact"/>
        <w:numPr>
          <w:ilvl w:val="0"/>
          <w:numId w:val="1003"/>
        </w:numPr>
      </w:pPr>
      <w:r>
        <w:rPr>
          <w:b/>
          <w:bCs/>
        </w:rPr>
        <w:t xml:space="preserve">Completion markers</w:t>
      </w:r>
      <w:r>
        <w:t xml:space="preserve">: The pipeline wrote a</w:t>
      </w:r>
      <w:r>
        <w:t xml:space="preserve"> </w:t>
      </w:r>
      <w:r>
        <w:rPr>
          <w:rStyle w:val="VerbatimChar"/>
        </w:rPr>
        <w:t xml:space="preserve">.pipeline_markers/03_rat_wes.complete</w:t>
      </w:r>
      <w:r>
        <w:t xml:space="preserve"> </w:t>
      </w:r>
      <w:r>
        <w:t xml:space="preserve">file upon successful completion, enabling downstream dependency checks.</w:t>
      </w:r>
    </w:p>
    <w:p>
      <w:pPr>
        <w:pStyle w:val="Compact"/>
        <w:numPr>
          <w:ilvl w:val="0"/>
          <w:numId w:val="1003"/>
        </w:numPr>
      </w:pPr>
      <w:r>
        <w:rPr>
          <w:b/>
          <w:bCs/>
        </w:rPr>
        <w:t xml:space="preserve">Output formats</w:t>
      </w:r>
      <w:r>
        <w:t xml:space="preserve">: Figures were saved in both SVG (vector) and PNG (300 DPI raster). Intermediate data were saved as CSV.</w:t>
      </w:r>
    </w:p>
    <w:p>
      <w:r>
        <w:pict>
          <v:rect style="width:0;height:1.5pt" o:hralign="center" o:hrstd="t" o:hr="t"/>
        </w:pict>
      </w:r>
    </w:p>
    <w:bookmarkEnd w:id="19"/>
    <w:bookmarkStart w:id="20" w:name="main-text-summary"/>
    <w:p>
      <w:pPr>
        <w:pStyle w:val="Heading2"/>
      </w:pPr>
      <w:r>
        <w:t xml:space="preserve">Main Text Summary</w:t>
      </w:r>
    </w:p>
    <w:p>
      <w:pPr>
        <w:pStyle w:val="FirstParagraph"/>
      </w:pPr>
      <w:r>
        <w:t xml:space="preserve">Somatic variants from whole exome sequencing of six rat mammary tumors (three young, three old; matched spleen germline controls) were annotated using Ensembl VEP v114.2 (Rnor_6.0 assembly, cache v104) and filtered for HIGH or MODERATE impact consequences on Ensembl-annotated genes. Mutational signatures were decomposed against COSMIC v3.4 SBS references using SigProfilerAssignment with 96-trinucleotide context on the rn6 genome. For oncoplot visualization, rat genes were mapped to human orthologs via BioMart and filtered against a curated panel of 201 unique cancer-associated genes. When multiple variants affected the same gene in a sample, the highest-impact consequence was retained. Samples were grouped by age and ordered by descending numeric ID within each group.</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2026-03-23T14:32:25Z</dcterms:created>
  <dcterms:modified xsi:type="dcterms:W3CDTF">2026-03-23T14:32:25Z</dcterms:modified>
</cp:coreProperties>
</file>

<file path=docProps/custom.xml><?xml version="1.0" encoding="utf-8"?>
<Properties xmlns="http://schemas.openxmlformats.org/officeDocument/2006/custom-properties" xmlns:vt="http://schemas.openxmlformats.org/officeDocument/2006/docPropsVTypes"/>
</file>