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a78c407d42ff2f3f20241310012ed57f045552"/>
    <w:p>
      <w:pPr>
        <w:pStyle w:val="Heading1"/>
      </w:pPr>
      <w:r>
        <w:t xml:space="preserve">Methods: Rat Bulk RNA-seq Analysis (Section 05)</w:t>
      </w:r>
    </w:p>
    <w:bookmarkStart w:id="9" w:name="data-acquisition"/>
    <w:p>
      <w:pPr>
        <w:pStyle w:val="Heading2"/>
      </w:pPr>
      <w:r>
        <w:t xml:space="preserve">1. Data Acquisition</w:t>
      </w:r>
    </w:p>
    <w:p>
      <w:pPr>
        <w:pStyle w:val="FirstParagraph"/>
      </w:pPr>
      <w:r>
        <w:t xml:space="preserve">Paired-end bulk RNA-seq data were generated from rat mammary tumors (GEO accession GSE276757). Raw FASTQ files were obtained from six tumor samples (102-FF-Tumor, 107-L4t2-Tumor, 116-R4-Tumor, 157-R2-Tumor, 158-L2-Tumor, 167-L2-Tumor) stored at</w:t>
      </w:r>
      <w:r>
        <w:t xml:space="preserve"> </w:t>
      </w:r>
      <w:r>
        <w:rPr>
          <w:rStyle w:val="VerbatimChar"/>
        </w:rPr>
        <w:t xml:space="preserve">/ix1/alee/LO_LAB/General/Lab_Data/20240622_Neil_Rahul_RNASeqRat</w:t>
      </w:r>
      <w:r>
        <w:t xml:space="preserve">. Sample phenotype assignments (CONTROL vs TEST) were defined in a metadata file (</w:t>
      </w:r>
      <w:r>
        <w:rPr>
          <w:rStyle w:val="VerbatimChar"/>
        </w:rPr>
        <w:t xml:space="preserve">data/rat_bulk_rnaseq/sample_metadata.csv</w:t>
      </w:r>
      <w:r>
        <w:t xml:space="preserve">), with TYPE encoded as a two-level factor (reference level: CONTROL).</w:t>
      </w:r>
    </w:p>
    <w:bookmarkEnd w:id="9"/>
    <w:bookmarkStart w:id="10" w:name="read-trimming"/>
    <w:p>
      <w:pPr>
        <w:pStyle w:val="Heading2"/>
      </w:pPr>
      <w:r>
        <w:t xml:space="preserve">2. Read Trimming</w:t>
      </w:r>
    </w:p>
    <w:p>
      <w:pPr>
        <w:pStyle w:val="FirstParagraph"/>
      </w:pPr>
      <w:r>
        <w:t xml:space="preserve">Raw paired-end reads were adapter-trimmed and quality-filtered using fastp v0.23.4 (</w:t>
      </w:r>
      <w:r>
        <w:rPr>
          <w:rStyle w:val="VerbatimChar"/>
        </w:rPr>
        <w:t xml:space="preserve">00_fastp_trim.sh</w:t>
      </w:r>
      <w:r>
        <w:t xml:space="preserve">). Adapter sequences were auto-detected for paired-end reads (</w:t>
      </w:r>
      <w:r>
        <w:rPr>
          <w:rStyle w:val="VerbatimChar"/>
        </w:rPr>
        <w:t xml:space="preserve">--detect_adapter_for_pe</w:t>
      </w:r>
      <w:r>
        <w:t xml:space="preserve">). Bases with Phred quality scores below 20 were trimmed (</w:t>
      </w:r>
      <w:r>
        <w:rPr>
          <w:rStyle w:val="VerbatimChar"/>
        </w:rPr>
        <w:t xml:space="preserve">--qualified_quality_phred 20</w:t>
      </w:r>
      <w:r>
        <w:t xml:space="preserve">), and reads shorter than 36 bp after trimming were discarded (</w:t>
      </w:r>
      <w:r>
        <w:rPr>
          <w:rStyle w:val="VerbatimChar"/>
        </w:rPr>
        <w:t xml:space="preserve">--length_required 36</w:t>
      </w:r>
      <w:r>
        <w:t xml:space="preserve">). Processing used 8 threads per sample. Per-sample HTML and JSON quality reports were generated.</w:t>
      </w:r>
    </w:p>
    <w:bookmarkEnd w:id="10"/>
    <w:bookmarkStart w:id="11" w:name="read-alignment"/>
    <w:p>
      <w:pPr>
        <w:pStyle w:val="Heading2"/>
      </w:pPr>
      <w:r>
        <w:t xml:space="preserve">3. Read Alignment</w:t>
      </w:r>
    </w:p>
    <w:p>
      <w:pPr>
        <w:pStyle w:val="FirstParagraph"/>
      </w:pPr>
      <w:r>
        <w:t xml:space="preserve">Trimmed reads were aligned to the rat genome (Rattus norvegicus, mRatBN7.2 assembly) using STAR v2.7.11b (</w:t>
      </w:r>
      <w:r>
        <w:rPr>
          <w:rStyle w:val="VerbatimChar"/>
        </w:rPr>
        <w:t xml:space="preserve">01_alignment.sh</w:t>
      </w:r>
      <w:r>
        <w:t xml:space="preserve">). A pre-built STAR genome index located at</w:t>
      </w:r>
      <w:r>
        <w:t xml:space="preserve"> </w:t>
      </w:r>
      <w:r>
        <w:rPr>
          <w:rStyle w:val="VerbatimChar"/>
        </w:rPr>
        <w:t xml:space="preserve">/ix1/alee/LO_LAB/Personal/Rahul/Reference_genome/Rat</w:t>
      </w:r>
      <w:r>
        <w:t xml:space="preserve"> </w:t>
      </w:r>
      <w:r>
        <w:t xml:space="preserve">was used. STAR alignment used binary version 2.7.11b against a genome index generated with version 2.7.4a. While Ensembl recommends version-matched indices, STAR maintains backward compatibility for minor version differences and no alignment errors were reported. Alignment was performed with 64 threads (</w:t>
      </w:r>
      <w:r>
        <w:rPr>
          <w:rStyle w:val="VerbatimChar"/>
        </w:rPr>
        <w:t xml:space="preserve">--runThreadN 64</w:t>
      </w:r>
      <w:r>
        <w:t xml:space="preserve">), compressed input handling via</w:t>
      </w:r>
      <w:r>
        <w:t xml:space="preserve"> </w:t>
      </w:r>
      <w:r>
        <w:rPr>
          <w:rStyle w:val="VerbatimChar"/>
        </w:rPr>
        <w:t xml:space="preserve">zcat</w:t>
      </w:r>
      <w:r>
        <w:t xml:space="preserve"> </w:t>
      </w:r>
      <w:r>
        <w:t xml:space="preserve">(</w:t>
      </w:r>
      <w:r>
        <w:rPr>
          <w:rStyle w:val="VerbatimChar"/>
        </w:rPr>
        <w:t xml:space="preserve">--readFilesCommand zcat</w:t>
      </w:r>
      <w:r>
        <w:t xml:space="preserve">), and output as coordinate-sorted BAM files (</w:t>
      </w:r>
      <w:r>
        <w:rPr>
          <w:rStyle w:val="VerbatimChar"/>
        </w:rPr>
        <w:t xml:space="preserve">--outSAMtype BAM SortedByCoordinate</w:t>
      </w:r>
      <w:r>
        <w:t xml:space="preserve">). BAM sorting used 8 threads (</w:t>
      </w:r>
      <w:r>
        <w:rPr>
          <w:rStyle w:val="VerbatimChar"/>
        </w:rPr>
        <w:t xml:space="preserve">--outBAMsortingThreadN 8</w:t>
      </w:r>
      <w:r>
        <w:t xml:space="preserve">). Quantification was performed in both transcriptome-level and gene-level modes (</w:t>
      </w:r>
      <w:r>
        <w:rPr>
          <w:rStyle w:val="VerbatimChar"/>
        </w:rPr>
        <w:t xml:space="preserve">--quantMode TranscriptomeSAM GeneCounts</w:t>
      </w:r>
      <w:r>
        <w:t xml:space="preserve">).</w:t>
      </w:r>
    </w:p>
    <w:bookmarkEnd w:id="11"/>
    <w:bookmarkStart w:id="12" w:name="gene-level-quantification"/>
    <w:p>
      <w:pPr>
        <w:pStyle w:val="Heading2"/>
      </w:pPr>
      <w:r>
        <w:t xml:space="preserve">4. Gene-Level Quantification</w:t>
      </w:r>
    </w:p>
    <w:p>
      <w:pPr>
        <w:pStyle w:val="FirstParagraph"/>
      </w:pPr>
      <w:r>
        <w:t xml:space="preserve">Gene-level read counts were generated from sorted BAM files using htseq-count v0.13.5 (</w:t>
      </w:r>
      <w:r>
        <w:rPr>
          <w:rStyle w:val="VerbatimChar"/>
        </w:rPr>
        <w:t xml:space="preserve">02_htseq_count.sh</w:t>
      </w:r>
      <w:r>
        <w:t xml:space="preserve">). Reads were counted against the Ensembl rat gene annotation (Rattus_norvegicus.mRatBN7.2.112.gtf). Parameters were: BAM format input (</w:t>
      </w:r>
      <w:r>
        <w:rPr>
          <w:rStyle w:val="VerbatimChar"/>
        </w:rPr>
        <w:t xml:space="preserve">-f bam</w:t>
      </w:r>
      <w:r>
        <w:t xml:space="preserve">), position-sorted reads (</w:t>
      </w:r>
      <w:r>
        <w:rPr>
          <w:rStyle w:val="VerbatimChar"/>
        </w:rPr>
        <w:t xml:space="preserve">-r pos</w:t>
      </w:r>
      <w:r>
        <w:t xml:space="preserve">), reverse-stranded library protocol (</w:t>
      </w:r>
      <w:r>
        <w:rPr>
          <w:rStyle w:val="VerbatimChar"/>
        </w:rPr>
        <w:t xml:space="preserve">-s reverse</w:t>
      </w:r>
      <w:r>
        <w:t xml:space="preserve">), feature type exon (</w:t>
      </w:r>
      <w:r>
        <w:rPr>
          <w:rStyle w:val="VerbatimChar"/>
        </w:rPr>
        <w:t xml:space="preserve">-t exon</w:t>
      </w:r>
      <w:r>
        <w:t xml:space="preserve">), and gene identifier attribute</w:t>
      </w:r>
      <w:r>
        <w:t xml:space="preserve"> </w:t>
      </w:r>
      <w:r>
        <w:rPr>
          <w:rStyle w:val="VerbatimChar"/>
        </w:rPr>
        <w:t xml:space="preserve">gene_id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-i gene_id</w:t>
      </w:r>
      <w:r>
        <w:t xml:space="preserve">). HTSeq-count was run in reverse-stranded mode, consistent with the dUTP-based library preparation protocol used for these samples. HTSeq summary lines (prefixed with</w:t>
      </w:r>
      <w:r>
        <w:t xml:space="preserve"> </w:t>
      </w:r>
      <w:r>
        <w:rPr>
          <w:rStyle w:val="VerbatimChar"/>
        </w:rPr>
        <w:t xml:space="preserve">__</w:t>
      </w:r>
      <w:r>
        <w:t xml:space="preserve">) were excluded from downstream analyses.</w:t>
      </w:r>
    </w:p>
    <w:bookmarkEnd w:id="12"/>
    <w:bookmarkStart w:id="13" w:name="differential-expression-analysis"/>
    <w:p>
      <w:pPr>
        <w:pStyle w:val="Heading2"/>
      </w:pPr>
      <w:r>
        <w:t xml:space="preserve">5. Differential Expression Analysis</w:t>
      </w:r>
    </w:p>
    <w:p>
      <w:pPr>
        <w:pStyle w:val="FirstParagraph"/>
      </w:pPr>
      <w:r>
        <w:t xml:space="preserve">Differential expression analysis was performed using DESeq2 (</w:t>
      </w:r>
      <w:r>
        <w:rPr>
          <w:rStyle w:val="VerbatimChar"/>
        </w:rPr>
        <w:t xml:space="preserve">03_deseq2.R</w:t>
      </w:r>
      <w:r>
        <w:t xml:space="preserve">) with a random seed of 12345. Individual HTSeq count files were loaded, parsed with</w:t>
      </w:r>
      <w:r>
        <w:t xml:space="preserve"> </w:t>
      </w:r>
      <w:r>
        <w:rPr>
          <w:rStyle w:val="VerbatimChar"/>
        </w:rPr>
        <w:t xml:space="preserve">data.table::fread()</w:t>
      </w:r>
      <w:r>
        <w:t xml:space="preserve">, and assembled into a gene-by-sample count matrix. HTSeq summary rows (lines beginning with</w:t>
      </w:r>
      <w:r>
        <w:t xml:space="preserve"> </w:t>
      </w:r>
      <w:r>
        <w:rPr>
          <w:rStyle w:val="VerbatimChar"/>
        </w:rPr>
        <w:t xml:space="preserve">__</w:t>
      </w:r>
      <w:r>
        <w:t xml:space="preserve">) were removed.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DESeqDataSet</w:t>
      </w:r>
      <w:r>
        <w:t xml:space="preserve"> </w:t>
      </w:r>
      <w:r>
        <w:t xml:space="preserve">was constructed from the count matrix and sample metadata using the design formula</w:t>
      </w:r>
      <w:r>
        <w:t xml:space="preserve"> </w:t>
      </w:r>
      <w:r>
        <w:rPr>
          <w:rStyle w:val="VerbatimChar"/>
        </w:rPr>
        <w:t xml:space="preserve">~ TYPE</w:t>
      </w:r>
      <w:r>
        <w:t xml:space="preserve">. The DESeq2 pipeline was executed via the default</w:t>
      </w:r>
      <w:r>
        <w:t xml:space="preserve"> </w:t>
      </w:r>
      <w:r>
        <w:rPr>
          <w:rStyle w:val="VerbatimChar"/>
        </w:rPr>
        <w:t xml:space="preserve">DESeq()</w:t>
      </w:r>
      <w:r>
        <w:t xml:space="preserve"> </w:t>
      </w:r>
      <w:r>
        <w:t xml:space="preserve">call, which internally performed size factor estimation (median-of-ratios method), dispersion estimation (shrinkage), and negative binomial Wald tests. Results were extracted for the contrast TEST vs CONTROL (</w:t>
      </w:r>
      <w:r>
        <w:rPr>
          <w:rStyle w:val="VerbatimChar"/>
        </w:rPr>
        <w:t xml:space="preserve">results(dds, contrast = c("TYPE", "TEST", "CONTROL"))</w:t>
      </w:r>
      <w:r>
        <w:t xml:space="preserve">).</w:t>
      </w:r>
    </w:p>
    <w:p>
      <w:pPr>
        <w:pStyle w:val="BodyText"/>
      </w:pPr>
      <w:r>
        <w:t xml:space="preserve">Gene symbols were annotated by querying the Ensembl BioMart database (</w:t>
      </w:r>
      <w:r>
        <w:rPr>
          <w:rStyle w:val="VerbatimChar"/>
        </w:rPr>
        <w:t xml:space="preserve">rnorvegicus_gene_ensembl</w:t>
      </w:r>
      <w:r>
        <w:t xml:space="preserve"> </w:t>
      </w:r>
      <w:r>
        <w:t xml:space="preserve">dataset) for</w:t>
      </w:r>
      <w:r>
        <w:t xml:space="preserve"> </w:t>
      </w:r>
      <w:r>
        <w:rPr>
          <w:rStyle w:val="VerbatimChar"/>
        </w:rPr>
        <w:t xml:space="preserve">external_gene_name</w:t>
      </w:r>
      <w:r>
        <w:t xml:space="preserve"> </w:t>
      </w:r>
      <w:r>
        <w:t xml:space="preserve">attributes using the</w:t>
      </w:r>
      <w:r>
        <w:t xml:space="preserve"> </w:t>
      </w:r>
      <w:r>
        <w:rPr>
          <w:rStyle w:val="VerbatimChar"/>
        </w:rPr>
        <w:t xml:space="preserve">biomaRt</w:t>
      </w:r>
      <w:r>
        <w:t xml:space="preserve"> </w:t>
      </w:r>
      <w:r>
        <w:t xml:space="preserve">package. This query was wrapped in</w:t>
      </w:r>
      <w:r>
        <w:t xml:space="preserve"> </w:t>
      </w:r>
      <w:r>
        <w:rPr>
          <w:rStyle w:val="VerbatimChar"/>
        </w:rPr>
        <w:t xml:space="preserve">tryCatch()</w:t>
      </w:r>
      <w:r>
        <w:t xml:space="preserve"> </w:t>
      </w:r>
      <w:r>
        <w:t xml:space="preserve">to handle network failures gracefully.</w:t>
      </w:r>
    </w:p>
    <w:p>
      <w:pPr>
        <w:pStyle w:val="BodyText"/>
      </w:pPr>
      <w:r>
        <w:t xml:space="preserve">Significantly differentially expressed genes were defined as those with Benjamini-Hochberg adjusted p-value (FDR) &lt; 0.05. Results were saved as both the full result table (</w:t>
      </w:r>
      <w:r>
        <w:rPr>
          <w:rStyle w:val="VerbatimChar"/>
        </w:rPr>
        <w:t xml:space="preserve">deseq2_results.csv</w:t>
      </w:r>
      <w:r>
        <w:t xml:space="preserve">) and the FDR-filtered subset sorted by ascending adjusted p-value (</w:t>
      </w:r>
      <w:r>
        <w:rPr>
          <w:rStyle w:val="VerbatimChar"/>
        </w:rPr>
        <w:t xml:space="preserve">deseq2_results_significant.csv</w:t>
      </w:r>
      <w:r>
        <w:t xml:space="preserve">).</w:t>
      </w:r>
    </w:p>
    <w:p>
      <w:pPr>
        <w:pStyle w:val="BodyText"/>
      </w:pPr>
      <w:r>
        <w:t xml:space="preserve">DESeq2 size-factor-normalized counts were also exported. These normalized counts were rescaled to a per-million basis via</w:t>
      </w:r>
      <w:r>
        <w:t xml:space="preserve"> </w:t>
      </w:r>
      <w:r>
        <w:rPr>
          <w:rStyle w:val="VerbatimChar"/>
        </w:rPr>
        <w:t xml:space="preserve">sweep(norm_counts, 2, colSums(norm_counts), "/") * 1e6</w:t>
      </w:r>
      <w:r>
        <w:t xml:space="preserve"> </w:t>
      </w:r>
      <w:r>
        <w:t xml:space="preserve">and saved as</w:t>
      </w:r>
      <w:r>
        <w:t xml:space="preserve"> </w:t>
      </w:r>
      <w:r>
        <w:rPr>
          <w:rStyle w:val="VerbatimChar"/>
        </w:rPr>
        <w:t xml:space="preserve">normalized_cpm.csv</w:t>
      </w:r>
      <w:r>
        <w:t xml:space="preserve"> </w:t>
      </w:r>
      <w:r>
        <w:t xml:space="preserve">for use in PAM50 subtyping. Note: these are DESeq2 size-factor-normalized counts rescaled to counts-per-million (CPM), not true TPM (which requires gene-length normalization). The PAM50 script explicitly transforms these values to log2(CPM + 1) and median-centers each gene across samples before passing the matrix to</w:t>
      </w:r>
      <w:r>
        <w:t xml:space="preserve"> </w:t>
      </w:r>
      <w:r>
        <w:rPr>
          <w:rStyle w:val="VerbatimChar"/>
        </w:rPr>
        <w:t xml:space="preserve">genefu::molecular.subtyping()</w:t>
      </w:r>
      <w:r>
        <w:t xml:space="preserve"> </w:t>
      </w:r>
      <w:r>
        <w:t xml:space="preserve">(see Section 6.2), which partially compensates for the lack of gene-length normalization.</w:t>
      </w:r>
    </w:p>
    <w:bookmarkEnd w:id="13"/>
    <w:bookmarkStart w:id="18" w:name="pam50-molecular-subtyping"/>
    <w:p>
      <w:pPr>
        <w:pStyle w:val="Heading2"/>
      </w:pPr>
      <w:r>
        <w:t xml:space="preserve">6. PAM50 Molecular Subtyping</w:t>
      </w:r>
    </w:p>
    <w:p>
      <w:pPr>
        <w:pStyle w:val="FirstParagraph"/>
      </w:pPr>
      <w:r>
        <w:t xml:space="preserve">PAM50 intrinsic subtype classification was performed using the genefu R package (</w:t>
      </w:r>
      <w:r>
        <w:rPr>
          <w:rStyle w:val="VerbatimChar"/>
        </w:rPr>
        <w:t xml:space="preserve">04_pam50_subtyping.R</w:t>
      </w:r>
      <w:r>
        <w:t xml:space="preserve">) with a random seed of 12345. The PAM50 centroids and robust model were loaded via</w:t>
      </w:r>
      <w:r>
        <w:t xml:space="preserve"> </w:t>
      </w:r>
      <w:r>
        <w:rPr>
          <w:rStyle w:val="VerbatimChar"/>
        </w:rPr>
        <w:t xml:space="preserve">data("pam50")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data("pam50.robust")</w:t>
      </w:r>
      <w:r>
        <w:t xml:space="preserve">.</w:t>
      </w:r>
    </w:p>
    <w:bookmarkStart w:id="14" w:name="ortholog-mapping"/>
    <w:p>
      <w:pPr>
        <w:pStyle w:val="Heading3"/>
      </w:pPr>
      <w:r>
        <w:t xml:space="preserve">6.1 Ortholog Mapping</w:t>
      </w:r>
    </w:p>
    <w:p>
      <w:pPr>
        <w:pStyle w:val="FirstParagraph"/>
      </w:pPr>
      <w:r>
        <w:t xml:space="preserve">A hardcoded human-to-rat gene symbol mapping was defined for all 50 PAM50 genes (e.g.,</w:t>
      </w:r>
      <w:r>
        <w:t xml:space="preserve"> </w:t>
      </w:r>
      <w:r>
        <w:rPr>
          <w:rStyle w:val="VerbatimChar"/>
        </w:rPr>
        <w:t xml:space="preserve">"ACTR3B" = "Actr3b"</w:t>
      </w:r>
      <w:r>
        <w:t xml:space="preserve">,</w:t>
      </w:r>
      <w:r>
        <w:t xml:space="preserve"> </w:t>
      </w:r>
      <w:r>
        <w:rPr>
          <w:rStyle w:val="VerbatimChar"/>
        </w:rPr>
        <w:t xml:space="preserve">"ESR1" = "Esr1"</w:t>
      </w:r>
      <w:r>
        <w:t xml:space="preserve">). This mapping included alternative gene names (</w:t>
      </w:r>
      <w:r>
        <w:rPr>
          <w:rStyle w:val="VerbatimChar"/>
        </w:rPr>
        <w:t xml:space="preserve">"CDCA1" = "Nuf2"</w:t>
      </w:r>
      <w:r>
        <w:t xml:space="preserve">,</w:t>
      </w:r>
      <w:r>
        <w:t xml:space="preserve"> </w:t>
      </w:r>
      <w:r>
        <w:rPr>
          <w:rStyle w:val="VerbatimChar"/>
        </w:rPr>
        <w:t xml:space="preserve">"KNTC2" = "Ndc80"</w:t>
      </w:r>
      <w:r>
        <w:t xml:space="preserve">,</w:t>
      </w:r>
      <w:r>
        <w:t xml:space="preserve"> </w:t>
      </w:r>
      <w:r>
        <w:rPr>
          <w:rStyle w:val="VerbatimChar"/>
        </w:rPr>
        <w:t xml:space="preserve">"ORC6L" = "Orc6"</w:t>
      </w:r>
      <w:r>
        <w:t xml:space="preserve">). Gene coverage was assessed post-mapping, with a warning threshold of fewer than 40 of 50 genes present.</w:t>
      </w:r>
    </w:p>
    <w:bookmarkEnd w:id="14"/>
    <w:bookmarkStart w:id="15" w:name="expression-data-preparation"/>
    <w:p>
      <w:pPr>
        <w:pStyle w:val="Heading3"/>
      </w:pPr>
      <w:r>
        <w:t xml:space="preserve">6.2 Expression Data Preparation</w:t>
      </w:r>
    </w:p>
    <w:p>
      <w:pPr>
        <w:pStyle w:val="FirstParagraph"/>
      </w:pPr>
      <w:r>
        <w:t xml:space="preserve">The CPM-normalized expression matrix (</w:t>
      </w:r>
      <w:r>
        <w:rPr>
          <w:rStyle w:val="VerbatimChar"/>
        </w:rPr>
        <w:t xml:space="preserve">normalized_cpm.csv</w:t>
      </w:r>
      <w:r>
        <w:t xml:space="preserve">) was loaded. Ensembl gene IDs (detected by the</w:t>
      </w:r>
      <w:r>
        <w:t xml:space="preserve"> </w:t>
      </w:r>
      <w:r>
        <w:rPr>
          <w:rStyle w:val="VerbatimChar"/>
        </w:rPr>
        <w:t xml:space="preserve">ENSRNOG</w:t>
      </w:r>
      <w:r>
        <w:t xml:space="preserve"> </w:t>
      </w:r>
      <w:r>
        <w:t xml:space="preserve">prefix) were converted to gene symbols via BioMart query (</w:t>
      </w:r>
      <w:r>
        <w:rPr>
          <w:rStyle w:val="VerbatimChar"/>
        </w:rPr>
        <w:t xml:space="preserve">rnorvegicus_gene_ensembl</w:t>
      </w:r>
      <w:r>
        <w:t xml:space="preserve"> </w:t>
      </w:r>
      <w:r>
        <w:t xml:space="preserve">dataset). For duplicated gene symbols, the row with the highest mean expression across samples was retained. The expression matrix was then subset to available PAM50 ortholog genes, transformed to log2(CPM + 1), and median-centered per gene across samples (i.e., each gene’s median expression was subtracted). The centered matrix was transposed to samples-by-genes orientation. Column names were remapped to human gene symbols for compatibility with genefu centroids.</w:t>
      </w:r>
    </w:p>
    <w:bookmarkEnd w:id="15"/>
    <w:bookmarkStart w:id="16" w:name="classification"/>
    <w:p>
      <w:pPr>
        <w:pStyle w:val="Heading3"/>
      </w:pPr>
      <w:r>
        <w:t xml:space="preserve">6.3 Classification</w:t>
      </w:r>
    </w:p>
    <w:p>
      <w:pPr>
        <w:pStyle w:val="FirstParagraph"/>
      </w:pPr>
      <w:r>
        <w:t xml:space="preserve">Subtype classification was performed via</w:t>
      </w:r>
      <w:r>
        <w:t xml:space="preserve"> </w:t>
      </w:r>
      <w:r>
        <w:rPr>
          <w:rStyle w:val="VerbatimChar"/>
        </w:rPr>
        <w:t xml:space="preserve">molecular.subtyping(sbt.model = "pam50", data = pam50_tpm, annot = annot_df, do.mapping = FALSE)</w:t>
      </w:r>
      <w:r>
        <w:t xml:space="preserve">. A minimal annotation data frame was constructed with</w:t>
      </w:r>
      <w:r>
        <w:t xml:space="preserve"> </w:t>
      </w:r>
      <w:r>
        <w:rPr>
          <w:rStyle w:val="VerbatimChar"/>
        </w:rPr>
        <w:t xml:space="preserve">probe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Gene.Symbol</w:t>
      </w:r>
      <w:r>
        <w:t xml:space="preserve"> </w:t>
      </w:r>
      <w:r>
        <w:t xml:space="preserve">columns set to the human gene symbols, and</w:t>
      </w:r>
      <w:r>
        <w:t xml:space="preserve"> </w:t>
      </w:r>
      <w:r>
        <w:rPr>
          <w:rStyle w:val="VerbatimChar"/>
        </w:rPr>
        <w:t xml:space="preserve">EntrezGene.ID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NA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do.mapping = FALSE</w:t>
      </w:r>
      <w:r>
        <w:t xml:space="preserve"> </w:t>
      </w:r>
      <w:r>
        <w:t xml:space="preserve">flag was used since gene names were pre-mapped to match the PAM50 centroid row names.</w:t>
      </w:r>
    </w:p>
    <w:bookmarkEnd w:id="16"/>
    <w:bookmarkStart w:id="17" w:name="outputs"/>
    <w:p>
      <w:pPr>
        <w:pStyle w:val="Heading3"/>
      </w:pPr>
      <w:r>
        <w:t xml:space="preserve">6.4 Outputs</w:t>
      </w:r>
    </w:p>
    <w:p>
      <w:pPr>
        <w:pStyle w:val="FirstParagraph"/>
      </w:pPr>
      <w:r>
        <w:t xml:space="preserve">Per-sample subtype assignments and subtype posterior probabilities were saved to</w:t>
      </w:r>
      <w:r>
        <w:t xml:space="preserve"> </w:t>
      </w:r>
      <w:r>
        <w:rPr>
          <w:rStyle w:val="VerbatimChar"/>
        </w:rPr>
        <w:t xml:space="preserve">pam50_subtypes.csv</w:t>
      </w:r>
      <w:r>
        <w:t xml:space="preserve">. Two heatmaps were generated as PDF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pam50_heatmap.pdf</w:t>
      </w:r>
      <w:r>
        <w:t xml:space="preserve"> </w:t>
      </w:r>
      <w:r>
        <w:t xml:space="preserve">(12 x 15 inches): Z-score-normalized (row-scaled via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) PAM50 gene expression, annotated by predicted subtype, with column clustering disabled (</w:t>
      </w:r>
      <w:r>
        <w:rPr>
          <w:rStyle w:val="VerbatimChar"/>
        </w:rPr>
        <w:t xml:space="preserve">cluster_cols = FALSE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pam50_probabilities_heatmap.pdf</w:t>
      </w:r>
      <w:r>
        <w:t xml:space="preserve"> </w:t>
      </w:r>
      <w:r>
        <w:t xml:space="preserve">(12 x 8 inches): Transposed subtype probability matrix with both row and column clustering disabled.</w:t>
      </w:r>
    </w:p>
    <w:p>
      <w:pPr>
        <w:pStyle w:val="BodyText"/>
      </w:pPr>
      <w:r>
        <w:t xml:space="preserve">Both heatmaps were rendered using</w:t>
      </w:r>
      <w:r>
        <w:t xml:space="preserve"> </w:t>
      </w:r>
      <w:r>
        <w:rPr>
          <w:rStyle w:val="VerbatimChar"/>
        </w:rPr>
        <w:t xml:space="preserve">pheatmap</w:t>
      </w:r>
      <w:r>
        <w:t xml:space="preserve">.</w:t>
      </w:r>
    </w:p>
    <w:bookmarkEnd w:id="17"/>
    <w:bookmarkEnd w:id="18"/>
    <w:bookmarkStart w:id="22" w:name="validation-against-original-analysis"/>
    <w:p>
      <w:pPr>
        <w:pStyle w:val="Heading2"/>
      </w:pPr>
      <w:r>
        <w:t xml:space="preserve">7. Validation Against Original Analysis</w:t>
      </w:r>
    </w:p>
    <w:p>
      <w:pPr>
        <w:pStyle w:val="FirstParagraph"/>
      </w:pPr>
      <w:r>
        <w:t xml:space="preserve">Reproducibility of the pipeline was validated against an independent analysis by Rahul (</w:t>
      </w:r>
      <w:r>
        <w:rPr>
          <w:rStyle w:val="VerbatimChar"/>
        </w:rPr>
        <w:t xml:space="preserve">05_validate_vs_rahul.R</w:t>
      </w:r>
      <w:r>
        <w:t xml:space="preserve">) with a random seed of 12345. Three concordance checks were performed:</w:t>
      </w:r>
    </w:p>
    <w:bookmarkStart w:id="19" w:name="htseq-count-correlation"/>
    <w:p>
      <w:pPr>
        <w:pStyle w:val="Heading3"/>
      </w:pPr>
      <w:r>
        <w:t xml:space="preserve">7.1 HTSeq Count Correlation</w:t>
      </w:r>
    </w:p>
    <w:p>
      <w:pPr>
        <w:pStyle w:val="FirstParagraph"/>
      </w:pPr>
      <w:r>
        <w:t xml:space="preserve">Per-sample HTSeq count vectors were compared between the current pipeline and Rahul’s results (located at</w:t>
      </w:r>
      <w:r>
        <w:t xml:space="preserve"> </w:t>
      </w:r>
      <w:r>
        <w:rPr>
          <w:rStyle w:val="VerbatimChar"/>
        </w:rPr>
        <w:t xml:space="preserve">/ix1/alee/LO_LAB/Personal/Rahul/Neil_RNAseq/5_Count_file/</w:t>
      </w:r>
      <w:r>
        <w:t xml:space="preserve">). A hardcoded sample name lookup table was used for matching (e.g.,</w:t>
      </w:r>
      <w:r>
        <w:t xml:space="preserve"> </w:t>
      </w:r>
      <w:r>
        <w:rPr>
          <w:rStyle w:val="VerbatimChar"/>
        </w:rPr>
        <w:t xml:space="preserve">"102-FF-Tumor"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"102-FF"</w:t>
      </w:r>
      <w:r>
        <w:t xml:space="preserve">). Pearson correlation was computed on merged gene-level counts (excluding</w:t>
      </w:r>
      <w:r>
        <w:t xml:space="preserve"> </w:t>
      </w:r>
      <w:r>
        <w:rPr>
          <w:rStyle w:val="VerbatimChar"/>
        </w:rPr>
        <w:t xml:space="preserve">__</w:t>
      </w:r>
      <w:r>
        <w:t xml:space="preserve">-prefixed summary rows). The pass threshold was r &gt;= 0.99 for all samples.</w:t>
      </w:r>
    </w:p>
    <w:bookmarkEnd w:id="19"/>
    <w:bookmarkStart w:id="20" w:name="deseq2-significant-gene-overlap"/>
    <w:p>
      <w:pPr>
        <w:pStyle w:val="Heading3"/>
      </w:pPr>
      <w:r>
        <w:t xml:space="preserve">7.2 DESeq2 Significant Gene Overlap</w:t>
      </w:r>
    </w:p>
    <w:p>
      <w:pPr>
        <w:pStyle w:val="FirstParagraph"/>
      </w:pPr>
      <w:r>
        <w:t xml:space="preserve">Significant gene sets (FDR &lt; 0.05) from both analyses were compared. Rahul’s results were loaded from</w:t>
      </w:r>
      <w:r>
        <w:t xml:space="preserve"> </w:t>
      </w:r>
      <w:r>
        <w:rPr>
          <w:rStyle w:val="VerbatimChar"/>
        </w:rPr>
        <w:t xml:space="preserve">6_DEseq2/DESeq2_results_with_symbols.csv</w:t>
      </w:r>
      <w:r>
        <w:t xml:space="preserve"> </w:t>
      </w:r>
      <w:r>
        <w:t xml:space="preserve">and filtered to</w:t>
      </w:r>
      <w:r>
        <w:t xml:space="preserve"> </w:t>
      </w:r>
      <w:r>
        <w:rPr>
          <w:rStyle w:val="VerbatimChar"/>
        </w:rPr>
        <w:t xml:space="preserve">padj &lt; 0.05</w:t>
      </w:r>
      <w:r>
        <w:t xml:space="preserve">. Overlap was quantified as the intersection size divided by the smaller set size (overlap coefficient), with a pass threshold of &gt;= 90%. The Jaccard index (intersection/union) was also computed and reported for reference but was not used for the pass/fail criterion.</w:t>
      </w:r>
    </w:p>
    <w:bookmarkEnd w:id="20"/>
    <w:bookmarkStart w:id="21" w:name="pam50-subtype-concordance"/>
    <w:p>
      <w:pPr>
        <w:pStyle w:val="Heading3"/>
      </w:pPr>
      <w:r>
        <w:t xml:space="preserve">7.3 PAM50 Subtype Concordance</w:t>
      </w:r>
    </w:p>
    <w:p>
      <w:pPr>
        <w:pStyle w:val="FirstParagraph"/>
      </w:pPr>
      <w:r>
        <w:t xml:space="preserve">Per-sample PAM50 subtype assignments were compared between the two analyses. Rahul’s subtypes were loaded from</w:t>
      </w:r>
      <w:r>
        <w:t xml:space="preserve"> </w:t>
      </w:r>
      <w:r>
        <w:rPr>
          <w:rStyle w:val="VerbatimChar"/>
        </w:rPr>
        <w:t xml:space="preserve">PAM50/PAM50.csv</w:t>
      </w:r>
      <w:r>
        <w:t xml:space="preserve">. Matching was performed by removing the</w:t>
      </w:r>
      <w:r>
        <w:t xml:space="preserve"> </w:t>
      </w:r>
      <w:r>
        <w:rPr>
          <w:rStyle w:val="VerbatimChar"/>
        </w:rPr>
        <w:t xml:space="preserve">-Tumor</w:t>
      </w:r>
      <w:r>
        <w:t xml:space="preserve"> </w:t>
      </w:r>
      <w:r>
        <w:t xml:space="preserve">suffix via</w:t>
      </w:r>
      <w:r>
        <w:t xml:space="preserve"> </w:t>
      </w:r>
      <w:r>
        <w:rPr>
          <w:rStyle w:val="VerbatimChar"/>
        </w:rPr>
        <w:t xml:space="preserve">gsub("-Tumor", "", ...)</w:t>
      </w:r>
      <w:r>
        <w:t xml:space="preserve">. The pass criterion was 100% concordance across all matched samples.</w:t>
      </w:r>
    </w:p>
    <w:p>
      <w:pPr>
        <w:pStyle w:val="BodyText"/>
      </w:pPr>
      <w:r>
        <w:t xml:space="preserve">Validation results were saved as an RDS object (</w:t>
      </w:r>
      <w:r>
        <w:rPr>
          <w:rStyle w:val="VerbatimChar"/>
        </w:rPr>
        <w:t xml:space="preserve">validation_results.rds</w:t>
      </w:r>
      <w:r>
        <w:t xml:space="preserve">).</w:t>
      </w:r>
    </w:p>
    <w:bookmarkEnd w:id="21"/>
    <w:bookmarkEnd w:id="22"/>
    <w:bookmarkStart w:id="23" w:name="pipeline-orchestration"/>
    <w:p>
      <w:pPr>
        <w:pStyle w:val="Heading2"/>
      </w:pPr>
      <w:r>
        <w:t xml:space="preserve">8. Pipeline Orchestration</w:t>
      </w:r>
    </w:p>
    <w:p>
      <w:pPr>
        <w:pStyle w:val="FirstParagraph"/>
      </w:pPr>
      <w:r>
        <w:t xml:space="preserve">The full pipeline was orchestrated via</w:t>
      </w:r>
      <w:r>
        <w:t xml:space="preserve"> </w:t>
      </w:r>
      <w:r>
        <w:rPr>
          <w:rStyle w:val="VerbatimChar"/>
        </w:rPr>
        <w:t xml:space="preserve">run_analysis.sh</w:t>
      </w:r>
      <w:r>
        <w:t xml:space="preserve">, which submitted SLURM jobs with explicit dependencies: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00_fastp_trim.sh</w:t>
      </w:r>
      <w:r>
        <w:t xml:space="preserve"> </w:t>
      </w:r>
      <w:r>
        <w:t xml:space="preserve">(trimming)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01_alignment.sh</w:t>
      </w:r>
      <w:r>
        <w:t xml:space="preserve"> </w:t>
      </w:r>
      <w:r>
        <w:t xml:space="preserve">(STAR alignment,</w:t>
      </w:r>
      <w:r>
        <w:t xml:space="preserve"> </w:t>
      </w:r>
      <w:r>
        <w:rPr>
          <w:rStyle w:val="VerbatimChar"/>
        </w:rPr>
        <w:t xml:space="preserve">--dependency=afterok</w:t>
      </w:r>
      <w:r>
        <w:t xml:space="preserve"> </w:t>
      </w:r>
      <w:r>
        <w:t xml:space="preserve">on step 0)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02_htseq_count.sh</w:t>
      </w:r>
      <w:r>
        <w:t xml:space="preserve"> </w:t>
      </w:r>
      <w:r>
        <w:t xml:space="preserve">(gene counting,</w:t>
      </w:r>
      <w:r>
        <w:t xml:space="preserve"> </w:t>
      </w:r>
      <w:r>
        <w:rPr>
          <w:rStyle w:val="VerbatimChar"/>
        </w:rPr>
        <w:t xml:space="preserve">--dependency=afterok</w:t>
      </w:r>
      <w:r>
        <w:t xml:space="preserve"> </w:t>
      </w:r>
      <w:r>
        <w:t xml:space="preserve">on step 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run_analysis.sbatch</w:t>
      </w:r>
      <w:r>
        <w:t xml:space="preserve"> </w:t>
      </w:r>
      <w:r>
        <w:t xml:space="preserve">(DESeq2 + PAM50 + validation,</w:t>
      </w:r>
      <w:r>
        <w:t xml:space="preserve"> </w:t>
      </w:r>
      <w:r>
        <w:rPr>
          <w:rStyle w:val="VerbatimChar"/>
        </w:rPr>
        <w:t xml:space="preserve">--dependency=afterok</w:t>
      </w:r>
      <w:r>
        <w:t xml:space="preserve"> </w:t>
      </w:r>
      <w:r>
        <w:t xml:space="preserve">on step 2)</w:t>
      </w:r>
    </w:p>
    <w:p>
      <w:pPr>
        <w:pStyle w:val="FirstParagraph"/>
      </w:pPr>
      <w:r>
        <w:t xml:space="preserve">The R analysis steps (03-05) were executed sequentially within a single SLURM job (</w:t>
      </w:r>
      <w:r>
        <w:rPr>
          <w:rStyle w:val="VerbatimChar"/>
        </w:rPr>
        <w:t xml:space="preserve">run_analysis.sbatch</w:t>
      </w:r>
      <w:r>
        <w:t xml:space="preserve">) using the</w:t>
      </w:r>
      <w:r>
        <w:t xml:space="preserve"> </w:t>
      </w:r>
      <w:r>
        <w:rPr>
          <w:rStyle w:val="VerbatimChar"/>
        </w:rPr>
        <w:t xml:space="preserve">erp_brca_aging</w:t>
      </w:r>
      <w:r>
        <w:t xml:space="preserve"> </w:t>
      </w:r>
      <w:r>
        <w:t xml:space="preserve">conda environment.</w:t>
      </w:r>
    </w:p>
    <w:bookmarkEnd w:id="23"/>
    <w:bookmarkStart w:id="24" w:name="software-versions"/>
    <w:p>
      <w:pPr>
        <w:pStyle w:val="Heading2"/>
      </w:pPr>
      <w:r>
        <w:t xml:space="preserve">9. Software Versions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 </w:t>
      </w:r>
      <w:r>
        <w:t xml:space="preserve">and module loads: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64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fastp</w:t>
            </w:r>
          </w:p>
        </w:tc>
        <w:tc>
          <w:tcPr/>
          <w:p>
            <w:pPr>
              <w:pStyle w:val="Compact"/>
            </w:pPr>
            <w:r>
              <w:t xml:space="preserve">0.23.4</w:t>
            </w:r>
          </w:p>
        </w:tc>
        <w:tc>
          <w:tcPr/>
          <w:p>
            <w:pPr>
              <w:pStyle w:val="Compact"/>
            </w:pPr>
            <w:r>
              <w:t xml:space="preserve">HPC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t xml:space="preserve">2.7.11b</w:t>
            </w:r>
          </w:p>
        </w:tc>
        <w:tc>
          <w:tcPr/>
          <w:p>
            <w:pPr>
              <w:pStyle w:val="Compact"/>
            </w:pPr>
            <w:r>
              <w:t xml:space="preserve">HPC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htseq-count</w:t>
            </w:r>
          </w:p>
        </w:tc>
        <w:tc>
          <w:tcPr/>
          <w:p>
            <w:pPr>
              <w:pStyle w:val="Compact"/>
            </w:pPr>
            <w:r>
              <w:t xml:space="preserve">0.13.5</w:t>
            </w:r>
          </w:p>
        </w:tc>
        <w:tc>
          <w:tcPr/>
          <w:p>
            <w:pPr>
              <w:pStyle w:val="Compact"/>
            </w:pPr>
            <w:r>
              <w:t xml:space="preserve">HPC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4.3.3</w:t>
            </w:r>
          </w:p>
        </w:tc>
        <w:tc>
          <w:tcPr/>
          <w:p>
            <w:pPr>
              <w:pStyle w:val="Compact"/>
            </w:pPr>
            <w:r>
              <w:t xml:space="preserve">conda (r-base)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DESeq2</w:t>
            </w:r>
          </w:p>
        </w:tc>
        <w:tc>
          <w:tcPr/>
          <w:p>
            <w:pPr>
              <w:pStyle w:val="Compact"/>
            </w:pPr>
            <w:r>
              <w:t xml:space="preserve">(conda bioconductor-deseq2)</w:t>
            </w:r>
          </w:p>
        </w:tc>
        <w:tc>
          <w:tcPr/>
          <w:p>
            <w:pPr>
              <w:pStyle w:val="Compact"/>
            </w:pPr>
            <w:r>
              <w:t xml:space="preserve">Bioconductor via conda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genefu</w:t>
            </w:r>
          </w:p>
        </w:tc>
        <w:tc>
          <w:tcPr/>
          <w:p>
            <w:pPr>
              <w:pStyle w:val="Compact"/>
            </w:pPr>
            <w:r>
              <w:t xml:space="preserve">(conda r-genefu)</w:t>
            </w:r>
          </w:p>
        </w:tc>
        <w:tc>
          <w:tcPr/>
          <w:p>
            <w:pPr>
              <w:pStyle w:val="Compact"/>
            </w:pPr>
            <w:r>
              <w:t xml:space="preserve">conda-forge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biomaRt</w:t>
            </w:r>
          </w:p>
        </w:tc>
        <w:tc>
          <w:tcPr/>
          <w:p>
            <w:pPr>
              <w:pStyle w:val="Compact"/>
            </w:pPr>
            <w:r>
              <w:t xml:space="preserve">(bioconductor-biomart)</w:t>
            </w:r>
          </w:p>
        </w:tc>
        <w:tc>
          <w:tcPr/>
          <w:p>
            <w:pPr>
              <w:pStyle w:val="Compact"/>
            </w:pPr>
            <w:r>
              <w:t xml:space="preserve">Bioconductor via</w:t>
            </w:r>
            <w:r>
              <w:t xml:space="preserve"> </w:t>
            </w:r>
            <w:r>
              <w:rPr>
                <w:rStyle w:val="VerbatimChar"/>
              </w:rPr>
              <w:t xml:space="preserve">install_r_packages.sh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pheatmap</w:t>
            </w:r>
          </w:p>
        </w:tc>
        <w:tc>
          <w:tcPr/>
          <w:p>
            <w:pPr>
              <w:pStyle w:val="Compact"/>
            </w:pPr>
            <w:r>
              <w:t xml:space="preserve">(conda r-pheatmap)</w:t>
            </w:r>
          </w:p>
        </w:tc>
        <w:tc>
          <w:tcPr/>
          <w:p>
            <w:pPr>
              <w:pStyle w:val="Compact"/>
            </w:pPr>
            <w:r>
              <w:t xml:space="preserve">conda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data.table</w:t>
            </w:r>
          </w:p>
        </w:tc>
        <w:tc>
          <w:tcPr/>
          <w:p>
            <w:pPr>
              <w:pStyle w:val="Compact"/>
            </w:pPr>
            <w:r>
              <w:t xml:space="preserve">(r-essentials bundle)</w:t>
            </w:r>
          </w:p>
        </w:tc>
        <w:tc>
          <w:tcPr/>
          <w:p>
            <w:pPr>
              <w:pStyle w:val="Compact"/>
            </w:pPr>
            <w:r>
              <w:t xml:space="preserve">conda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dplyr</w:t>
            </w:r>
          </w:p>
        </w:tc>
        <w:tc>
          <w:tcPr/>
          <w:p>
            <w:pPr>
              <w:pStyle w:val="Compact"/>
            </w:pPr>
            <w:r>
              <w:t xml:space="preserve">(r-tidyverse bundle)</w:t>
            </w:r>
          </w:p>
        </w:tc>
        <w:tc>
          <w:tcPr/>
          <w:p>
            <w:pPr>
              <w:pStyle w:val="Compact"/>
            </w:pPr>
            <w:r>
              <w:t xml:space="preserve">conda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</w:t>
            </w:r>
          </w:p>
        </w:tc>
        <w:tc>
          <w:tcPr/>
          <w:p>
            <w:pPr>
              <w:pStyle w:val="Compact"/>
            </w:pPr>
            <w:r>
              <w:t xml:space="preserve">8.2.0</w:t>
            </w:r>
          </w:p>
        </w:tc>
        <w:tc>
          <w:tcPr/>
          <w:p>
            <w:pPr>
              <w:pStyle w:val="Compact"/>
            </w:pPr>
            <w:r>
              <w:t xml:space="preserve">HPC module (for STAR)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Reference genome:</w:t>
      </w:r>
      <w:r>
        <w:t xml:space="preserve"> </w:t>
      </w:r>
      <w:r>
        <w:t xml:space="preserve">Rattus norvegicus mRatBN7.2 (Ensembl release 112), GTF:</w:t>
      </w:r>
      <w:r>
        <w:t xml:space="preserve"> </w:t>
      </w:r>
      <w:r>
        <w:rPr>
          <w:rStyle w:val="VerbatimChar"/>
        </w:rPr>
        <w:t xml:space="preserve">Rattus_norvegicus.mRatBN7.2.112.gtf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Conda environment:</w:t>
      </w:r>
      <w:r>
        <w:t xml:space="preserve"> </w:t>
      </w:r>
      <w:r>
        <w:rPr>
          <w:rStyle w:val="VerbatimChar"/>
        </w:rPr>
        <w:t xml:space="preserve">erp_brca_aging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/ix1/alee/LO_LAB/Personal/Alexander_Chang/alc376/envs/erp_brca_aging</w:t>
      </w:r>
      <w:r>
        <w:t xml:space="preserve">.</w:t>
      </w:r>
    </w:p>
    <w:bookmarkEnd w:id="24"/>
    <w:bookmarkStart w:id="25" w:name="reproducibility-notes"/>
    <w:p>
      <w:pPr>
        <w:pStyle w:val="Heading2"/>
      </w:pPr>
      <w:r>
        <w:t xml:space="preserve">10. Reproducibility Notes</w:t>
      </w:r>
    </w:p>
    <w:p>
      <w:pPr>
        <w:pStyle w:val="Compact"/>
        <w:numPr>
          <w:ilvl w:val="0"/>
          <w:numId w:val="1002"/>
        </w:numPr>
      </w:pPr>
      <w:r>
        <w:t xml:space="preserve">All R scripts set</w:t>
      </w:r>
      <w:r>
        <w:t xml:space="preserve"> </w:t>
      </w:r>
      <w:r>
        <w:rPr>
          <w:rStyle w:val="VerbatimChar"/>
        </w:rPr>
        <w:t xml:space="preserve">set.seed(12345)</w:t>
      </w:r>
      <w:r>
        <w:t xml:space="preserve"> </w:t>
      </w:r>
      <w:r>
        <w:t xml:space="preserve">for reproducibility of any stochastic operations.</w:t>
      </w:r>
    </w:p>
    <w:p>
      <w:pPr>
        <w:pStyle w:val="Compact"/>
        <w:numPr>
          <w:ilvl w:val="0"/>
          <w:numId w:val="1002"/>
        </w:numPr>
      </w:pPr>
      <w:r>
        <w:t xml:space="preserve">The pipeline uses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(shell scripts) and</w:t>
      </w:r>
      <w:r>
        <w:t xml:space="preserve"> </w:t>
      </w:r>
      <w:r>
        <w:rPr>
          <w:rStyle w:val="VerbatimChar"/>
        </w:rPr>
        <w:t xml:space="preserve">set -eo pipefail</w:t>
      </w:r>
      <w:r>
        <w:t xml:space="preserve"> </w:t>
      </w:r>
      <w:r>
        <w:t xml:space="preserve">(sbatch wrapper) for strict error handling.</w:t>
      </w:r>
    </w:p>
    <w:p>
      <w:pPr>
        <w:pStyle w:val="Compact"/>
        <w:numPr>
          <w:ilvl w:val="0"/>
          <w:numId w:val="1002"/>
        </w:numPr>
      </w:pPr>
      <w:r>
        <w:t xml:space="preserve">STAR alignment and HTSeq counting include skip-if-exists logic to support idempotent re-runs.</w:t>
      </w:r>
    </w:p>
    <w:p>
      <w:pPr>
        <w:pStyle w:val="Compact"/>
        <w:numPr>
          <w:ilvl w:val="0"/>
          <w:numId w:val="1002"/>
        </w:numPr>
      </w:pPr>
      <w:r>
        <w:t xml:space="preserve">BioMart queries (for gene symbol annotation) depend on external Ensembl server availability and may return different results if the database version changes. No specific Ensembl archive release was pinned.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 </w:t>
      </w:r>
      <w:r>
        <w:t xml:space="preserve">does not pin exact versions for DESeq2, genefu, or biomaRt; only R base (4.3.3) and Seurat (&gt;=5.0) are version-constrained. Exact installed versions should be recorded at runtime.</w:t>
      </w:r>
    </w:p>
    <w:bookmarkEnd w:id="25"/>
    <w:bookmarkStart w:id="26" w:name="main-text-summary"/>
    <w:p>
      <w:pPr>
        <w:pStyle w:val="Heading2"/>
      </w:pPr>
      <w:r>
        <w:t xml:space="preserve">Main Text Summary</w:t>
      </w:r>
    </w:p>
    <w:p>
      <w:pPr>
        <w:pStyle w:val="FirstParagraph"/>
      </w:pPr>
      <w:r>
        <w:t xml:space="preserve">Bulk RNA-seq from six rat mammary tumors (GEO: GSE276757) was processed through a four-stage pipeline: adapter trimming (fastp v0.23.4, Q&gt;=20, length&gt;=36 bp), alignment to the mRatBN7.2 rat genome (STAR v2.7.11b), and gene-level quantification (htseq-count v0.13.5, reverse-stranded). Differential expression analysis was performed with DESeq2 using a ~TYPE design formula (TEST vs CONTROL, FDR &lt; 0.05). PAM50 molecular subtyping was performed using the genefu package with a manually curated human-to-rat ortholog mapping of all 50 classifier genes. Pipeline outputs were validated against an independent analysis, confirming high concordance in read counts (Pearson r &gt;= 0.99), significant gene sets (overlap coefficient &gt;= 90%), and subtype assignments.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2026-03-23T14:32:25Z</dcterms:created>
  <dcterms:modified xsi:type="dcterms:W3CDTF">2026-03-23T14:32:25Z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