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8faf2abeaf90bf965a38a2e39ff0d6365bca9d"/>
    <w:p>
      <w:pPr>
        <w:pStyle w:val="Heading1"/>
      </w:pPr>
      <w:r>
        <w:t xml:space="preserve">Methods: Spatial Biopsy Analysis (Section 06)</w:t>
      </w:r>
    </w:p>
    <w:bookmarkStart w:id="9" w:name="data-source-and-deconvolution"/>
    <w:p>
      <w:pPr>
        <w:pStyle w:val="Heading2"/>
      </w:pPr>
      <w:r>
        <w:t xml:space="preserve">1. Data Source and Deconvolution</w:t>
      </w:r>
    </w:p>
    <w:p>
      <w:pPr>
        <w:pStyle w:val="FirstParagraph"/>
      </w:pPr>
      <w:r>
        <w:t xml:space="preserve">Six 10x Visium spatial transcriptomics biopsies were obtained from patient HCC22-088, originally generated by Carleton et al. (Carleton et al., [year], [journal]) and symlinked into the current project from the CITEgeist analysis repository. Each biopsy Visium section spans 316–2,251 spots and 2,141–12,251 detected genes. Sample identifiers follow the naming convention HCC22-088-P{1–6}-S1, with one section designated HCC22-088-P3-S1_A. Cell-type deconvolution of each Visium section had been performed upstream using CITEgeist (Chang et al.), which resolved spot-level transcriptomes into nine cell types: Cancer Cells, Immunosuppressive Macrophages (CD163+), Inflammatory Macrophages (CD14+HLA-DR+), T Cell-Interacting Macrophages (CD11c+), CD4 T Cells, CD8 T Cells, B Cells, Endothelial Cells, and Fibroblasts. Deconvolution outputs were stored as cell-type-specific expression layers (pass1 layers) within each AnnData object and loaded from a serialized pickle file (</w:t>
      </w:r>
      <w:r>
        <w:rPr>
          <w:rStyle w:val="VerbatimChar"/>
        </w:rPr>
        <w:t xml:space="preserve">data/biopsy_adatas.pkl</w:t>
      </w:r>
      <w:r>
        <w:t xml:space="preserve">).</w:t>
      </w:r>
    </w:p>
    <w:bookmarkEnd w:id="9"/>
    <w:bookmarkStart w:id="10" w:name="spatial-cytokine-visualization"/>
    <w:p>
      <w:pPr>
        <w:pStyle w:val="Heading2"/>
      </w:pPr>
      <w:r>
        <w:t xml:space="preserve">2. Spatial Cytokine Visualization</w:t>
      </w:r>
    </w:p>
    <w:p>
      <w:pPr>
        <w:pStyle w:val="FirstParagraph"/>
      </w:pPr>
      <w:r>
        <w:t xml:space="preserve">To characterize immunosuppressive cytokine expression in situ, six cytokines were queried across all biopsy sections: IL4, IL10, IL13, TGFB1, TGFB2, and TGFB3. For each sample and each cytokine present in the variable features, spatial expression plots were generated using</w:t>
      </w:r>
      <w:r>
        <w:t xml:space="preserve"> </w:t>
      </w:r>
      <w:r>
        <w:rPr>
          <w:rStyle w:val="VerbatimChar"/>
        </w:rPr>
        <w:t xml:space="preserve">sc.pl.spatial()</w:t>
      </w:r>
      <w:r>
        <w:t xml:space="preserve"> </w:t>
      </w:r>
      <w:r>
        <w:t xml:space="preserve">from scanpy with the viridis colormap (</w:t>
      </w:r>
      <w:r>
        <w:rPr>
          <w:rStyle w:val="VerbatimChar"/>
        </w:rPr>
        <w:t xml:space="preserve">color_map='viridis'</w:t>
      </w:r>
      <w:r>
        <w:t xml:space="preserve">). Where cell-type-resolved pass1 expression layers were available for macrophage subtypes (identified by the keywords macrophage, CD163, CD14, HLA-DR, or CD11c), layer-specific expression was temporarily assigned as the primary expression matrix and plotted in parallel alongside the unresolved whole-spot expression. Plots were saved as PNG files at 300 DPI to</w:t>
      </w:r>
      <w:r>
        <w:t xml:space="preserve"> </w:t>
      </w:r>
      <w:r>
        <w:rPr>
          <w:rStyle w:val="VerbatimChar"/>
        </w:rPr>
        <w:t xml:space="preserve">figures/immune_secretion/</w:t>
      </w:r>
      <w:r>
        <w:t xml:space="preserve">.</w:t>
      </w:r>
    </w:p>
    <w:bookmarkEnd w:id="10"/>
    <w:bookmarkStart w:id="11" w:name="macrophage-pathway-enrichment"/>
    <w:p>
      <w:pPr>
        <w:pStyle w:val="Heading2"/>
      </w:pPr>
      <w:r>
        <w:t xml:space="preserve">3. Macrophage Pathway Enrichment</w:t>
      </w:r>
    </w:p>
    <w:p>
      <w:pPr>
        <w:pStyle w:val="FirstParagraph"/>
      </w:pPr>
      <w:r>
        <w:t xml:space="preserve">To characterize the functional identity of macrophage subtypes at the pathway level, cell-type-specific expression was extracted from each sample’s CITEgeist pass1 layers or obsm matrices for each macrophage subtype. For each layer, mean expression was computed across spots, genes with non-positive mean expression were excluded, and the resulting gene scores were rank-ordered by descending expression. Samples with fewer than 100 expressed genes in a given macrophage layer were excluded from downstream pathway analysis.</w:t>
      </w:r>
    </w:p>
    <w:p>
      <w:pPr>
        <w:pStyle w:val="BodyText"/>
      </w:pPr>
      <w:r>
        <w:t xml:space="preserve">Two complementary pathway enrichment approaches were applied. For over-representation analysis, the top 200 expressed genes per macrophage subtype per sample were submitted to</w:t>
      </w:r>
      <w:r>
        <w:t xml:space="preserve"> </w:t>
      </w:r>
      <w:r>
        <w:rPr>
          <w:rStyle w:val="VerbatimChar"/>
        </w:rPr>
        <w:t xml:space="preserve">gseapy.enrichr()</w:t>
      </w:r>
      <w:r>
        <w:t xml:space="preserve"> </w:t>
      </w:r>
      <w:r>
        <w:t xml:space="preserve">against three gene set libraries: MSigDB_Hallmark_2020, KEGG_2021_Human, and Reactome_2022. Significance was assessed using Benjamini-Hochberg adjusted p-values, and results were filtered to pathways with Adjusted P-value &lt; 0.05. Enrichment analyses were skipped for gene lists containing fewer than 10 genes.</w:t>
      </w:r>
    </w:p>
    <w:p>
      <w:pPr>
        <w:pStyle w:val="BodyText"/>
      </w:pPr>
      <w:r>
        <w:t xml:space="preserve">For rank-based enrichment, the full ranked gene score vector (mean expression per gene, sorted descending) was submitted to</w:t>
      </w:r>
      <w:r>
        <w:t xml:space="preserve"> </w:t>
      </w:r>
      <w:r>
        <w:rPr>
          <w:rStyle w:val="VerbatimChar"/>
        </w:rPr>
        <w:t xml:space="preserve">gseapy.prerank()</w:t>
      </w:r>
      <w:r>
        <w:t xml:space="preserve"> </w:t>
      </w:r>
      <w:r>
        <w:t xml:space="preserve">against the same three libraries using 1,000 permutations (</w:t>
      </w:r>
      <w:r>
        <w:rPr>
          <w:rStyle w:val="VerbatimChar"/>
        </w:rPr>
        <w:t xml:space="preserve">permutation_num=1000</w:t>
      </w:r>
      <w:r>
        <w:t xml:space="preserve">), a random seed of 12345 (</w:t>
      </w:r>
      <w:r>
        <w:rPr>
          <w:rStyle w:val="VerbatimChar"/>
        </w:rPr>
        <w:t xml:space="preserve">seed=12345</w:t>
      </w:r>
      <w:r>
        <w:t xml:space="preserve">), a minimum pathway gene set size of 5 (</w:t>
      </w:r>
      <w:r>
        <w:rPr>
          <w:rStyle w:val="VerbatimChar"/>
        </w:rPr>
        <w:t xml:space="preserve">min_size=5</w:t>
      </w:r>
      <w:r>
        <w:t xml:space="preserve">), and a maximum size of 1,000 (</w:t>
      </w:r>
      <w:r>
        <w:rPr>
          <w:rStyle w:val="VerbatimChar"/>
        </w:rPr>
        <w:t xml:space="preserve">max_size=1000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threads=4</w:t>
      </w:r>
      <w:r>
        <w:t xml:space="preserve"> </w:t>
      </w:r>
      <w:r>
        <w:t xml:space="preserve">parameter was used for parallelization. Intermediate results from both analyses were serialized as pickle files (</w:t>
      </w:r>
      <w:r>
        <w:rPr>
          <w:rStyle w:val="VerbatimChar"/>
        </w:rPr>
        <w:t xml:space="preserve">enrichment_results.pkl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prerank_results.pkl</w:t>
      </w:r>
      <w:r>
        <w:t xml:space="preserve">) to support figure regeneration without re-running the full computation.</w:t>
      </w:r>
    </w:p>
    <w:p>
      <w:pPr>
        <w:pStyle w:val="BodyText"/>
      </w:pPr>
      <w:r>
        <w:t xml:space="preserve">To focus on immune secretory biology, all enrichment and prerank results were filtered at the pathway level to retain only terms containing</w:t>
      </w:r>
      <w:r>
        <w:t xml:space="preserve"> </w:t>
      </w:r>
      <w:r>
        <w:t xml:space="preserve">“TGF”</w:t>
      </w:r>
      <w:r>
        <w:t xml:space="preserve"> </w:t>
      </w:r>
      <w:r>
        <w:t xml:space="preserve">or</w:t>
      </w:r>
      <w:r>
        <w:t xml:space="preserve"> </w:t>
      </w:r>
      <w:r>
        <w:t xml:space="preserve">“interleukin”</w:t>
      </w:r>
      <w:r>
        <w:t xml:space="preserve"> </w:t>
      </w:r>
      <w:r>
        <w:t xml:space="preserve">(case-insensitive) in their name.</w:t>
      </w:r>
    </w:p>
    <w:bookmarkEnd w:id="11"/>
    <w:bookmarkStart w:id="12" w:name="summary-visualization"/>
    <w:p>
      <w:pPr>
        <w:pStyle w:val="Heading2"/>
      </w:pPr>
      <w:r>
        <w:t xml:space="preserve">4. Summary Visualization</w:t>
      </w:r>
    </w:p>
    <w:p>
      <w:pPr>
        <w:pStyle w:val="FirstParagraph"/>
      </w:pPr>
      <w:r>
        <w:t xml:space="preserve">Separate summary heatmaps were generated for enrichment results and prerank GSEA results to display interleukin and TGF-beta pathway activity in CD163+ (Immunosuppressive) macrophages across all six biopsy samples. For each analysis type, results were restricted to the CD163-containing macrophage subtype and further filtered to a predefined set of interleukin and TGF-beta targets: interleukin-1, interleukin-4, interleukin-6, interleukin-10, interleukin-12, interleukin-13, interleukin-23, and TGF-beta/transforming growth factor terms (matched as case-insensitive substring patterns). Reactome pathway identifiers (R-HSA-XXXXXXX suffixes) were removed from term names for readability. For each (pathway, sample) combination, the minimum adjusted p-value across gene set libraries was taken. The resulting matrix was visualized as a heatmap of –log10(Adjusted P-value) using seaborn’s</w:t>
      </w:r>
      <w:r>
        <w:t xml:space="preserve"> </w:t>
      </w:r>
      <w:r>
        <w:rPr>
          <w:rStyle w:val="VerbatimChar"/>
        </w:rPr>
        <w:t xml:space="preserve">heatmap()</w:t>
      </w:r>
      <w:r>
        <w:t xml:space="preserve"> </w:t>
      </w:r>
      <w:r>
        <w:t xml:space="preserve">with the Reds colormap, cell borders (linewidths=0.5), and a colorbar labeled</w:t>
      </w:r>
      <w:r>
        <w:t xml:space="preserve"> </w:t>
      </w:r>
      <w:r>
        <w:t xml:space="preserve">‘-log10(Adj P-value)’</w:t>
      </w:r>
      <w:r>
        <w:t xml:space="preserve">. Figures were saved in both PNG and SVG formats at 600 DPI to</w:t>
      </w:r>
      <w:r>
        <w:t xml:space="preserve"> </w:t>
      </w:r>
      <w:r>
        <w:rPr>
          <w:rStyle w:val="VerbatimChar"/>
        </w:rPr>
        <w:t xml:space="preserve">figures/immune_pathways/dotplots/</w:t>
      </w:r>
      <w:r>
        <w:t xml:space="preserve">. Sample labels were abbreviated S1–S6 corresponding to HCC22-088-P1-S1, HCC22-088-P2-S1, HCC22-088-P3-S1_A, HCC22-088-P4-S1, HCC22-088-P5-S1, and HCC22-088-P6-S1.</w:t>
      </w:r>
    </w:p>
    <w:bookmarkEnd w:id="12"/>
    <w:bookmarkStart w:id="13" w:name="software-and-reproducibility"/>
    <w:p>
      <w:pPr>
        <w:pStyle w:val="Heading2"/>
      </w:pPr>
      <w:r>
        <w:t xml:space="preserve">5. Software and Reproducibility</w:t>
      </w:r>
    </w:p>
    <w:p>
      <w:pPr>
        <w:pStyle w:val="FirstParagraph"/>
      </w:pPr>
      <w:r>
        <w:t xml:space="preserve">All analyses were performed in Python using the</w:t>
      </w:r>
      <w:r>
        <w:t xml:space="preserve"> </w:t>
      </w:r>
      <w:r>
        <w:rPr>
          <w:rStyle w:val="VerbatimChar"/>
        </w:rPr>
        <w:t xml:space="preserve">erp_brca_aging</w:t>
      </w:r>
      <w:r>
        <w:t xml:space="preserve"> </w:t>
      </w:r>
      <w:r>
        <w:t xml:space="preserve">conda environment. Core packages included scanpy (spatial plotting), gseapy (enrichment and prerank analyses), pandas, numpy, seaborn, and matplotlib. Figure parameters were standardized via a shared</w:t>
      </w:r>
      <w:r>
        <w:t xml:space="preserve"> </w:t>
      </w:r>
      <w:r>
        <w:rPr>
          <w:rStyle w:val="VerbatimChar"/>
        </w:rPr>
        <w:t xml:space="preserve">figure_config.py</w:t>
      </w:r>
      <w:r>
        <w:t xml:space="preserve"> </w:t>
      </w:r>
      <w:r>
        <w:t xml:space="preserve">module enforcing a minimum font size of 14 pt (Arial typeface), a display DPI of 100, and a save DPI of 300 (600 DPI for the summary heatmap). Figures were saved in dual PNG and SVG format. A random seed of 12345 was applied to all stochastic operations, specifically the GSEA prerank permutation step (</w:t>
      </w:r>
      <w:r>
        <w:rPr>
          <w:rStyle w:val="VerbatimChar"/>
        </w:rPr>
        <w:t xml:space="preserve">seed=12345</w:t>
      </w:r>
      <w:r>
        <w:t xml:space="preserve">).</w:t>
      </w:r>
    </w:p>
    <w:bookmarkEnd w:id="13"/>
    <w:bookmarkStart w:id="14" w:name="main-text-summary"/>
    <w:p>
      <w:pPr>
        <w:pStyle w:val="Heading2"/>
      </w:pPr>
      <w:r>
        <w:t xml:space="preserve">Main Text Summary</w:t>
      </w:r>
    </w:p>
    <w:p>
      <w:pPr>
        <w:pStyle w:val="FirstParagraph"/>
      </w:pPr>
      <w:r>
        <w:t xml:space="preserve">Six 10x Visium spatial transcriptomics sections from patient HCC22-088 (Carleton et al., [year], [journal]) were analyzed for macrophage-associated cytokine and pathway activity. CITEgeist deconvolution (Chang et al.) resolved spot-level expression into nine cell types including three macrophage subtypes (CD163+, CD14+HLA-DR+, CD11c+). Cytokine expression (IL4, IL10, IL13, TGFB1–3) was mapped spatially using the viridis colormap in scanpy. Cell-type-specific expression was extracted from CITEgeist pass1 layers or obsm matrices. Macrophage pathway enrichment was performed using the top 200 expressed genes (genes with non-positive mean expression excluded) per subtype per sample with gseapy enrichr (MSigDB_Hallmark_2020, KEGG_2021_Human, Reactome_2022; FDR &lt; 0.05) and gseapy prerank (1,000 permutations, seed 12345, min pathway size 5, max 1,000). Results were filtered to interleukin and TGF pathway terms; the final CD163+ macrophage summary heatmap displays both interleukin (IL-1, IL-4, IL-6, IL-10, IL-12, IL-13, IL-23) and TGF-beta pathways.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2026-03-23T14:32:25Z</dcterms:created>
  <dcterms:modified xsi:type="dcterms:W3CDTF">2026-03-23T14:32:25Z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