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6" w:name="methods"/>
    <w:p>
      <w:pPr>
        <w:pStyle w:val="Heading1"/>
      </w:pPr>
      <w:r>
        <w:t xml:space="preserve">Methods</w:t>
      </w:r>
    </w:p>
    <w:bookmarkStart w:id="16" w:name="computational-analysis"/>
    <w:p>
      <w:pPr>
        <w:pStyle w:val="Heading2"/>
      </w:pPr>
      <w:r>
        <w:t xml:space="preserve">Computational Analysis</w:t>
      </w:r>
    </w:p>
    <w:bookmarkStart w:id="9" w:name="human-bulk-rna-seq"/>
    <w:p>
      <w:pPr>
        <w:pStyle w:val="Heading3"/>
      </w:pPr>
      <w:r>
        <w:t xml:space="preserve">Human Bulk RNA-seq</w:t>
      </w:r>
    </w:p>
    <w:p>
      <w:pPr>
        <w:pStyle w:val="FirstParagraph"/>
      </w:pPr>
      <w:r>
        <w:t xml:space="preserve">Human ER+ breast cancer bulk RNA-seq data (39,404 genes, 168 samples) were preprocessed by filtering to protein-coding genes using NCBI gene annotations. When raw counts were available, DESeq2 variance-stabilizing transformation (VST) was applied; otherwise, pre-computed log2(TPM) values were used as the expression matrix. Estrogen pathway activity was quantified using GSVA (v2.x,</w:t>
      </w:r>
      <w:r>
        <w:t xml:space="preserve"> </w:t>
      </w:r>
      <w:r>
        <w:rPr>
          <w:rStyle w:val="VerbatimChar"/>
        </w:rPr>
        <w:t xml:space="preserve">kcdf = "Gaussian"</w:t>
      </w:r>
      <w:r>
        <w:t xml:space="preserve">,</w:t>
      </w:r>
      <w:r>
        <w:t xml:space="preserve"> </w:t>
      </w:r>
      <w:r>
        <w:rPr>
          <w:rStyle w:val="VerbatimChar"/>
        </w:rPr>
        <w:t xml:space="preserve">maxDiff = TRUE</w:t>
      </w:r>
      <w:r>
        <w:t xml:space="preserve">) across seven curated estrogen-related gene sets: two MSigDB Hallmark (Estrogen Response Early/Late), one Reactome (Estrogen Dependent Gene Expression), one WikiPathways (Estrogen Signaling Pathway), two GO Biological Process terms (Cellular Response to Estrogen Stimulus; Response to Estrogen), and a custom E1-responsive gene set (407 genes uniquely upregulated by estrone but not estradiol, FC&gt;2, q&lt;0.05; Table S1 from Liguori et al., Cell Metabolism, 2020). PROGENy pathway activity was inferred using the top 100 footprint genes per pathway with 1,000 permutations. Spearman rank correlations between nine estrogen-related genes (PAK4, HSD17B7, GREB1, PGR, ESR1, TFF1, CYP19A1, HSD17B2, SAA1) plus chronological age and all pathway activity scores were computed for Young and Elderly tumor samples, with Benjamini-Hochberg false discovery rate correction applied across all tests. MICA concordance analysis was performed across TCGA, METABRIC, and SCAN-B cohorts using GSVA with two age stratification schemes and 500 permutations. All analyses used R 4.3 with seed 12345 for reproducibility.</w:t>
      </w:r>
    </w:p>
    <w:bookmarkEnd w:id="9"/>
    <w:bookmarkStart w:id="10" w:name="rat-snrna-seq"/>
    <w:p>
      <w:pPr>
        <w:pStyle w:val="Heading3"/>
      </w:pPr>
      <w:r>
        <w:t xml:space="preserve">Rat snRNA-seq</w:t>
      </w:r>
    </w:p>
    <w:p>
      <w:pPr>
        <w:pStyle w:val="FirstParagraph"/>
      </w:pPr>
      <w:r>
        <w:t xml:space="preserve">Single-nucleus RNA sequencing data from six NMU-induced rat mammary tumors (three Aged, three Young; GEO: GSE276758) were processed using Seurat v5. Nuclei were filtered by gene count (200–6,000), UMI count (&gt;400), and mitochondrial content (&lt;15%), and doublets were removed using DoubletFinder (5% expected rate, per-sample pK optimization). Data were normalized with SCTransform (glmGamPoi, regressing mitochondrial percentage) and integrated across samples using Harmony. UMAP embedding and shared nearest neighbor clustering (Louvain algorithm, resolution 0.4) were computed on the first 30 Harmony-corrected components. Cell types were annotated by scoring clusters against canonical mammary tissue marker gene sets; a parallel scType-based annotation confirmed immune cell identification. Differential expression between age groups was tested per cell type using pseudobulk DESeq2 on sample-aggregated counts (design ~ group, Aged vs Young contrast, BH-corrected FDR &lt; 0.05), and differential abundance was assessed using propeller (speckle package) on scType cell type labels with Benjamini-Hochberg correction. All primary pipeline scripts used random seed 12345.</w:t>
      </w:r>
    </w:p>
    <w:bookmarkEnd w:id="10"/>
    <w:bookmarkStart w:id="11" w:name="rat-whole-exome-sequencing"/>
    <w:p>
      <w:pPr>
        <w:pStyle w:val="Heading3"/>
      </w:pPr>
      <w:r>
        <w:t xml:space="preserve">Rat Whole Exome Sequencing</w:t>
      </w:r>
    </w:p>
    <w:p>
      <w:pPr>
        <w:pStyle w:val="FirstParagraph"/>
      </w:pPr>
      <w:r>
        <w:t xml:space="preserve">Somatic variants from whole exome sequencing of six rat mammary tumors (three young, three old; matched spleen germline controls) were annotated using Ensembl VEP v114.2 (Rnor_6.0 assembly, cache v104) and filtered for HIGH or MODERATE impact consequences on Ensembl-annotated genes. Mutational signatures were decomposed against COSMIC v3.4 SBS references using SigProfilerAssignment with 96-trinucleotide context on the rn6 genome, using genome-wide trinucleotide frequencies for normalization (exome-specific normalization was not applied due to a software limitation in SigProfiler for non-human genomes; all samples share the same bias, preserving relative comparisons). For oncoplot visualization, rat genes were mapped to human orthologs via BioMart and filtered against a curated panel of 201 unique cancer-associated genes. When multiple variants affected the same gene in a sample, the highest-impact consequence was retained.</w:t>
      </w:r>
    </w:p>
    <w:bookmarkEnd w:id="11"/>
    <w:bookmarkStart w:id="12" w:name="human-single-cell-rna-seq"/>
    <w:p>
      <w:pPr>
        <w:pStyle w:val="Heading3"/>
      </w:pPr>
      <w:r>
        <w:t xml:space="preserve">Human Single-Cell RNA-seq</w:t>
      </w:r>
    </w:p>
    <w:p>
      <w:pPr>
        <w:pStyle w:val="FirstParagraph"/>
      </w:pPr>
      <w:r>
        <w:t xml:space="preserve">Single-cell RNA-seq data from the Xu et al. (2024) Primary Breast Tumor Atlas were analyzed to characterize age-dependent transcriptional changes in hormone receptor-positive breast cancer. Treatment-naive HR+ patients (n ~ 36) were stratified into Young (age &lt;= 50), MidAge (51-80), and Elderly (&gt; 80) groups. Following quality control (200-6,000 genes, &gt;= 400 UMIs, &lt; 15% mitochondrial), SCTransform normalization, Harmony batch correction across 9 source studies, and atlas-derived cell type annotation (18 cell types), the dataset comprised approximately 115,000 cells. Cell type proportions were compared across age groups using Wilcoxon rank-sum tests with BH-FDR correction. GSVA pathway activity analysis was performed on estrogen-related gene sets from Hallmark, Reactome, WikiPathways, and GO collections using pseudo-bulk aggregation (CPM + log2, Gaussian kernel). PROGENy footprint-based pathway activity and WCSEA enrichment supplemented GSVA findings. Macrophage-focused pseudobulk differential expression (DESeq2) identified age-associated genes, with downstream pathway enrichment (hypergeometric test, Hallmark/BioCarta) and ENRICHR analysis (6 databases, per-library FDR correction). Cell-cell communication was assessed using both CellPhoneDB (v4/v5, permutation test, seed 42) and CellChat (Secreted Signaling database, truncated mean method), comparing macrophage-immune cell interactions between age groups. Multi-cell-type GSVA with Welch t-tests on per-patient pseudo-bulk scores (summed counts, CPM + log2; per-cell-type curated-pathway FDR correction, minimum 3 patients per group) identified age-differential pathway activity patterns across immune, epithelial, and stromal compartments.</w:t>
      </w:r>
    </w:p>
    <w:bookmarkEnd w:id="12"/>
    <w:bookmarkStart w:id="13" w:name="rat-bulk-rna-seq"/>
    <w:p>
      <w:pPr>
        <w:pStyle w:val="Heading3"/>
      </w:pPr>
      <w:r>
        <w:t xml:space="preserve">Rat Bulk RNA-seq</w:t>
      </w:r>
    </w:p>
    <w:p>
      <w:pPr>
        <w:pStyle w:val="FirstParagraph"/>
      </w:pPr>
      <w:r>
        <w:t xml:space="preserve">Bulk RNA-seq from six rat mammary tumors (GEO: GSE276757) was processed through a four-stage pipeline: adapter trimming (fastp v0.23.4, Q&gt;=20, length&gt;=36 bp), alignment to the mRatBN7.2 rat genome (STAR v2.7.11b), and gene-level quantification (htseq-count v0.13.5, reverse-stranded). Differential expression analysis was performed with DESeq2 using a ~TYPE design formula (TEST vs CONTROL, FDR &lt; 0.05). PAM50 molecular subtyping was performed using the genefu package on log2(CPM + 1)-transformed, per-gene median-centered expression with a manually curated human-to-rat ortholog mapping of all 50 classifier genes. Pipeline outputs were validated against an independent analysis, confirming high concordance in read counts (Pearson r &gt;= 0.99), significant gene sets (overlap coefficient &gt;= 0.90), and subtype assignments.</w:t>
      </w:r>
    </w:p>
    <w:bookmarkEnd w:id="13"/>
    <w:bookmarkStart w:id="14" w:name="spatial-biopsy-analysis"/>
    <w:p>
      <w:pPr>
        <w:pStyle w:val="Heading3"/>
      </w:pPr>
      <w:r>
        <w:t xml:space="preserve">Spatial Biopsy Analysis</w:t>
      </w:r>
    </w:p>
    <w:p>
      <w:pPr>
        <w:pStyle w:val="FirstParagraph"/>
      </w:pPr>
      <w:r>
        <w:t xml:space="preserve">Six 10x Visium spatial transcriptomics biopsies from patient HCC22-088 (Carleton et al.) were deconvolved into 9 cell types using CITEgeist, including three macrophage subtypes: CD163+ immunosuppressive, CD14+HLA-DR+ inflammatory, and CD11c+ T cell-interacting macrophages. Spatial expression of immunomodulatory cytokines (IL4, IL10, IL13, TGFB1, TGFB2, TGFB3) was mapped for macrophage subtypes across all six biopsies. Macrophage pathway enrichment was assessed by extracting the top 200 expressed genes (non-positive expression excluded) per macrophage subtype per sample from pass1 layers or obsm matrices, and testing against MSigDB Hallmark, KEGG 2021, and Reactome 2022 gene sets using gseapy enrichr (FDR &lt; 0.05) and GSEA prerank (1,000 permutations, seed 12345, pathway size 5–1,000 genes). The CD163+ macrophage summary heatmap displays both interleukin and TGF-beta pathway activity.</w:t>
      </w:r>
    </w:p>
    <w:bookmarkEnd w:id="14"/>
    <w:bookmarkStart w:id="15" w:name="organoid-single-cell-rna-seq"/>
    <w:p>
      <w:pPr>
        <w:pStyle w:val="Heading3"/>
      </w:pPr>
      <w:r>
        <w:t xml:space="preserve">Organoid Single-Cell RNA-seq</w:t>
      </w:r>
    </w:p>
    <w:p>
      <w:pPr>
        <w:pStyle w:val="FirstParagraph"/>
      </w:pPr>
      <w:r>
        <w:t xml:space="preserve">PDO-296, a patient-derived organoid from the study cohort, was profiled across 7 treatment conditions (Vehicle, E1, E2, E1+fulvestrant, E2+fulvestrant, E1+HSD17B7i, E2+HSD17B7i) using 10x Chromium Flex with a custom GRCh38-2024-A reference genome in which probe filtering was disabled (</w:t>
      </w:r>
      <w:r>
        <w:rPr>
          <w:rStyle w:val="VerbatimChar"/>
        </w:rPr>
        <w:t xml:space="preserve">filter-probes=false</w:t>
      </w:r>
      <w:r>
        <w:t xml:space="preserve">) to retain HSD17B7, the drug target absent from the default v1.1.0 probe set. After Scrublet doublet detection (expected rate 0.06) and QC filtering (≥500 genes, ≥1,000 UMIs, &lt;15% mitochondrial), cells were normalized (CPM, target sum 10,000; log1p), 3,000 highly variable genes selected (seurat_v3 method), and clustered using the Leiden algorithm (resolution 0.5) on 30 PCA components. Pseudobulk differential expression (PyDESeq2, FDR &lt; 0.05, |log2FC| &gt; 0.5) was attempted for three primary comparisons but was skipped at runtime due to insufficient biological replicates (n=1 per condition). Pathway activity was inferred using GSEA prerank (MSigDB Hallmark, 1,000 permutations, seed 42), PROGENy (top 300 footprints), and DoRothEA (levels A/B/C) via decoupler. Eight custom gene sets and four ER subprograms were scored at single-cell resolution (sc.tl.score_genes) with Mann-Whitney U tests, two-sample Kolmogorov-Smirnov tests, Cohen’s d effect sizes, and BH-FDR correction. Cell cycle phase distributions were compared across treatments using chi-square tests. Proliferating cells were classified using a two-component Gaussian mixture model on proliferation scores. HSD17B7 inhibitor mechanism was investigated through E1/E2-dominant gene signature classification and projection analysis. Intra-treatment heterogeneity was assessed via neighborhood mixing entropy, silhouette scores, and an estrogen response continuum analysis. All stochastic analyses used seed 42.</w:t>
      </w:r>
      <w:r>
        <w:t xml:space="preserve"> </w:t>
      </w:r>
      <w:r>
        <w:t xml:space="preserve"># Supplementary Methods</w:t>
      </w:r>
    </w:p>
    <w:bookmarkEnd w:id="15"/>
    <w:bookmarkEnd w:id="16"/>
    <w:bookmarkStart w:id="25" w:name="table-of-contents"/>
    <w:p>
      <w:pPr>
        <w:pStyle w:val="Heading2"/>
      </w:pPr>
      <w:r>
        <w:t xml:space="preserve">Table of Contents</w:t>
      </w:r>
    </w:p>
    <w:p>
      <w:pPr>
        <w:pStyle w:val="Compact"/>
        <w:numPr>
          <w:ilvl w:val="0"/>
          <w:numId w:val="1001"/>
        </w:numPr>
      </w:pPr>
      <w:hyperlink r:id="rId17">
        <w:r>
          <w:rPr>
            <w:rStyle w:val="Hyperlink"/>
          </w:rPr>
          <w:t xml:space="preserve">Human Bulk RNA-seq Analysis</w:t>
        </w:r>
      </w:hyperlink>
    </w:p>
    <w:p>
      <w:pPr>
        <w:pStyle w:val="Compact"/>
        <w:numPr>
          <w:ilvl w:val="0"/>
          <w:numId w:val="1001"/>
        </w:numPr>
      </w:pPr>
      <w:hyperlink r:id="rId18">
        <w:r>
          <w:rPr>
            <w:rStyle w:val="Hyperlink"/>
          </w:rPr>
          <w:t xml:space="preserve">Rat snRNA-seq Analysis</w:t>
        </w:r>
      </w:hyperlink>
    </w:p>
    <w:p>
      <w:pPr>
        <w:pStyle w:val="Compact"/>
        <w:numPr>
          <w:ilvl w:val="0"/>
          <w:numId w:val="1001"/>
        </w:numPr>
      </w:pPr>
      <w:hyperlink r:id="rId19">
        <w:r>
          <w:rPr>
            <w:rStyle w:val="Hyperlink"/>
          </w:rPr>
          <w:t xml:space="preserve">Rat Whole Exome Sequencing</w:t>
        </w:r>
      </w:hyperlink>
    </w:p>
    <w:p>
      <w:pPr>
        <w:pStyle w:val="Compact"/>
        <w:numPr>
          <w:ilvl w:val="0"/>
          <w:numId w:val="1001"/>
        </w:numPr>
      </w:pPr>
      <w:hyperlink r:id="rId20">
        <w:r>
          <w:rPr>
            <w:rStyle w:val="Hyperlink"/>
          </w:rPr>
          <w:t xml:space="preserve">Human Single-Cell RNA-seq Analysis</w:t>
        </w:r>
      </w:hyperlink>
    </w:p>
    <w:p>
      <w:pPr>
        <w:pStyle w:val="Compact"/>
        <w:numPr>
          <w:ilvl w:val="0"/>
          <w:numId w:val="1001"/>
        </w:numPr>
      </w:pPr>
      <w:hyperlink r:id="rId21">
        <w:r>
          <w:rPr>
            <w:rStyle w:val="Hyperlink"/>
          </w:rPr>
          <w:t xml:space="preserve">Rat Bulk RNA-seq Analysis</w:t>
        </w:r>
      </w:hyperlink>
    </w:p>
    <w:p>
      <w:pPr>
        <w:pStyle w:val="Compact"/>
        <w:numPr>
          <w:ilvl w:val="0"/>
          <w:numId w:val="1001"/>
        </w:numPr>
      </w:pPr>
      <w:hyperlink r:id="rId22">
        <w:r>
          <w:rPr>
            <w:rStyle w:val="Hyperlink"/>
          </w:rPr>
          <w:t xml:space="preserve">Spatial Biopsy Analysis</w:t>
        </w:r>
      </w:hyperlink>
    </w:p>
    <w:p>
      <w:pPr>
        <w:pStyle w:val="Compact"/>
        <w:numPr>
          <w:ilvl w:val="0"/>
          <w:numId w:val="1001"/>
        </w:numPr>
      </w:pPr>
      <w:hyperlink r:id="rId23">
        <w:r>
          <w:rPr>
            <w:rStyle w:val="Hyperlink"/>
          </w:rPr>
          <w:t xml:space="preserve">Organoid Single-Cell RNA-seq Analysis</w:t>
        </w:r>
      </w:hyperlink>
    </w:p>
    <w:p>
      <w:r>
        <w:pict>
          <v:rect style="width:0;height:1.5pt" o:hralign="center" o:hrstd="t" o:hr="t"/>
        </w:pict>
      </w:r>
    </w:p>
    <w:p>
      <w:pPr>
        <w:pStyle w:val="FirstParagraph"/>
      </w:pPr>
      <w:r>
        <w:t xml:space="preserve">For code review issues and known limitations, see</w:t>
      </w:r>
      <w:r>
        <w:t xml:space="preserve"> </w:t>
      </w:r>
      <w:hyperlink r:id="rId24">
        <w:r>
          <w:rPr>
            <w:rStyle w:val="VerbatimChar"/>
          </w:rPr>
          <w:t xml:space="preserve">docs/code_review/code_review_issues.md</w:t>
        </w:r>
      </w:hyperlink>
      <w:r>
        <w:t xml:space="preserve">.</w:t>
      </w:r>
      <w:r>
        <w:t xml:space="preserve"> </w:t>
      </w:r>
      <w:r>
        <w:t xml:space="preserve"># Computational Methods: Human Bulk RNA-seq Analysis (</w:t>
      </w:r>
      <w:r>
        <w:rPr>
          <w:rStyle w:val="VerbatimChar"/>
        </w:rPr>
        <w:t xml:space="preserve">01_human_bulk_rnaseq</w:t>
      </w:r>
      <w:r>
        <w:t xml:space="preserve">)</w:t>
      </w:r>
    </w:p>
    <w:bookmarkEnd w:id="25"/>
    <w:bookmarkStart w:id="27" w:name="data-acquisition"/>
    <w:p>
      <w:pPr>
        <w:pStyle w:val="Heading2"/>
      </w:pPr>
      <w:r>
        <w:t xml:space="preserve">1. Data Acquisition</w:t>
      </w:r>
    </w:p>
    <w:p>
      <w:pPr>
        <w:pStyle w:val="FirstParagraph"/>
      </w:pPr>
      <w:r>
        <w:t xml:space="preserve">Human ER+ breast cancer bulk RNA-seq data were obtained as a pre-compiled feature count matrix (</w:t>
      </w:r>
      <w:r>
        <w:rPr>
          <w:rStyle w:val="VerbatimChar"/>
        </w:rPr>
        <w:t xml:space="preserve">HumanERpAge_39404g168s_FeatureCount.txt</w:t>
      </w:r>
      <w:r>
        <w:t xml:space="preserve">) containing 39,404 genes across 168 samples, accompanied by a sample annotation file (</w:t>
      </w:r>
      <w:r>
        <w:rPr>
          <w:rStyle w:val="VerbatimChar"/>
        </w:rPr>
        <w:t xml:space="preserve">HumanERpAge_BulkRNAseq_SampleInformation.txt</w:t>
      </w:r>
      <w:r>
        <w:t xml:space="preserve">). A parallel log2-transformed TPM matrix (</w:t>
      </w:r>
      <w:r>
        <w:rPr>
          <w:rStyle w:val="VerbatimChar"/>
        </w:rPr>
        <w:t xml:space="preserve">HumanERpAge_39404g168s_TPMlog2.txt</w:t>
      </w:r>
      <w:r>
        <w:t xml:space="preserve">) was provided as a fallback for analyses not requiring raw counts. Sample metadata included chronological age, tissue type (Tumor or Tumor-Adjacent), and age range classification. Gene annotations were obtained from NCBI (</w:t>
      </w:r>
      <w:r>
        <w:rPr>
          <w:rStyle w:val="VerbatimChar"/>
        </w:rPr>
        <w:t xml:space="preserve">Homo_sapiens.gene_info.txt</w:t>
      </w:r>
      <w:r>
        <w:t xml:space="preserve">) for protein-coding gene filtering.</w:t>
      </w:r>
    </w:p>
    <w:p>
      <w:pPr>
        <w:pStyle w:val="BodyText"/>
      </w:pPr>
      <w:r>
        <w:t xml:space="preserve">For the MICA concordance analysis (subdirectory</w:t>
      </w:r>
      <w:r>
        <w:t xml:space="preserve"> </w:t>
      </w:r>
      <w:r>
        <w:rPr>
          <w:rStyle w:val="VerbatimChar"/>
        </w:rPr>
        <w:t xml:space="preserve">mica/</w:t>
      </w:r>
      <w:r>
        <w:t xml:space="preserve">), external validation cohorts were planned from TCGA, METABRIC, and SCAN-B datasets (</w:t>
      </w:r>
      <w:r>
        <w:rPr>
          <w:rStyle w:val="VerbatimChar"/>
        </w:rPr>
        <w:t xml:space="preserve">ilc_clean_data.RData</w:t>
      </w:r>
      <w:r>
        <w:t xml:space="preserve">,</w:t>
      </w:r>
      <w:r>
        <w:t xml:space="preserve"> </w:t>
      </w:r>
      <w:r>
        <w:rPr>
          <w:rStyle w:val="VerbatimChar"/>
        </w:rPr>
        <w:t xml:space="preserve">METABRIC_Clinical_Info.csv</w:t>
      </w:r>
      <w:r>
        <w:t xml:space="preserve">,</w:t>
      </w:r>
      <w:r>
        <w:t xml:space="preserve"> </w:t>
      </w:r>
      <w:r>
        <w:rPr>
          <w:rStyle w:val="VerbatimChar"/>
        </w:rPr>
        <w:t xml:space="preserve">TCGA_Key.csv</w:t>
      </w:r>
      <w:r>
        <w:t xml:space="preserve">).</w:t>
      </w:r>
    </w:p>
    <w:bookmarkStart w:id="26" w:name="age-group-definitions"/>
    <w:p>
      <w:pPr>
        <w:pStyle w:val="Heading3"/>
      </w:pPr>
      <w:r>
        <w:t xml:space="preserve">Age Group Definitions</w:t>
      </w:r>
    </w:p>
    <w:p>
      <w:pPr>
        <w:pStyle w:val="FirstParagraph"/>
      </w:pPr>
      <w:r>
        <w:t xml:space="preserve">Samples were classified into age groups as follows:</w:t>
      </w:r>
    </w:p>
    <w:p>
      <w:pPr>
        <w:pStyle w:val="Compact"/>
        <w:numPr>
          <w:ilvl w:val="0"/>
          <w:numId w:val="1002"/>
        </w:numPr>
      </w:pPr>
      <w:r>
        <w:rPr>
          <w:b/>
          <w:bCs/>
        </w:rPr>
        <w:t xml:space="preserve">Primary analysis (main pipeline):</w:t>
      </w:r>
      <w:r>
        <w:t xml:space="preserve"> </w:t>
      </w:r>
      <w:r>
        <w:t xml:space="preserve">Age groups were derived from the sample annotation column</w:t>
      </w:r>
      <w:r>
        <w:t xml:space="preserve"> </w:t>
      </w:r>
      <w:r>
        <w:rPr>
          <w:rStyle w:val="VerbatimChar"/>
        </w:rPr>
        <w:t xml:space="preserve">AgeRange</w:t>
      </w:r>
      <w:r>
        <w:t xml:space="preserve"> </w:t>
      </w:r>
      <w:r>
        <w:t xml:space="preserve">(categorical values: Young, Middle, Elderly). Numeric age boundaries are Young: 35–44 years, Middle: 54–69 years, Elderly: 70–85 years; the correlation analysis (script</w:t>
      </w:r>
      <w:r>
        <w:t xml:space="preserve"> </w:t>
      </w:r>
      <w:r>
        <w:rPr>
          <w:rStyle w:val="VerbatimChar"/>
        </w:rPr>
        <w:t xml:space="preserve">04_correlations.R</w:t>
      </w:r>
      <w:r>
        <w:t xml:space="preserve">) restricted to Young and Elderly tumor samples only, excluding Middle-aged samples.</w:t>
      </w:r>
    </w:p>
    <w:p>
      <w:pPr>
        <w:pStyle w:val="Compact"/>
        <w:numPr>
          <w:ilvl w:val="0"/>
          <w:numId w:val="1002"/>
        </w:numPr>
      </w:pPr>
      <w:r>
        <w:rPr>
          <w:b/>
          <w:bCs/>
        </w:rPr>
        <w:t xml:space="preserve">MICA sub-analysis:</w:t>
      </w:r>
      <w:r>
        <w:t xml:space="preserve"> </w:t>
      </w:r>
      <w:r>
        <w:t xml:space="preserve">Young: 35-45 years; Middle-Aged: 55-69 years; Elderly: &gt;= 70 years. A postmenopausal subdivision was also defined: Early: 55-59, Middle: 60-69, Elderly: &gt;= 70.</w:t>
      </w:r>
    </w:p>
    <w:bookmarkEnd w:id="26"/>
    <w:bookmarkEnd w:id="27"/>
    <w:bookmarkStart w:id="33" w:name="preprocessing"/>
    <w:p>
      <w:pPr>
        <w:pStyle w:val="Heading2"/>
      </w:pPr>
      <w:r>
        <w:t xml:space="preserve">2. Preprocessing</w:t>
      </w:r>
    </w:p>
    <w:p>
      <w:pPr>
        <w:pStyle w:val="FirstParagraph"/>
      </w:pPr>
      <w:r>
        <w:t xml:space="preserve">Preprocessing was performed in</w:t>
      </w:r>
      <w:r>
        <w:t xml:space="preserve"> </w:t>
      </w:r>
      <w:r>
        <w:rPr>
          <w:rStyle w:val="VerbatimChar"/>
        </w:rPr>
        <w:t xml:space="preserve">01_preprocess.R</w:t>
      </w:r>
      <w:r>
        <w:t xml:space="preserve"> </w:t>
      </w:r>
      <w:r>
        <w:t xml:space="preserve">with two operational modes depending on input data availability.</w:t>
      </w:r>
    </w:p>
    <w:bookmarkStart w:id="28" w:name="count-mode-primary"/>
    <w:p>
      <w:pPr>
        <w:pStyle w:val="Heading3"/>
      </w:pPr>
      <w:r>
        <w:t xml:space="preserve">Count Mode (Primary)</w:t>
      </w:r>
    </w:p>
    <w:p>
      <w:pPr>
        <w:pStyle w:val="FirstParagraph"/>
      </w:pPr>
      <w:r>
        <w:t xml:space="preserve">When raw feature counts are available (</w:t>
      </w:r>
      <w:r>
        <w:rPr>
          <w:rStyle w:val="VerbatimChar"/>
        </w:rPr>
        <w:t xml:space="preserve">HumanERpAge_39404g168s_FeatureCount.txt</w:t>
      </w:r>
      <w:r>
        <w:t xml:space="preserve">), the pipeline performs:</w:t>
      </w:r>
    </w:p>
    <w:p>
      <w:pPr>
        <w:numPr>
          <w:ilvl w:val="0"/>
          <w:numId w:val="1003"/>
        </w:numPr>
      </w:pPr>
      <w:r>
        <w:rPr>
          <w:b/>
          <w:bCs/>
        </w:rPr>
        <w:t xml:space="preserve">Gene annotation filtering:</w:t>
      </w:r>
      <w:r>
        <w:t xml:space="preserve"> </w:t>
      </w:r>
      <w:r>
        <w:t xml:space="preserve">Genes were filtered to retain only protein-coding genes from the NCBI gene annotation file, excluding genes matching the pattern</w:t>
      </w:r>
      <w:r>
        <w:t xml:space="preserve"> </w:t>
      </w:r>
      <w:r>
        <w:rPr>
          <w:rStyle w:val="VerbatimChar"/>
        </w:rPr>
        <w:t xml:space="preserve">^LOC\d+</w:t>
      </w:r>
      <w:r>
        <w:t xml:space="preserve"> </w:t>
      </w:r>
      <w:r>
        <w:t xml:space="preserve">(uncharacterized loci). This was applied using</w:t>
      </w:r>
      <w:r>
        <w:t xml:space="preserve"> </w:t>
      </w:r>
      <w:r>
        <w:rPr>
          <w:rStyle w:val="VerbatimChar"/>
        </w:rPr>
        <w:t xml:space="preserve">dplyr::filter(type_of_gene == "protein-coding", !grepl("^LOC\\d+", Symbol))</w:t>
      </w:r>
      <w:r>
        <w:t xml:space="preserve">.</w:t>
      </w:r>
    </w:p>
    <w:p>
      <w:pPr>
        <w:numPr>
          <w:ilvl w:val="0"/>
          <w:numId w:val="1003"/>
        </w:numPr>
      </w:pPr>
      <w:r>
        <w:rPr>
          <w:b/>
          <w:bCs/>
        </w:rPr>
        <w:t xml:space="preserve">Sample name harmonization:</w:t>
      </w:r>
      <w:r>
        <w:t xml:space="preserve"> </w:t>
      </w:r>
      <w:r>
        <w:t xml:space="preserve">Sample identifiers were stripped of the</w:t>
      </w:r>
      <w:r>
        <w:t xml:space="preserve"> </w:t>
      </w:r>
      <w:r>
        <w:rPr>
          <w:rStyle w:val="VerbatimChar"/>
        </w:rPr>
        <w:t xml:space="preserve">_LEE*</w:t>
      </w:r>
      <w:r>
        <w:t xml:space="preserve"> </w:t>
      </w:r>
      <w:r>
        <w:t xml:space="preserve">suffix using</w:t>
      </w:r>
      <w:r>
        <w:t xml:space="preserve"> </w:t>
      </w:r>
      <w:r>
        <w:rPr>
          <w:rStyle w:val="VerbatimChar"/>
        </w:rPr>
        <w:t xml:space="preserve">gsub("_LEE(.*)", "", colnames(count_data))</w:t>
      </w:r>
      <w:r>
        <w:t xml:space="preserve"> </w:t>
      </w:r>
      <w:r>
        <w:t xml:space="preserve">to match annotation file naming.</w:t>
      </w:r>
    </w:p>
    <w:p>
      <w:pPr>
        <w:numPr>
          <w:ilvl w:val="0"/>
          <w:numId w:val="1003"/>
        </w:numPr>
      </w:pPr>
      <w:r>
        <w:rPr>
          <w:b/>
          <w:bCs/>
        </w:rPr>
        <w:t xml:space="preserve">Expression normalization:</w:t>
      </w:r>
      <w:r>
        <w:t xml:space="preserve"> </w:t>
      </w:r>
      <w:r>
        <w:t xml:space="preserve">A DESeq2 object was created with design</w:t>
      </w:r>
      <w:r>
        <w:t xml:space="preserve"> </w:t>
      </w:r>
      <w:r>
        <w:rPr>
          <w:rStyle w:val="VerbatimChar"/>
        </w:rPr>
        <w:t xml:space="preserve">~ AgeRange + Group</w:t>
      </w:r>
      <w:r>
        <w:t xml:space="preserve">, and variance stabilizing transformation (VST) was applied via</w:t>
      </w:r>
      <w:r>
        <w:t xml:space="preserve"> </w:t>
      </w:r>
      <w:r>
        <w:rPr>
          <w:rStyle w:val="VerbatimChar"/>
        </w:rPr>
        <w:t xml:space="preserve">varianceStabilizingTransformation(dds, blind = FALSE)</w:t>
      </w:r>
      <w:r>
        <w:t xml:space="preserve">. The resulting VST matrix was saved as</w:t>
      </w:r>
      <w:r>
        <w:t xml:space="preserve"> </w:t>
      </w:r>
      <w:r>
        <w:rPr>
          <w:rStyle w:val="VerbatimChar"/>
        </w:rPr>
        <w:t xml:space="preserve">vst_normalized_matrix.rds</w:t>
      </w:r>
      <w:r>
        <w:t xml:space="preserve"> </w:t>
      </w:r>
      <w:r>
        <w:t xml:space="preserve">and used as input for GSVA and PROGENy.</w:t>
      </w:r>
    </w:p>
    <w:bookmarkEnd w:id="28"/>
    <w:bookmarkStart w:id="29" w:name="tpm-mode-fallback"/>
    <w:p>
      <w:pPr>
        <w:pStyle w:val="Heading3"/>
      </w:pPr>
      <w:r>
        <w:t xml:space="preserve">TPM Mode (Fallback)</w:t>
      </w:r>
    </w:p>
    <w:p>
      <w:pPr>
        <w:pStyle w:val="FirstParagraph"/>
      </w:pPr>
      <w:r>
        <w:t xml:space="preserve">When count data are unavailable, the pipeline falls back to reading pre-computed log2(TPM) values (</w:t>
      </w:r>
      <w:r>
        <w:rPr>
          <w:rStyle w:val="VerbatimChar"/>
        </w:rPr>
        <w:t xml:space="preserve">HumanERpAge_39404g168s_TPMlog2.txt</w:t>
      </w:r>
      <w:r>
        <w:t xml:space="preserve">). The matrix is deduplicated by gene symbol (the row with the highest mean expression across samples is retained) and saved as</w:t>
      </w:r>
      <w:r>
        <w:t xml:space="preserve"> </w:t>
      </w:r>
      <w:r>
        <w:rPr>
          <w:rStyle w:val="VerbatimChar"/>
        </w:rPr>
        <w:t xml:space="preserve">vst_normalized_matrix.rds</w:t>
      </w:r>
      <w:r>
        <w:t xml:space="preserve"> </w:t>
      </w:r>
      <w:r>
        <w:t xml:space="preserve">(named for downstream compatibility). No DESeq2 normalization is performed in this mode.</w:t>
      </w:r>
    </w:p>
    <w:bookmarkEnd w:id="29"/>
    <w:bookmarkStart w:id="30" w:name="quality-control"/>
    <w:p>
      <w:pPr>
        <w:pStyle w:val="Heading3"/>
      </w:pPr>
      <w:r>
        <w:t xml:space="preserve">Quality Control</w:t>
      </w:r>
    </w:p>
    <w:p>
      <w:pPr>
        <w:pStyle w:val="FirstParagraph"/>
      </w:pPr>
      <w:r>
        <w:t xml:space="preserve">QC visualizations were generated as a multi-page PDF (</w:t>
      </w:r>
      <w:r>
        <w:rPr>
          <w:rStyle w:val="VerbatimChar"/>
        </w:rPr>
        <w:t xml:space="preserve">qc_plots.pdf</w:t>
      </w:r>
      <w:r>
        <w:t xml:space="preserve">):</w:t>
      </w:r>
      <w:r>
        <w:t xml:space="preserve"> </w:t>
      </w:r>
      <w:r>
        <w:t xml:space="preserve">-</w:t>
      </w:r>
      <w:r>
        <w:t xml:space="preserve"> </w:t>
      </w:r>
      <w:r>
        <w:rPr>
          <w:b/>
          <w:bCs/>
        </w:rPr>
        <w:t xml:space="preserve">PCA plot:</w:t>
      </w:r>
      <w:r>
        <w:t xml:space="preserve"> </w:t>
      </w:r>
      <w:r>
        <w:t xml:space="preserve">Principal component analysis with</w:t>
      </w:r>
      <w:r>
        <w:t xml:space="preserve"> </w:t>
      </w:r>
      <w:r>
        <w:rPr>
          <w:rStyle w:val="VerbatimChar"/>
        </w:rPr>
        <w:t xml:space="preserve">prcomp(t(expr_matrix), center = TRUE, scale. = TRUE)</w:t>
      </w:r>
      <w:r>
        <w:t xml:space="preserve"> </w:t>
      </w:r>
      <w:r>
        <w:t xml:space="preserve">(TPM mode) or</w:t>
      </w:r>
      <w:r>
        <w:t xml:space="preserve"> </w:t>
      </w:r>
      <w:r>
        <w:rPr>
          <w:rStyle w:val="VerbatimChar"/>
        </w:rPr>
        <w:t xml:space="preserve">plotPCA()</w:t>
      </w:r>
      <w:r>
        <w:t xml:space="preserve"> </w:t>
      </w:r>
      <w:r>
        <w:t xml:space="preserve">from DESeq2 (count mode), colored by age range and shaped by tissue type.</w:t>
      </w:r>
      <w:r>
        <w:t xml:space="preserve"> </w:t>
      </w:r>
      <w:r>
        <w:t xml:space="preserve">-</w:t>
      </w:r>
      <w:r>
        <w:t xml:space="preserve"> </w:t>
      </w:r>
      <w:r>
        <w:rPr>
          <w:b/>
          <w:bCs/>
        </w:rPr>
        <w:t xml:space="preserve">Sample similarity:</w:t>
      </w:r>
      <w:r>
        <w:t xml:space="preserve"> </w:t>
      </w:r>
      <w:r>
        <w:t xml:space="preserve">Pearson correlation heatmap (TPM mode) or Euclidean distance heatmap (count mode) with hierarchical clustering, annotated by age range and tissue type, generated using</w:t>
      </w:r>
      <w:r>
        <w:t xml:space="preserve"> </w:t>
      </w:r>
      <w:r>
        <w:rPr>
          <w:rStyle w:val="VerbatimChar"/>
        </w:rPr>
        <w:t xml:space="preserve">pheatmap::pheatmap()</w:t>
      </w:r>
      <w:r>
        <w:t xml:space="preserve">.</w:t>
      </w:r>
      <w:r>
        <w:t xml:space="preserve"> </w:t>
      </w:r>
      <w:r>
        <w:t xml:space="preserve">-</w:t>
      </w:r>
      <w:r>
        <w:t xml:space="preserve"> </w:t>
      </w:r>
      <w:r>
        <w:rPr>
          <w:b/>
          <w:bCs/>
        </w:rPr>
        <w:t xml:space="preserve">Library size distribution:</w:t>
      </w:r>
      <w:r>
        <w:t xml:space="preserve"> </w:t>
      </w:r>
      <w:r>
        <w:t xml:space="preserve">Bar plot of per-sample library sizes in millions (count mode only).</w:t>
      </w:r>
    </w:p>
    <w:bookmarkEnd w:id="30"/>
    <w:bookmarkStart w:id="31" w:name="duplicate-gene-handling"/>
    <w:p>
      <w:pPr>
        <w:pStyle w:val="Heading3"/>
      </w:pPr>
      <w:r>
        <w:t xml:space="preserve">Duplicate Gene Handling</w:t>
      </w:r>
    </w:p>
    <w:p>
      <w:pPr>
        <w:pStyle w:val="FirstParagraph"/>
      </w:pPr>
      <w:r>
        <w:t xml:space="preserve">When multiple rows shared the same gene symbol, the row with the highest mean expression across samples was retained.</w:t>
      </w:r>
    </w:p>
    <w:bookmarkEnd w:id="31"/>
    <w:bookmarkStart w:id="32" w:name="random-seed"/>
    <w:p>
      <w:pPr>
        <w:pStyle w:val="Heading3"/>
      </w:pPr>
      <w:r>
        <w:t xml:space="preserve">Random Seed</w:t>
      </w:r>
    </w:p>
    <w:p>
      <w:pPr>
        <w:pStyle w:val="FirstParagraph"/>
      </w:pPr>
      <w:r>
        <w:rPr>
          <w:rStyle w:val="VerbatimChar"/>
        </w:rPr>
        <w:t xml:space="preserve">set.seed(12345)</w:t>
      </w:r>
      <w:r>
        <w:t xml:space="preserve"> </w:t>
      </w:r>
      <w:r>
        <w:t xml:space="preserve">was set at the start of all scripts for reproducibility.</w:t>
      </w:r>
    </w:p>
    <w:bookmarkEnd w:id="32"/>
    <w:bookmarkEnd w:id="33"/>
    <w:bookmarkStart w:id="37" w:name="core-analyses"/>
    <w:p>
      <w:pPr>
        <w:pStyle w:val="Heading2"/>
      </w:pPr>
      <w:r>
        <w:t xml:space="preserve">3. Core Analyses</w:t>
      </w:r>
    </w:p>
    <w:bookmarkStart w:id="34" w:name="gene-set-variation-analysis-gsva"/>
    <w:p>
      <w:pPr>
        <w:pStyle w:val="Heading3"/>
      </w:pPr>
      <w:r>
        <w:t xml:space="preserve">3.1 Gene Set Variation Analysis (GSVA)</w:t>
      </w:r>
    </w:p>
    <w:p>
      <w:pPr>
        <w:pStyle w:val="FirstParagraph"/>
      </w:pPr>
      <w:r>
        <w:t xml:space="preserve">GSVA was performed in</w:t>
      </w:r>
      <w:r>
        <w:t xml:space="preserve"> </w:t>
      </w:r>
      <w:r>
        <w:rPr>
          <w:rStyle w:val="VerbatimChar"/>
        </w:rPr>
        <w:t xml:space="preserve">02_run_gsva.R</w:t>
      </w:r>
      <w:r>
        <w:t xml:space="preserve"> </w:t>
      </w:r>
      <w:r>
        <w:t xml:space="preserve">to quantify per-sample estrogen pathway activity.</w:t>
      </w:r>
    </w:p>
    <w:p>
      <w:pPr>
        <w:pStyle w:val="BodyText"/>
      </w:pPr>
      <w:r>
        <w:rPr>
          <w:b/>
          <w:bCs/>
        </w:rPr>
        <w:t xml:space="preserve">Gene sets assembled: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Gene Set</w:t>
            </w:r>
          </w:p>
        </w:tc>
        <w:tc>
          <w:tcPr/>
          <w:p>
            <w:pPr>
              <w:pStyle w:val="Compact"/>
            </w:pPr>
            <w:r>
              <w:t xml:space="preserve">Source</w:t>
            </w:r>
          </w:p>
        </w:tc>
        <w:tc>
          <w:tcPr/>
          <w:p>
            <w:pPr>
              <w:pStyle w:val="Compact"/>
            </w:pPr>
            <w:r>
              <w:t xml:space="preserve">Category</w:t>
            </w:r>
          </w:p>
        </w:tc>
      </w:tr>
      <w:tr>
        <w:tc>
          <w:tcPr/>
          <w:p>
            <w:pPr>
              <w:pStyle w:val="Compact"/>
            </w:pPr>
            <w:r>
              <w:t xml:space="preserve">HALLMARK_ESTROGEN_RESPONSE_EARLY</w:t>
            </w:r>
          </w:p>
        </w:tc>
        <w:tc>
          <w:tcPr/>
          <w:p>
            <w:pPr>
              <w:pStyle w:val="Compact"/>
            </w:pPr>
            <w:r>
              <w:t xml:space="preserve">MSigDB Hallmark (H)</w:t>
            </w:r>
          </w:p>
        </w:tc>
        <w:tc>
          <w:tcPr/>
          <w:p>
            <w:pPr>
              <w:pStyle w:val="Compact"/>
            </w:pPr>
            <w:r>
              <w:rPr>
                <w:rStyle w:val="VerbatimChar"/>
              </w:rPr>
              <w:t xml:space="preserve">msigdbr(species = "Homo sapiens", category = "H")</w:t>
            </w:r>
          </w:p>
        </w:tc>
      </w:tr>
      <w:tr>
        <w:tc>
          <w:tcPr/>
          <w:p>
            <w:pPr>
              <w:pStyle w:val="Compact"/>
            </w:pPr>
            <w:r>
              <w:t xml:space="preserve">HALLMARK_ESTROGEN_RESPONSE_LATE</w:t>
            </w:r>
          </w:p>
        </w:tc>
        <w:tc>
          <w:tcPr/>
          <w:p>
            <w:pPr>
              <w:pStyle w:val="Compact"/>
            </w:pPr>
            <w:r>
              <w:t xml:space="preserve">MSigDB Hallmark (H)</w:t>
            </w:r>
          </w:p>
        </w:tc>
        <w:tc>
          <w:tcPr/>
          <w:p>
            <w:pPr>
              <w:pStyle w:val="Compact"/>
            </w:pPr>
            <w:r>
              <w:rPr>
                <w:rStyle w:val="VerbatimChar"/>
              </w:rPr>
              <w:t xml:space="preserve">msigdbr(species = "Homo sapiens", category = "H")</w:t>
            </w:r>
          </w:p>
        </w:tc>
      </w:tr>
      <w:tr>
        <w:tc>
          <w:tcPr/>
          <w:p>
            <w:pPr>
              <w:pStyle w:val="Compact"/>
            </w:pPr>
            <w:r>
              <w:t xml:space="preserve">E1UpRegGene</w:t>
            </w:r>
          </w:p>
        </w:tc>
        <w:tc>
          <w:tcPr/>
          <w:p>
            <w:pPr>
              <w:pStyle w:val="Compact"/>
            </w:pPr>
            <w:r>
              <w:t xml:space="preserve">Custom (407 genes; Liguori et al., Cell Metabolism 2020, Table S1: genes uniquely upregulated by E1 not E2, FC&gt;2, q&lt;0.05)</w:t>
            </w:r>
          </w:p>
        </w:tc>
        <w:tc>
          <w:tcPr/>
          <w:p>
            <w:pPr>
              <w:pStyle w:val="Compact"/>
            </w:pPr>
            <w:r>
              <w:rPr>
                <w:rStyle w:val="VerbatimChar"/>
              </w:rPr>
              <w:t xml:space="preserve">SuppleTable1_UpregulatedByE1_NotE2_407g.txt</w:t>
            </w:r>
          </w:p>
        </w:tc>
      </w:tr>
      <w:tr>
        <w:tc>
          <w:tcPr/>
          <w:p>
            <w:pPr>
              <w:pStyle w:val="Compact"/>
            </w:pPr>
            <w:r>
              <w:t xml:space="preserve">REACTOME_ESTROGEN_DEPENDENT_GENE_EXPRESSION</w:t>
            </w:r>
          </w:p>
        </w:tc>
        <w:tc>
          <w:tcPr/>
          <w:p>
            <w:pPr>
              <w:pStyle w:val="Compact"/>
            </w:pPr>
            <w:r>
              <w:t xml:space="preserve">MSigDB C2:REACTOME</w:t>
            </w:r>
          </w:p>
        </w:tc>
        <w:tc>
          <w:tcPr/>
          <w:p>
            <w:pPr>
              <w:pStyle w:val="Compact"/>
            </w:pPr>
            <w:r>
              <w:rPr>
                <w:rStyle w:val="VerbatimChar"/>
              </w:rPr>
              <w:t xml:space="preserve">msigdbr(species = "Homo sapiens", category = "C2", subcategory = "REACTOME")</w:t>
            </w:r>
          </w:p>
        </w:tc>
      </w:tr>
      <w:tr>
        <w:tc>
          <w:tcPr/>
          <w:p>
            <w:pPr>
              <w:pStyle w:val="Compact"/>
            </w:pPr>
            <w:r>
              <w:t xml:space="preserve">WP_ESTROGEN_SIGNALING_PATHWAY</w:t>
            </w:r>
          </w:p>
        </w:tc>
        <w:tc>
          <w:tcPr/>
          <w:p>
            <w:pPr>
              <w:pStyle w:val="Compact"/>
            </w:pPr>
            <w:r>
              <w:t xml:space="preserve">MSigDB C2:WIKIPATHWAYS</w:t>
            </w:r>
          </w:p>
        </w:tc>
        <w:tc>
          <w:tcPr/>
          <w:p>
            <w:pPr>
              <w:pStyle w:val="Compact"/>
            </w:pPr>
            <w:r>
              <w:rPr>
                <w:rStyle w:val="VerbatimChar"/>
              </w:rPr>
              <w:t xml:space="preserve">msigdbr(species = "Homo sapiens", category = "C2", subcategory = "WIKIPATHWAYS")</w:t>
            </w:r>
          </w:p>
        </w:tc>
      </w:tr>
      <w:tr>
        <w:tc>
          <w:tcPr/>
          <w:p>
            <w:pPr>
              <w:pStyle w:val="Compact"/>
            </w:pPr>
            <w:r>
              <w:t xml:space="preserve">GOBP_INTRACELLULAR_ESTROGEN_RECEPTOR_SIGNALING_PATHWAY</w:t>
            </w:r>
          </w:p>
        </w:tc>
        <w:tc>
          <w:tcPr/>
          <w:p>
            <w:pPr>
              <w:pStyle w:val="Compact"/>
            </w:pPr>
            <w:r>
              <w:t xml:space="preserve">MSigDB C5:BP</w:t>
            </w:r>
          </w:p>
        </w:tc>
        <w:tc>
          <w:tcPr/>
          <w:p>
            <w:pPr>
              <w:pStyle w:val="Compact"/>
            </w:pPr>
            <w:r>
              <w:rPr>
                <w:rStyle w:val="VerbatimChar"/>
              </w:rPr>
              <w:t xml:space="preserve">msigdbr(species = "Homo sapiens", category = "C5", subcategory = "BP")</w:t>
            </w:r>
          </w:p>
        </w:tc>
      </w:tr>
      <w:tr>
        <w:tc>
          <w:tcPr/>
          <w:p>
            <w:pPr>
              <w:pStyle w:val="Compact"/>
            </w:pPr>
            <w:r>
              <w:t xml:space="preserve">GOBP_CELLULAR_RESPONSE_TO_ESTROGEN_STIMULUS</w:t>
            </w:r>
          </w:p>
        </w:tc>
        <w:tc>
          <w:tcPr/>
          <w:p>
            <w:pPr>
              <w:pStyle w:val="Compact"/>
            </w:pPr>
            <w:r>
              <w:t xml:space="preserve">MSigDB C5:BP</w:t>
            </w:r>
          </w:p>
        </w:tc>
        <w:tc>
          <w:tcPr/>
          <w:p>
            <w:pPr>
              <w:pStyle w:val="Compact"/>
            </w:pPr>
            <w:r>
              <w:rPr>
                <w:rStyle w:val="VerbatimChar"/>
              </w:rPr>
              <w:t xml:space="preserve">msigdbr(species = "Homo sapiens", category = "C5", subcategory = "BP")</w:t>
            </w:r>
          </w:p>
        </w:tc>
      </w:tr>
    </w:tbl>
    <w:p>
      <w:pPr>
        <w:pStyle w:val="BodyText"/>
      </w:pPr>
      <w:r>
        <w:t xml:space="preserve">For the E1-upregulated gene set, gene symbols containing hyphens were truncated at the first hyphen (</w:t>
      </w:r>
      <w:r>
        <w:rPr>
          <w:rStyle w:val="VerbatimChar"/>
        </w:rPr>
        <w:t xml:space="preserve">gsub("-.*", "", e1_genes$Gene)</w:t>
      </w:r>
      <w:r>
        <w:t xml:space="preserve">), and duplicates were removed.</w:t>
      </w:r>
    </w:p>
    <w:p>
      <w:pPr>
        <w:pStyle w:val="BodyText"/>
      </w:pPr>
      <w:r>
        <w:rPr>
          <w:b/>
          <w:bCs/>
        </w:rPr>
        <w:t xml:space="preserve">GSVA parameters:</w:t>
      </w:r>
      <w:r>
        <w:t xml:space="preserve"> </w:t>
      </w:r>
      <w:r>
        <w:t xml:space="preserve">- Function:</w:t>
      </w:r>
      <w:r>
        <w:t xml:space="preserve"> </w:t>
      </w:r>
      <w:r>
        <w:rPr>
          <w:rStyle w:val="VerbatimChar"/>
        </w:rPr>
        <w:t xml:space="preserve">gsva(gsvaParam(...))</w:t>
      </w:r>
      <w:r>
        <w:t xml:space="preserve"> </w:t>
      </w:r>
      <w:r>
        <w:t xml:space="preserve">(GSVA 2.x API)</w:t>
      </w:r>
      <w:r>
        <w:t xml:space="preserve"> </w:t>
      </w:r>
      <w:r>
        <w:t xml:space="preserve">-</w:t>
      </w:r>
      <w:r>
        <w:t xml:space="preserve"> </w:t>
      </w:r>
      <w:r>
        <w:rPr>
          <w:rStyle w:val="VerbatimChar"/>
        </w:rPr>
        <w:t xml:space="preserve">kcdf = "Gaussian"</w:t>
      </w:r>
      <w:r>
        <w:t xml:space="preserve"> </w:t>
      </w:r>
      <w:r>
        <w:t xml:space="preserve">(appropriate for continuous normalized data)</w:t>
      </w:r>
      <w:r>
        <w:t xml:space="preserve"> </w:t>
      </w:r>
      <w:r>
        <w:t xml:space="preserve">-</w:t>
      </w:r>
      <w:r>
        <w:t xml:space="preserve"> </w:t>
      </w:r>
      <w:r>
        <w:rPr>
          <w:rStyle w:val="VerbatimChar"/>
        </w:rPr>
        <w:t xml:space="preserve">maxDiff = TRUE</w:t>
      </w:r>
      <w:r>
        <w:t xml:space="preserve"> </w:t>
      </w:r>
      <w:r>
        <w:t xml:space="preserve">(Gaussian-like enrichment statistic)</w:t>
      </w:r>
      <w:r>
        <w:t xml:space="preserve"> </w:t>
      </w:r>
      <w:r>
        <w:t xml:space="preserve">- Input: preprocessed expression matrix (</w:t>
      </w:r>
      <w:r>
        <w:rPr>
          <w:rStyle w:val="VerbatimChar"/>
        </w:rPr>
        <w:t xml:space="preserve">vst_normalized_matrix.rds</w:t>
      </w:r>
      <w:r>
        <w:t xml:space="preserve">; VST in count mode, log2(TPM) in fallback mode)</w:t>
      </w:r>
    </w:p>
    <w:p>
      <w:pPr>
        <w:pStyle w:val="BodyText"/>
      </w:pPr>
      <w:r>
        <w:rPr>
          <w:b/>
          <w:bCs/>
        </w:rPr>
        <w:t xml:space="preserve">Visualization:</w:t>
      </w:r>
      <w:r>
        <w:t xml:space="preserve"> </w:t>
      </w:r>
      <w:r>
        <w:t xml:space="preserve">Row-scaled heatmap of GSVA enrichment scores across all samples, annotated by age range (Young = green</w:t>
      </w:r>
      <w:r>
        <w:t xml:space="preserve"> </w:t>
      </w:r>
      <w:r>
        <w:rPr>
          <w:rStyle w:val="VerbatimChar"/>
        </w:rPr>
        <w:t xml:space="preserve">#4DAF4A</w:t>
      </w:r>
      <w:r>
        <w:t xml:space="preserve">, Middle = blue</w:t>
      </w:r>
      <w:r>
        <w:t xml:space="preserve"> </w:t>
      </w:r>
      <w:r>
        <w:rPr>
          <w:rStyle w:val="VerbatimChar"/>
        </w:rPr>
        <w:t xml:space="preserve">#377EB8</w:t>
      </w:r>
      <w:r>
        <w:t xml:space="preserve">, Elderly = red</w:t>
      </w:r>
      <w:r>
        <w:t xml:space="preserve"> </w:t>
      </w:r>
      <w:r>
        <w:rPr>
          <w:rStyle w:val="VerbatimChar"/>
        </w:rPr>
        <w:t xml:space="preserve">#E41A1C</w:t>
      </w:r>
      <w:r>
        <w:t xml:space="preserve">) and tissue type (Tumor = purple</w:t>
      </w:r>
      <w:r>
        <w:t xml:space="preserve"> </w:t>
      </w:r>
      <w:r>
        <w:rPr>
          <w:rStyle w:val="VerbatimChar"/>
        </w:rPr>
        <w:t xml:space="preserve">#984EA3</w:t>
      </w:r>
      <w:r>
        <w:t xml:space="preserve">, TumorAdj = orange</w:t>
      </w:r>
      <w:r>
        <w:t xml:space="preserve"> </w:t>
      </w:r>
      <w:r>
        <w:rPr>
          <w:rStyle w:val="VerbatimChar"/>
        </w:rPr>
        <w:t xml:space="preserve">#FF7F00</w:t>
      </w:r>
      <w:r>
        <w:t xml:space="preserve">). Generated with</w:t>
      </w:r>
      <w:r>
        <w:t xml:space="preserve"> </w:t>
      </w:r>
      <w:r>
        <w:rPr>
          <w:rStyle w:val="VerbatimChar"/>
        </w:rPr>
        <w:t xml:space="preserve">pheatmap()</w:t>
      </w:r>
      <w:r>
        <w:t xml:space="preserve"> </w:t>
      </w:r>
      <w:r>
        <w:t xml:space="preserve">with</w:t>
      </w:r>
      <w:r>
        <w:t xml:space="preserve"> </w:t>
      </w:r>
      <w:r>
        <w:rPr>
          <w:rStyle w:val="VerbatimChar"/>
        </w:rPr>
        <w:t xml:space="preserve">scale = "row"</w:t>
      </w:r>
      <w:r>
        <w:t xml:space="preserve"> </w:t>
      </w:r>
      <w:r>
        <w:t xml:space="preserve">and</w:t>
      </w:r>
      <w:r>
        <w:t xml:space="preserve"> </w:t>
      </w:r>
      <w:r>
        <w:rPr>
          <w:rStyle w:val="VerbatimChar"/>
        </w:rPr>
        <w:t xml:space="preserve">show_colnames = FALSE</w:t>
      </w:r>
      <w:r>
        <w:t xml:space="preserve">.</w:t>
      </w:r>
    </w:p>
    <w:bookmarkEnd w:id="34"/>
    <w:bookmarkStart w:id="35" w:name="progeny-pathway-activity"/>
    <w:p>
      <w:pPr>
        <w:pStyle w:val="Heading3"/>
      </w:pPr>
      <w:r>
        <w:t xml:space="preserve">3.2 PROGENy Pathway Activity</w:t>
      </w:r>
    </w:p>
    <w:p>
      <w:pPr>
        <w:pStyle w:val="FirstParagraph"/>
      </w:pPr>
      <w:r>
        <w:t xml:space="preserve">PROGENy pathway activity inference was performed in</w:t>
      </w:r>
      <w:r>
        <w:t xml:space="preserve"> </w:t>
      </w:r>
      <w:r>
        <w:rPr>
          <w:rStyle w:val="VerbatimChar"/>
        </w:rPr>
        <w:t xml:space="preserve">03_run_progeny.R</w:t>
      </w:r>
      <w:r>
        <w:t xml:space="preserve">.</w:t>
      </w:r>
    </w:p>
    <w:p>
      <w:pPr>
        <w:pStyle w:val="BodyText"/>
      </w:pPr>
      <w:r>
        <w:rPr>
          <w:b/>
          <w:bCs/>
        </w:rPr>
        <w:t xml:space="preserve">Input data:</w:t>
      </w:r>
      <w:r>
        <w:t xml:space="preserve"> </w:t>
      </w:r>
      <w:r>
        <w:t xml:space="preserve">The preprocessed expression matrix (</w:t>
      </w:r>
      <w:r>
        <w:rPr>
          <w:rStyle w:val="VerbatimChar"/>
        </w:rPr>
        <w:t xml:space="preserve">vst_normalized_matrix.rds</w:t>
      </w:r>
      <w:r>
        <w:t xml:space="preserve">) produced by</w:t>
      </w:r>
      <w:r>
        <w:t xml:space="preserve"> </w:t>
      </w:r>
      <w:r>
        <w:rPr>
          <w:rStyle w:val="VerbatimChar"/>
        </w:rPr>
        <w:t xml:space="preserve">01_preprocess.R</w:t>
      </w:r>
      <w:r>
        <w:t xml:space="preserve">, consistent with the GSVA input. If the matrix is stored as a</w:t>
      </w:r>
      <w:r>
        <w:t xml:space="preserve"> </w:t>
      </w:r>
      <w:r>
        <w:rPr>
          <w:rStyle w:val="VerbatimChar"/>
        </w:rPr>
        <w:t xml:space="preserve">data.table</w:t>
      </w:r>
      <w:r>
        <w:t xml:space="preserve">, the first column is extracted as gene names and the remainder converted to a numeric data frame. Sample names are aligned with the annotation file by matching on</w:t>
      </w:r>
      <w:r>
        <w:t xml:space="preserve"> </w:t>
      </w:r>
      <w:r>
        <w:rPr>
          <w:rStyle w:val="VerbatimChar"/>
        </w:rPr>
        <w:t xml:space="preserve">SampleName</w:t>
      </w:r>
      <w:r>
        <w:t xml:space="preserve"> </w:t>
      </w:r>
      <w:r>
        <w:t xml:space="preserve">or</w:t>
      </w:r>
      <w:r>
        <w:t xml:space="preserve"> </w:t>
      </w:r>
      <w:r>
        <w:rPr>
          <w:rStyle w:val="VerbatimChar"/>
        </w:rPr>
        <w:t xml:space="preserve">SampleNameGroup</w:t>
      </w:r>
      <w:r>
        <w:t xml:space="preserve">; only samples present in both the matrix and annotation are retained.</w:t>
      </w:r>
    </w:p>
    <w:p>
      <w:pPr>
        <w:pStyle w:val="BodyText"/>
      </w:pPr>
      <w:r>
        <w:rPr>
          <w:b/>
          <w:bCs/>
        </w:rPr>
        <w:t xml:space="preserve">PROGENy parameters:</w:t>
      </w:r>
      <w:r>
        <w:t xml:space="preserve"> </w:t>
      </w:r>
      <w:r>
        <w:t xml:space="preserve">- Function:</w:t>
      </w:r>
      <w:r>
        <w:t xml:space="preserve"> </w:t>
      </w:r>
      <w:r>
        <w:rPr>
          <w:rStyle w:val="VerbatimChar"/>
        </w:rPr>
        <w:t xml:space="preserve">progeny::progeny()</w:t>
      </w:r>
      <w:r>
        <w:t xml:space="preserve"> </w:t>
      </w:r>
      <w:r>
        <w:t xml:space="preserve">-</w:t>
      </w:r>
      <w:r>
        <w:t xml:space="preserve"> </w:t>
      </w:r>
      <w:r>
        <w:rPr>
          <w:rStyle w:val="VerbatimChar"/>
        </w:rPr>
        <w:t xml:space="preserve">scale = FALSE</w:t>
      </w:r>
      <w:r>
        <w:t xml:space="preserve"> </w:t>
      </w:r>
      <w:r>
        <w:t xml:space="preserve">-</w:t>
      </w:r>
      <w:r>
        <w:t xml:space="preserve"> </w:t>
      </w:r>
      <w:r>
        <w:rPr>
          <w:rStyle w:val="VerbatimChar"/>
        </w:rPr>
        <w:t xml:space="preserve">organism = "Human"</w:t>
      </w:r>
      <w:r>
        <w:t xml:space="preserve"> </w:t>
      </w:r>
      <w:r>
        <w:t xml:space="preserve">-</w:t>
      </w:r>
      <w:r>
        <w:t xml:space="preserve"> </w:t>
      </w:r>
      <w:r>
        <w:rPr>
          <w:rStyle w:val="VerbatimChar"/>
        </w:rPr>
        <w:t xml:space="preserve">top = 100</w:t>
      </w:r>
      <w:r>
        <w:t xml:space="preserve"> </w:t>
      </w:r>
      <w:r>
        <w:t xml:space="preserve">(number of footprint genes per pathway)</w:t>
      </w:r>
      <w:r>
        <w:t xml:space="preserve"> </w:t>
      </w:r>
      <w:r>
        <w:t xml:space="preserve">-</w:t>
      </w:r>
      <w:r>
        <w:t xml:space="preserve"> </w:t>
      </w:r>
      <w:r>
        <w:rPr>
          <w:rStyle w:val="VerbatimChar"/>
        </w:rPr>
        <w:t xml:space="preserve">perm = 1000</w:t>
      </w:r>
      <w:r>
        <w:t xml:space="preserve"> </w:t>
      </w:r>
      <w:r>
        <w:t xml:space="preserve">(permutations for significance assessment)</w:t>
      </w:r>
    </w:p>
    <w:bookmarkEnd w:id="35"/>
    <w:bookmarkStart w:id="36" w:name="correlation-analysis"/>
    <w:p>
      <w:pPr>
        <w:pStyle w:val="Heading3"/>
      </w:pPr>
      <w:r>
        <w:t xml:space="preserve">3.3 Correlation Analysis</w:t>
      </w:r>
    </w:p>
    <w:p>
      <w:pPr>
        <w:pStyle w:val="FirstParagraph"/>
      </w:pPr>
      <w:r>
        <w:t xml:space="preserve">Spearman rank correlations between gene expression and pathway activity scores were computed in</w:t>
      </w:r>
      <w:r>
        <w:t xml:space="preserve"> </w:t>
      </w:r>
      <w:r>
        <w:rPr>
          <w:rStyle w:val="VerbatimChar"/>
        </w:rPr>
        <w:t xml:space="preserve">04_correlations.R</w:t>
      </w:r>
      <w:r>
        <w:t xml:space="preserve">.</w:t>
      </w:r>
    </w:p>
    <w:p>
      <w:pPr>
        <w:pStyle w:val="BodyText"/>
      </w:pPr>
      <w:r>
        <w:rPr>
          <w:b/>
          <w:bCs/>
        </w:rPr>
        <w:t xml:space="preserve">Sample selection:</w:t>
      </w:r>
      <w:r>
        <w:t xml:space="preserve"> </w:t>
      </w:r>
      <w:r>
        <w:t xml:space="preserve">Only tumor samples from the Young and Elderly age groups were included. Middle-aged samples and tumor-adjacent samples were excluded (</w:t>
      </w:r>
      <w:r>
        <w:rPr>
          <w:rStyle w:val="VerbatimChar"/>
        </w:rPr>
        <w:t xml:space="preserve">filter(Group == "Tumor", AgeRange %in% c("Young", "Elderly"))</w:t>
      </w:r>
      <w:r>
        <w:t xml:space="preserve">).</w:t>
      </w:r>
    </w:p>
    <w:p>
      <w:pPr>
        <w:pStyle w:val="BodyText"/>
      </w:pPr>
      <w:r>
        <w:rPr>
          <w:b/>
          <w:bCs/>
        </w:rPr>
        <w:t xml:space="preserve">Genes of interest:</w:t>
      </w:r>
      <w:r>
        <w:t xml:space="preserve"> </w:t>
      </w:r>
      <w:r>
        <w:t xml:space="preserve">PAK4, HSD17B7, GREB1, PGR, ESR1, TFF1, CYP19A1, HSD17B2, SAA1, and chronological Age (9 genes + 1 clinical variable).</w:t>
      </w:r>
    </w:p>
    <w:p>
      <w:pPr>
        <w:pStyle w:val="BodyText"/>
      </w:pPr>
      <w:r>
        <w:rPr>
          <w:b/>
          <w:bCs/>
        </w:rPr>
        <w:t xml:space="preserve">Pathway variables:</w:t>
      </w:r>
      <w:r>
        <w:t xml:space="preserve"> </w:t>
      </w:r>
      <w:r>
        <w:t xml:space="preserve">PROGENy Estrogen pathway activity score, plus all GSVA enrichment scores (7 estrogen-related pathway scores, see Section 3.1).</w:t>
      </w:r>
    </w:p>
    <w:p>
      <w:pPr>
        <w:pStyle w:val="BodyText"/>
      </w:pPr>
      <w:r>
        <w:rPr>
          <w:b/>
          <w:bCs/>
        </w:rPr>
        <w:t xml:space="preserve">Correlation method:</w:t>
      </w:r>
      <w:r>
        <w:t xml:space="preserve"> </w:t>
      </w:r>
      <w:r>
        <w:t xml:space="preserve">-</w:t>
      </w:r>
      <w:r>
        <w:t xml:space="preserve"> </w:t>
      </w:r>
      <w:r>
        <w:rPr>
          <w:rStyle w:val="VerbatimChar"/>
        </w:rPr>
        <w:t xml:space="preserve">cor.test(x, y, method = "spearman", exact = FALSE)</w:t>
      </w:r>
      <w:r>
        <w:t xml:space="preserve"> </w:t>
      </w:r>
      <w:r>
        <w:t xml:space="preserve">for each gene-pathway pair</w:t>
      </w:r>
      <w:r>
        <w:t xml:space="preserve"> </w:t>
      </w:r>
      <w:r>
        <w:t xml:space="preserve">- Minimum sample size threshold: 5 non-NA paired observations required per test</w:t>
      </w:r>
      <w:r>
        <w:t xml:space="preserve"> </w:t>
      </w:r>
      <w:r>
        <w:t xml:space="preserve">- Gene expression values were extracted from the raw log2(TPM) file (not the VST matrix)</w:t>
      </w:r>
    </w:p>
    <w:p>
      <w:pPr>
        <w:pStyle w:val="BodyText"/>
      </w:pPr>
      <w:r>
        <w:rPr>
          <w:b/>
          <w:bCs/>
        </w:rPr>
        <w:t xml:space="preserve">Multiple testing correction:</w:t>
      </w:r>
      <w:r>
        <w:t xml:space="preserve"> </w:t>
      </w:r>
      <w:r>
        <w:t xml:space="preserve">- Benjamini-Hochberg FDR applied globally across all correlation tests using</w:t>
      </w:r>
      <w:r>
        <w:t xml:space="preserve"> </w:t>
      </w:r>
      <w:r>
        <w:rPr>
          <w:rStyle w:val="VerbatimChar"/>
        </w:rPr>
        <w:t xml:space="preserve">p.adjust(method = "BH")</w:t>
      </w:r>
      <w:r>
        <w:t xml:space="preserve"> </w:t>
      </w:r>
      <w:r>
        <w:t xml:space="preserve">- Significance thresholds: nominal p &lt; 0.05 and FDR q &lt; 0.05</w:t>
      </w:r>
    </w:p>
    <w:p>
      <w:pPr>
        <w:pStyle w:val="BodyText"/>
      </w:pPr>
      <w:r>
        <w:rPr>
          <w:b/>
          <w:bCs/>
        </w:rPr>
        <w:t xml:space="preserve">Output:</w:t>
      </w:r>
      <w:r>
        <w:t xml:space="preserve"> </w:t>
      </w:r>
      <w:r>
        <w:t xml:space="preserve">Both original (uncorrected) and FDR-corrected results were saved to separate directories (</w:t>
      </w:r>
      <w:r>
        <w:rPr>
          <w:rStyle w:val="VerbatimChar"/>
        </w:rPr>
        <w:t xml:space="preserve">results/original/</w:t>
      </w:r>
      <w:r>
        <w:t xml:space="preserve"> </w:t>
      </w:r>
      <w:r>
        <w:t xml:space="preserve">and</w:t>
      </w:r>
      <w:r>
        <w:t xml:space="preserve"> </w:t>
      </w:r>
      <w:r>
        <w:rPr>
          <w:rStyle w:val="VerbatimChar"/>
        </w:rPr>
        <w:t xml:space="preserve">results/corrected/</w:t>
      </w:r>
      <w:r>
        <w:t xml:space="preserve">). A combined RDS file was also saved for visualization.</w:t>
      </w:r>
    </w:p>
    <w:p>
      <w:pPr>
        <w:pStyle w:val="BodyText"/>
      </w:pPr>
      <w:r>
        <w:t xml:space="preserve">The correlation analysis (</w:t>
      </w:r>
      <w:r>
        <w:rPr>
          <w:rStyle w:val="VerbatimChar"/>
        </w:rPr>
        <w:t xml:space="preserve">04_correlations.R</w:t>
      </w:r>
      <w:r>
        <w:t xml:space="preserve">) independently reads the raw log2(TPM) file and filters it to protein-coding genes using the NCBI gene annotation (</w:t>
      </w:r>
      <w:r>
        <w:rPr>
          <w:rStyle w:val="VerbatimChar"/>
        </w:rPr>
        <w:t xml:space="preserve">type_of_gene == "protein-coding"</w:t>
      </w:r>
      <w:r>
        <w:t xml:space="preserve">, excluding</w:t>
      </w:r>
      <w:r>
        <w:t xml:space="preserve"> </w:t>
      </w:r>
      <w:r>
        <w:rPr>
          <w:rStyle w:val="VerbatimChar"/>
        </w:rPr>
        <w:t xml:space="preserve">^LOC\d+</w:t>
      </w:r>
      <w:r>
        <w:t xml:space="preserve"> </w:t>
      </w:r>
      <w:r>
        <w:t xml:space="preserve">symbols). Note that PROGENy (</w:t>
      </w:r>
      <w:r>
        <w:rPr>
          <w:rStyle w:val="VerbatimChar"/>
        </w:rPr>
        <w:t xml:space="preserve">03_run_progeny.R</w:t>
      </w:r>
      <w:r>
        <w:t xml:space="preserve">) does not perform its own protein-coding filter; it operates on the full preprocessed matrix from</w:t>
      </w:r>
      <w:r>
        <w:t xml:space="preserve"> </w:t>
      </w:r>
      <w:r>
        <w:rPr>
          <w:rStyle w:val="VerbatimChar"/>
        </w:rPr>
        <w:t xml:space="preserve">01_preprocess.R</w:t>
      </w:r>
      <w:r>
        <w:t xml:space="preserve">.</w:t>
      </w:r>
    </w:p>
    <w:bookmarkEnd w:id="36"/>
    <w:bookmarkEnd w:id="37"/>
    <w:bookmarkStart w:id="40" w:name="downstream-analyses"/>
    <w:p>
      <w:pPr>
        <w:pStyle w:val="Heading2"/>
      </w:pPr>
      <w:r>
        <w:t xml:space="preserve">4. Downstream Analyses</w:t>
      </w:r>
    </w:p>
    <w:bookmarkStart w:id="38" w:name="mica-concordance-analysis"/>
    <w:p>
      <w:pPr>
        <w:pStyle w:val="Heading3"/>
      </w:pPr>
      <w:r>
        <w:t xml:space="preserve">4.1 MICA Concordance Analysis</w:t>
      </w:r>
    </w:p>
    <w:p>
      <w:pPr>
        <w:pStyle w:val="FirstParagraph"/>
      </w:pPr>
      <w:r>
        <w:t xml:space="preserve">The MICA (Mutual Information-based Concordance Analysis) sub-pipeline validated estrogen pathway findings across independent cohorts (TCGA, METABRIC, SCAN-B). Expression inputs varied by cohort: SCAN-B and TCGA used TPM matrices directly, while METABRIC microarray data was TMM-normalized and converted to log-CPM via</w:t>
      </w:r>
      <w:r>
        <w:t xml:space="preserve"> </w:t>
      </w:r>
      <w:r>
        <w:rPr>
          <w:rStyle w:val="VerbatimChar"/>
        </w:rPr>
        <w:t xml:space="preserve">edgeR::cpm(log = TRUE)</w:t>
      </w:r>
      <w:r>
        <w:t xml:space="preserve">. GSVA was used to compute pathway activity scores across cohorts with two age stratification schemes, and concordance was assessed using 500 permutations (</w:t>
      </w:r>
      <w:r>
        <w:rPr>
          <w:rStyle w:val="VerbatimChar"/>
        </w:rPr>
        <w:t xml:space="preserve">n.perm = 500</w:t>
      </w:r>
      <w:r>
        <w:t xml:space="preserve">) with</w:t>
      </w:r>
      <w:r>
        <w:t xml:space="preserve"> </w:t>
      </w:r>
      <w:r>
        <w:rPr>
          <w:rStyle w:val="VerbatimChar"/>
        </w:rPr>
        <w:t xml:space="preserve">p.threshold = 1</w:t>
      </w:r>
      <w:r>
        <w:t xml:space="preserve"> </w:t>
      </w:r>
      <w:r>
        <w:t xml:space="preserve">(all features passed to post-hoc analysis) and</w:t>
      </w:r>
      <w:r>
        <w:t xml:space="preserve"> </w:t>
      </w:r>
      <w:r>
        <w:rPr>
          <w:rStyle w:val="VerbatimChar"/>
        </w:rPr>
        <w:t xml:space="preserve">n.parallel = 10</w:t>
      </w:r>
      <w:r>
        <w:t xml:space="preserve"> </w:t>
      </w:r>
      <w:r>
        <w:t xml:space="preserve">parallel threads.</w:t>
      </w:r>
    </w:p>
    <w:bookmarkEnd w:id="38"/>
    <w:bookmarkStart w:id="39" w:name="hsd17b-gene-family-analysis"/>
    <w:p>
      <w:pPr>
        <w:pStyle w:val="Heading3"/>
      </w:pPr>
      <w:r>
        <w:t xml:space="preserve">4.2 HSD17B Gene Family Analysis</w:t>
      </w:r>
    </w:p>
    <w:p>
      <w:pPr>
        <w:pStyle w:val="FirstParagraph"/>
      </w:pPr>
      <w:r>
        <w:t xml:space="preserve">Figure 4C displays a heatmap of 14 genes (ESR1, GREB1, PGR, SAA1, RAB19, KRT37, TRPM8, CYP19A1, HSD17B1, HSD17B7, HSD17B12, HSD17B2, HSD17B10, HSD17B14) across age groups. Per-cohort expression matrices were first column-scaled via</w:t>
      </w:r>
      <w:r>
        <w:t xml:space="preserve"> </w:t>
      </w:r>
      <w:r>
        <w:rPr>
          <w:rStyle w:val="VerbatimChar"/>
        </w:rPr>
        <w:t xml:space="preserve">scale()</w:t>
      </w:r>
      <w:r>
        <w:t xml:space="preserve">, then aggregated by median within each age group, and visualized using</w:t>
      </w:r>
      <w:r>
        <w:t xml:space="preserve"> </w:t>
      </w:r>
      <w:r>
        <w:rPr>
          <w:rStyle w:val="VerbatimChar"/>
        </w:rPr>
        <w:t xml:space="preserve">ComplexHeatmap::Heatmap()</w:t>
      </w:r>
      <w:r>
        <w:t xml:space="preserve"> </w:t>
      </w:r>
      <w:r>
        <w:t xml:space="preserve">with row splitting by cohort (TCGA, METABRIC, SCAN-B).</w:t>
      </w:r>
    </w:p>
    <w:bookmarkEnd w:id="39"/>
    <w:bookmarkEnd w:id="40"/>
    <w:bookmarkStart w:id="43" w:name="visualization"/>
    <w:p>
      <w:pPr>
        <w:pStyle w:val="Heading2"/>
      </w:pPr>
      <w:r>
        <w:t xml:space="preserve">5. Visualization</w:t>
      </w:r>
    </w:p>
    <w:bookmarkStart w:id="41" w:name="implemented-visualizations"/>
    <w:p>
      <w:pPr>
        <w:pStyle w:val="Heading3"/>
      </w:pPr>
      <w:r>
        <w:t xml:space="preserve">Implemented Visualizations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Output File</w:t>
            </w:r>
          </w:p>
        </w:tc>
        <w:tc>
          <w:tcPr/>
          <w:p>
            <w:pPr>
              <w:pStyle w:val="Compact"/>
            </w:pPr>
            <w:r>
              <w:t xml:space="preserve">Type</w:t>
            </w:r>
          </w:p>
        </w:tc>
        <w:tc>
          <w:tcPr/>
          <w:p>
            <w:pPr>
              <w:pStyle w:val="Compact"/>
            </w:pPr>
            <w:r>
              <w:t xml:space="preserve">Script</w:t>
            </w:r>
          </w:p>
        </w:tc>
        <w:tc>
          <w:tcPr/>
          <w:p>
            <w:pPr>
              <w:pStyle w:val="Compact"/>
            </w:pPr>
            <w:r>
              <w:t xml:space="preserve">Description</w:t>
            </w:r>
          </w:p>
        </w:tc>
      </w:tr>
      <w:tr>
        <w:tc>
          <w:tcPr/>
          <w:p>
            <w:pPr>
              <w:pStyle w:val="Compact"/>
            </w:pPr>
            <w:r>
              <w:rPr>
                <w:rStyle w:val="VerbatimChar"/>
              </w:rPr>
              <w:t xml:space="preserve">qc_plots.pdf</w:t>
            </w:r>
          </w:p>
        </w:tc>
        <w:tc>
          <w:tcPr/>
          <w:p>
            <w:pPr>
              <w:pStyle w:val="Compact"/>
            </w:pPr>
            <w:r>
              <w:t xml:space="preserve">Multi-page PDF</w:t>
            </w:r>
          </w:p>
        </w:tc>
        <w:tc>
          <w:tcPr/>
          <w:p>
            <w:pPr>
              <w:pStyle w:val="Compact"/>
            </w:pPr>
            <w:r>
              <w:rPr>
                <w:rStyle w:val="VerbatimChar"/>
              </w:rPr>
              <w:t xml:space="preserve">01_preprocess.R</w:t>
            </w:r>
          </w:p>
        </w:tc>
        <w:tc>
          <w:tcPr/>
          <w:p>
            <w:pPr>
              <w:pStyle w:val="Compact"/>
            </w:pPr>
            <w:r>
              <w:t xml:space="preserve">PCA, sample correlation/distance heatmap, library size bars</w:t>
            </w:r>
          </w:p>
        </w:tc>
      </w:tr>
      <w:tr>
        <w:tc>
          <w:tcPr/>
          <w:p>
            <w:pPr>
              <w:pStyle w:val="Compact"/>
            </w:pPr>
            <w:r>
              <w:rPr>
                <w:rStyle w:val="VerbatimChar"/>
              </w:rPr>
              <w:t xml:space="preserve">gsva_heatmap.pdf</w:t>
            </w:r>
          </w:p>
        </w:tc>
        <w:tc>
          <w:tcPr/>
          <w:p>
            <w:pPr>
              <w:pStyle w:val="Compact"/>
            </w:pPr>
            <w:r>
              <w:t xml:space="preserve">PDF</w:t>
            </w:r>
          </w:p>
        </w:tc>
        <w:tc>
          <w:tcPr/>
          <w:p>
            <w:pPr>
              <w:pStyle w:val="Compact"/>
            </w:pPr>
            <w:r>
              <w:rPr>
                <w:rStyle w:val="VerbatimChar"/>
              </w:rPr>
              <w:t xml:space="preserve">02_run_gsva.R</w:t>
            </w:r>
          </w:p>
        </w:tc>
        <w:tc>
          <w:tcPr/>
          <w:p>
            <w:pPr>
              <w:pStyle w:val="Compact"/>
            </w:pPr>
            <w:r>
              <w:t xml:space="preserve">Row-scaled heatmap of GSVA scores (14 x 8 inches)</w:t>
            </w:r>
          </w:p>
        </w:tc>
      </w:tr>
      <w:tr>
        <w:tc>
          <w:tcPr/>
          <w:p>
            <w:pPr>
              <w:pStyle w:val="Compact"/>
            </w:pPr>
            <w:r>
              <w:rPr>
                <w:rStyle w:val="VerbatimChar"/>
              </w:rPr>
              <w:t xml:space="preserve">correlation_bubbleplot_original.pdf</w:t>
            </w:r>
          </w:p>
        </w:tc>
        <w:tc>
          <w:tcPr/>
          <w:p>
            <w:pPr>
              <w:pStyle w:val="Compact"/>
            </w:pPr>
            <w:r>
              <w:t xml:space="preserve">PDF + PNG</w:t>
            </w:r>
          </w:p>
        </w:tc>
        <w:tc>
          <w:tcPr/>
          <w:p>
            <w:pPr>
              <w:pStyle w:val="Compact"/>
            </w:pPr>
            <w:r>
              <w:rPr>
                <w:rStyle w:val="VerbatimChar"/>
              </w:rPr>
              <w:t xml:space="preserve">05_visualize.R</w:t>
            </w:r>
          </w:p>
        </w:tc>
        <w:tc>
          <w:tcPr/>
          <w:p>
            <w:pPr>
              <w:pStyle w:val="Compact"/>
            </w:pPr>
            <w:r>
              <w:t xml:space="preserve">Bubble plot: size = -log10(p), color = Spearman rho (12 x 7 inches)</w:t>
            </w:r>
          </w:p>
        </w:tc>
      </w:tr>
      <w:tr>
        <w:tc>
          <w:tcPr/>
          <w:p>
            <w:pPr>
              <w:pStyle w:val="Compact"/>
            </w:pPr>
            <w:r>
              <w:rPr>
                <w:rStyle w:val="VerbatimChar"/>
              </w:rPr>
              <w:t xml:space="preserve">correlation_bubbleplot_fdr.pdf</w:t>
            </w:r>
          </w:p>
        </w:tc>
        <w:tc>
          <w:tcPr/>
          <w:p>
            <w:pPr>
              <w:pStyle w:val="Compact"/>
            </w:pPr>
            <w:r>
              <w:t xml:space="preserve">PDF + PNG</w:t>
            </w:r>
          </w:p>
        </w:tc>
        <w:tc>
          <w:tcPr/>
          <w:p>
            <w:pPr>
              <w:pStyle w:val="Compact"/>
            </w:pPr>
            <w:r>
              <w:rPr>
                <w:rStyle w:val="VerbatimChar"/>
              </w:rPr>
              <w:t xml:space="preserve">05_visualize.R</w:t>
            </w:r>
          </w:p>
        </w:tc>
        <w:tc>
          <w:tcPr/>
          <w:p>
            <w:pPr>
              <w:pStyle w:val="Compact"/>
            </w:pPr>
            <w:r>
              <w:t xml:space="preserve">Bubble plot with FDR-corrected p-values (12 x 7 inches)</w:t>
            </w:r>
          </w:p>
        </w:tc>
      </w:tr>
      <w:tr>
        <w:tc>
          <w:tcPr/>
          <w:p>
            <w:pPr>
              <w:pStyle w:val="Compact"/>
            </w:pPr>
            <w:r>
              <w:rPr>
                <w:rStyle w:val="VerbatimChar"/>
              </w:rPr>
              <w:t xml:space="preserve">correlation_bubbleplot_comparison.pdf</w:t>
            </w:r>
          </w:p>
        </w:tc>
        <w:tc>
          <w:tcPr/>
          <w:p>
            <w:pPr>
              <w:pStyle w:val="Compact"/>
            </w:pPr>
            <w:r>
              <w:t xml:space="preserve">PDF + PNG</w:t>
            </w:r>
          </w:p>
        </w:tc>
        <w:tc>
          <w:tcPr/>
          <w:p>
            <w:pPr>
              <w:pStyle w:val="Compact"/>
            </w:pPr>
            <w:r>
              <w:rPr>
                <w:rStyle w:val="VerbatimChar"/>
              </w:rPr>
              <w:t xml:space="preserve">05_visualize.R</w:t>
            </w:r>
          </w:p>
        </w:tc>
        <w:tc>
          <w:tcPr/>
          <w:p>
            <w:pPr>
              <w:pStyle w:val="Compact"/>
            </w:pPr>
            <w:r>
              <w:t xml:space="preserve">Side-by-side original vs FDR using patchwork (20 x 8 inches)</w:t>
            </w:r>
          </w:p>
        </w:tc>
      </w:tr>
    </w:tbl>
    <w:p>
      <w:pPr>
        <w:pStyle w:val="BodyText"/>
      </w:pPr>
      <w:r>
        <w:rPr>
          <w:b/>
          <w:bCs/>
        </w:rPr>
        <w:t xml:space="preserve">Bubble plot aesthetics:</w:t>
      </w:r>
      <w:r>
        <w:t xml:space="preserve"> </w:t>
      </w:r>
      <w:r>
        <w:t xml:space="preserve">- Color scale: 3-color diverging palette (</w:t>
      </w:r>
      <w:r>
        <w:rPr>
          <w:rStyle w:val="VerbatimChar"/>
        </w:rPr>
        <w:t xml:space="preserve">#0072B2</w:t>
      </w:r>
      <w:r>
        <w:t xml:space="preserve"> </w:t>
      </w:r>
      <w:r>
        <w:t xml:space="preserve">blue →</w:t>
      </w:r>
      <w:r>
        <w:t xml:space="preserve"> </w:t>
      </w:r>
      <w:r>
        <w:rPr>
          <w:rStyle w:val="VerbatimChar"/>
        </w:rPr>
        <w:t xml:space="preserve">#F7F7F7</w:t>
      </w:r>
      <w:r>
        <w:t xml:space="preserve"> </w:t>
      </w:r>
      <w:r>
        <w:t xml:space="preserve">white →</w:t>
      </w:r>
      <w:r>
        <w:t xml:space="preserve"> </w:t>
      </w:r>
      <w:r>
        <w:rPr>
          <w:rStyle w:val="VerbatimChar"/>
        </w:rPr>
        <w:t xml:space="preserve">#D55E00</w:t>
      </w:r>
      <w:r>
        <w:t xml:space="preserve"> </w:t>
      </w:r>
      <w:r>
        <w:t xml:space="preserve">vermillion) via</w:t>
      </w:r>
      <w:r>
        <w:t xml:space="preserve"> </w:t>
      </w:r>
      <w:r>
        <w:rPr>
          <w:rStyle w:val="VerbatimChar"/>
        </w:rPr>
        <w:t xml:space="preserve">colorRampPalette()</w:t>
      </w:r>
      <w:r>
        <w:t xml:space="preserve">, mapped to Spearman rho with limits [-1, 1]</w:t>
      </w:r>
      <w:r>
        <w:t xml:space="preserve"> </w:t>
      </w:r>
      <w:r>
        <w:t xml:space="preserve">- Size:</w:t>
      </w:r>
      <w:r>
        <w:t xml:space="preserve"> </w:t>
      </w:r>
      <w:r>
        <w:rPr>
          <w:rStyle w:val="VerbatimChar"/>
        </w:rPr>
        <w:t xml:space="preserve">-log10(p-value)</w:t>
      </w:r>
      <w:r>
        <w:t xml:space="preserve"> </w:t>
      </w:r>
      <w:r>
        <w:t xml:space="preserve">or</w:t>
      </w:r>
      <w:r>
        <w:t xml:space="preserve"> </w:t>
      </w:r>
      <w:r>
        <w:rPr>
          <w:rStyle w:val="VerbatimChar"/>
        </w:rPr>
        <w:t xml:space="preserve">-log10(FDR)</w:t>
      </w:r>
      <w:r>
        <w:t xml:space="preserve">, range 1-10</w:t>
      </w:r>
      <w:r>
        <w:t xml:space="preserve"> </w:t>
      </w:r>
      <w:r>
        <w:t xml:space="preserve">- Gene order (y-axis): TFF1, SAA1, PGR, PAK4, HSD17B7, HSD17B2, GREB1, ESR1, CYP19A1, Age</w:t>
      </w:r>
      <w:r>
        <w:t xml:space="preserve"> </w:t>
      </w:r>
      <w:r>
        <w:t xml:space="preserve">- RAB19 was explicitly filtered out of visualization (</w:t>
      </w:r>
      <w:r>
        <w:rPr>
          <w:rStyle w:val="VerbatimChar"/>
        </w:rPr>
        <w:t xml:space="preserve">filter(!grepl("RAB19", GeneSymb))</w:t>
      </w:r>
      <w:r>
        <w:t xml:space="preserve">)</w:t>
      </w:r>
      <w:r>
        <w:t xml:space="preserve"> </w:t>
      </w:r>
      <w:r>
        <w:t xml:space="preserve">- Pathway names were abbreviated:</w:t>
      </w:r>
      <w:r>
        <w:t xml:space="preserve"> </w:t>
      </w:r>
      <w:r>
        <w:rPr>
          <w:rStyle w:val="VerbatimChar"/>
        </w:rPr>
        <w:t xml:space="preserve">HALLMARK_</w:t>
      </w:r>
      <w:r>
        <w:t xml:space="preserve"> </w:t>
      </w:r>
      <w:r>
        <w:t xml:space="preserve">to</w:t>
      </w:r>
      <w:r>
        <w:t xml:space="preserve"> </w:t>
      </w:r>
      <w:r>
        <w:rPr>
          <w:rStyle w:val="VerbatimChar"/>
        </w:rPr>
        <w:t xml:space="preserve">HM_</w:t>
      </w:r>
      <w:r>
        <w:t xml:space="preserve">,</w:t>
      </w:r>
      <w:r>
        <w:t xml:space="preserve"> </w:t>
      </w:r>
      <w:r>
        <w:rPr>
          <w:rStyle w:val="VerbatimChar"/>
        </w:rPr>
        <w:t xml:space="preserve">REACTOME_</w:t>
      </w:r>
      <w:r>
        <w:t xml:space="preserve"> </w:t>
      </w:r>
      <w:r>
        <w:t xml:space="preserve">to</w:t>
      </w:r>
      <w:r>
        <w:t xml:space="preserve"> </w:t>
      </w:r>
      <w:r>
        <w:rPr>
          <w:rStyle w:val="VerbatimChar"/>
        </w:rPr>
        <w:t xml:space="preserve">RC_</w:t>
      </w:r>
      <w:r>
        <w:t xml:space="preserve">,</w:t>
      </w:r>
      <w:r>
        <w:t xml:space="preserve"> </w:t>
      </w:r>
      <w:r>
        <w:rPr>
          <w:rStyle w:val="VerbatimChar"/>
        </w:rPr>
        <w:t xml:space="preserve">GOBP_</w:t>
      </w:r>
      <w:r>
        <w:t xml:space="preserve"> </w:t>
      </w:r>
      <w:r>
        <w:t xml:space="preserve">to</w:t>
      </w:r>
      <w:r>
        <w:t xml:space="preserve"> </w:t>
      </w:r>
      <w:r>
        <w:rPr>
          <w:rStyle w:val="VerbatimChar"/>
        </w:rPr>
        <w:t xml:space="preserve">GO_</w:t>
      </w:r>
    </w:p>
    <w:bookmarkEnd w:id="41"/>
    <w:bookmarkStart w:id="42" w:name="mica-visualizations"/>
    <w:p>
      <w:pPr>
        <w:pStyle w:val="Heading3"/>
      </w:pPr>
      <w:r>
        <w:t xml:space="preserve">MICA Visualizations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Output File</w:t>
            </w:r>
          </w:p>
        </w:tc>
        <w:tc>
          <w:tcPr/>
          <w:p>
            <w:pPr>
              <w:pStyle w:val="Compact"/>
            </w:pPr>
            <w:r>
              <w:t xml:space="preserve">Type</w:t>
            </w:r>
          </w:p>
        </w:tc>
        <w:tc>
          <w:tcPr/>
          <w:p>
            <w:pPr>
              <w:pStyle w:val="Compact"/>
            </w:pPr>
            <w:r>
              <w:t xml:space="preserve">Script</w:t>
            </w:r>
          </w:p>
        </w:tc>
        <w:tc>
          <w:tcPr/>
          <w:p>
            <w:pPr>
              <w:pStyle w:val="Compact"/>
            </w:pPr>
            <w:r>
              <w:t xml:space="preserve">Description</w:t>
            </w:r>
          </w:p>
        </w:tc>
      </w:tr>
      <w:tr>
        <w:tc>
          <w:tcPr/>
          <w:p>
            <w:pPr>
              <w:pStyle w:val="Compact"/>
            </w:pPr>
            <w:r>
              <w:rPr>
                <w:rStyle w:val="VerbatimChar"/>
              </w:rPr>
              <w:t xml:space="preserve">fig4c.pdf</w:t>
            </w:r>
          </w:p>
        </w:tc>
        <w:tc>
          <w:tcPr/>
          <w:p>
            <w:pPr>
              <w:pStyle w:val="Compact"/>
            </w:pPr>
            <w:r>
              <w:t xml:space="preserve">PDF</w:t>
            </w:r>
          </w:p>
        </w:tc>
        <w:tc>
          <w:tcPr/>
          <w:p>
            <w:pPr>
              <w:pStyle w:val="Compact"/>
            </w:pPr>
            <w:r>
              <w:rPr>
                <w:rStyle w:val="VerbatimChar"/>
              </w:rPr>
              <w:t xml:space="preserve">mica/04_fig4_estrogen.R</w:t>
            </w:r>
          </w:p>
        </w:tc>
        <w:tc>
          <w:tcPr/>
          <w:p>
            <w:pPr>
              <w:pStyle w:val="Compact"/>
            </w:pPr>
            <w:r>
              <w:t xml:space="preserve">HSD17B gene heatmap across cohorts</w:t>
            </w:r>
          </w:p>
        </w:tc>
      </w:tr>
      <w:tr>
        <w:tc>
          <w:tcPr/>
          <w:p>
            <w:pPr>
              <w:pStyle w:val="Compact"/>
            </w:pPr>
            <w:r>
              <w:rPr>
                <w:rStyle w:val="VerbatimChar"/>
              </w:rPr>
              <w:t xml:space="preserve">fig4h.pdf</w:t>
            </w:r>
          </w:p>
        </w:tc>
        <w:tc>
          <w:tcPr/>
          <w:p>
            <w:pPr>
              <w:pStyle w:val="Compact"/>
            </w:pPr>
            <w:r>
              <w:t xml:space="preserve">PDF</w:t>
            </w:r>
          </w:p>
        </w:tc>
        <w:tc>
          <w:tcPr/>
          <w:p>
            <w:pPr>
              <w:pStyle w:val="Compact"/>
            </w:pPr>
            <w:r>
              <w:rPr>
                <w:rStyle w:val="VerbatimChar"/>
              </w:rPr>
              <w:t xml:space="preserve">mica/04_fig4_estrogen.R</w:t>
            </w:r>
          </w:p>
        </w:tc>
        <w:tc>
          <w:tcPr/>
          <w:p>
            <w:pPr>
              <w:pStyle w:val="Compact"/>
            </w:pPr>
            <w:r>
              <w:t xml:space="preserve">EstroGene pathway boxplots by age</w:t>
            </w:r>
          </w:p>
        </w:tc>
      </w:tr>
      <w:tr>
        <w:tc>
          <w:tcPr/>
          <w:p>
            <w:pPr>
              <w:pStyle w:val="Compact"/>
            </w:pPr>
            <w:r>
              <w:rPr>
                <w:rStyle w:val="VerbatimChar"/>
              </w:rPr>
              <w:t xml:space="preserve">fig5c.pdf</w:t>
            </w:r>
          </w:p>
        </w:tc>
        <w:tc>
          <w:tcPr/>
          <w:p>
            <w:pPr>
              <w:pStyle w:val="Compact"/>
            </w:pPr>
            <w:r>
              <w:t xml:space="preserve">PDF</w:t>
            </w:r>
          </w:p>
        </w:tc>
        <w:tc>
          <w:tcPr/>
          <w:p>
            <w:pPr>
              <w:pStyle w:val="Compact"/>
            </w:pPr>
            <w:r>
              <w:rPr>
                <w:rStyle w:val="VerbatimChar"/>
              </w:rPr>
              <w:t xml:space="preserve">mica/05_fig5_immune.R</w:t>
            </w:r>
          </w:p>
        </w:tc>
        <w:tc>
          <w:tcPr/>
          <w:p>
            <w:pPr>
              <w:pStyle w:val="Compact"/>
            </w:pPr>
            <w:r>
              <w:t xml:space="preserve">Inflammatory pathway heatmap</w:t>
            </w:r>
          </w:p>
        </w:tc>
      </w:tr>
      <w:tr>
        <w:tc>
          <w:tcPr/>
          <w:p>
            <w:pPr>
              <w:pStyle w:val="Compact"/>
            </w:pPr>
            <w:r>
              <w:rPr>
                <w:rStyle w:val="VerbatimChar"/>
              </w:rPr>
              <w:t xml:space="preserve">fig5e.pdf</w:t>
            </w:r>
          </w:p>
        </w:tc>
        <w:tc>
          <w:tcPr/>
          <w:p>
            <w:pPr>
              <w:pStyle w:val="Compact"/>
            </w:pPr>
            <w:r>
              <w:t xml:space="preserve">PDF</w:t>
            </w:r>
          </w:p>
        </w:tc>
        <w:tc>
          <w:tcPr/>
          <w:p>
            <w:pPr>
              <w:pStyle w:val="Compact"/>
            </w:pPr>
            <w:r>
              <w:rPr>
                <w:rStyle w:val="VerbatimChar"/>
              </w:rPr>
              <w:t xml:space="preserve">mica/05_fig5_immune.R</w:t>
            </w:r>
          </w:p>
        </w:tc>
        <w:tc>
          <w:tcPr/>
          <w:p>
            <w:pPr>
              <w:pStyle w:val="Compact"/>
            </w:pPr>
            <w:r>
              <w:t xml:space="preserve">Immune cell abundance by age</w:t>
            </w:r>
          </w:p>
        </w:tc>
      </w:tr>
    </w:tbl>
    <w:bookmarkEnd w:id="42"/>
    <w:bookmarkEnd w:id="43"/>
    <w:bookmarkStart w:id="45" w:name="software-versions"/>
    <w:p>
      <w:pPr>
        <w:pStyle w:val="Heading2"/>
      </w:pPr>
      <w:r>
        <w:t xml:space="preserve">6. Software Versions</w:t>
      </w:r>
    </w:p>
    <w:p>
      <w:pPr>
        <w:pStyle w:val="FirstParagraph"/>
      </w:pPr>
      <w:r>
        <w:t xml:space="preserve">From</w:t>
      </w:r>
      <w:r>
        <w:t xml:space="preserve"> </w:t>
      </w:r>
      <w:r>
        <w:rPr>
          <w:rStyle w:val="VerbatimChar"/>
        </w:rPr>
        <w:t xml:space="preserve">envs/bulk_rnaseq.yml</w:t>
      </w:r>
      <w:r>
        <w:t xml:space="preserve"> </w:t>
      </w:r>
      <w:r>
        <w:t xml:space="preserve">(conda environment</w:t>
      </w:r>
      <w:r>
        <w:t xml:space="preserve"> </w:t>
      </w:r>
      <w:r>
        <w:rPr>
          <w:rStyle w:val="VerbatimChar"/>
        </w:rPr>
        <w:t xml:space="preserve">erp_bulk_rnaseq</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Version</w:t>
            </w:r>
          </w:p>
        </w:tc>
        <w:tc>
          <w:tcPr/>
          <w:p>
            <w:pPr>
              <w:pStyle w:val="Compact"/>
            </w:pPr>
            <w:r>
              <w:t xml:space="preserve">Purpose</w:t>
            </w:r>
          </w:p>
        </w:tc>
      </w:tr>
      <w:tr>
        <w:tc>
          <w:tcPr/>
          <w:p>
            <w:pPr>
              <w:pStyle w:val="Compact"/>
            </w:pPr>
            <w:r>
              <w:t xml:space="preserve">R</w:t>
            </w:r>
          </w:p>
        </w:tc>
        <w:tc>
          <w:tcPr/>
          <w:p>
            <w:pPr>
              <w:pStyle w:val="Compact"/>
            </w:pPr>
            <w:r>
              <w:t xml:space="preserve">4.3 (pinned in yml; exact patch version needs verification via</w:t>
            </w:r>
            <w:r>
              <w:t xml:space="preserve"> </w:t>
            </w:r>
            <w:r>
              <w:rPr>
                <w:rStyle w:val="VerbatimChar"/>
              </w:rPr>
              <w:t xml:space="preserve">sessionInfo()</w:t>
            </w:r>
            <w:r>
              <w:t xml:space="preserve">)</w:t>
            </w:r>
          </w:p>
        </w:tc>
        <w:tc>
          <w:tcPr/>
          <w:p>
            <w:pPr>
              <w:pStyle w:val="Compact"/>
            </w:pPr>
            <w:r>
              <w:t xml:space="preserve">Base language</w:t>
            </w:r>
          </w:p>
        </w:tc>
      </w:tr>
      <w:tr>
        <w:tc>
          <w:tcPr/>
          <w:p>
            <w:pPr>
              <w:pStyle w:val="Compact"/>
            </w:pPr>
            <w:r>
              <w:t xml:space="preserve">DESeq2</w:t>
            </w:r>
          </w:p>
        </w:tc>
        <w:tc>
          <w:tcPr/>
          <w:p>
            <w:pPr>
              <w:pStyle w:val="Compact"/>
            </w:pPr>
            <w:r>
              <w:t xml:space="preserve">(Bioconductor, version not pinned)</w:t>
            </w:r>
          </w:p>
        </w:tc>
        <w:tc>
          <w:tcPr/>
          <w:p>
            <w:pPr>
              <w:pStyle w:val="Compact"/>
            </w:pPr>
            <w:r>
              <w:t xml:space="preserve">Count normalization and VST (count mode)</w:t>
            </w:r>
          </w:p>
        </w:tc>
      </w:tr>
      <w:tr>
        <w:tc>
          <w:tcPr/>
          <w:p>
            <w:pPr>
              <w:pStyle w:val="Compact"/>
            </w:pPr>
            <w:r>
              <w:t xml:space="preserve">GSVA</w:t>
            </w:r>
          </w:p>
        </w:tc>
        <w:tc>
          <w:tcPr/>
          <w:p>
            <w:pPr>
              <w:pStyle w:val="Compact"/>
            </w:pPr>
            <w:r>
              <w:t xml:space="preserve">(Bioconductor, version not pinned)</w:t>
            </w:r>
          </w:p>
        </w:tc>
        <w:tc>
          <w:tcPr/>
          <w:p>
            <w:pPr>
              <w:pStyle w:val="Compact"/>
            </w:pPr>
            <w:r>
              <w:t xml:space="preserve">Gene set variation analysis</w:t>
            </w:r>
          </w:p>
        </w:tc>
      </w:tr>
      <w:tr>
        <w:tc>
          <w:tcPr/>
          <w:p>
            <w:pPr>
              <w:pStyle w:val="Compact"/>
            </w:pPr>
            <w:r>
              <w:t xml:space="preserve">PROGENy</w:t>
            </w:r>
          </w:p>
        </w:tc>
        <w:tc>
          <w:tcPr/>
          <w:p>
            <w:pPr>
              <w:pStyle w:val="Compact"/>
            </w:pPr>
            <w:r>
              <w:t xml:space="preserve">(Bioconductor, version not pinned)</w:t>
            </w:r>
          </w:p>
        </w:tc>
        <w:tc>
          <w:tcPr/>
          <w:p>
            <w:pPr>
              <w:pStyle w:val="Compact"/>
            </w:pPr>
            <w:r>
              <w:t xml:space="preserve">Pathway activity inference</w:t>
            </w:r>
          </w:p>
        </w:tc>
      </w:tr>
      <w:tr>
        <w:tc>
          <w:tcPr/>
          <w:p>
            <w:pPr>
              <w:pStyle w:val="Compact"/>
            </w:pPr>
            <w:r>
              <w:t xml:space="preserve">msigdbr</w:t>
            </w:r>
          </w:p>
        </w:tc>
        <w:tc>
          <w:tcPr/>
          <w:p>
            <w:pPr>
              <w:pStyle w:val="Compact"/>
            </w:pPr>
            <w:r>
              <w:t xml:space="preserve">(Bioconductor, version not pinned)</w:t>
            </w:r>
          </w:p>
        </w:tc>
        <w:tc>
          <w:tcPr/>
          <w:p>
            <w:pPr>
              <w:pStyle w:val="Compact"/>
            </w:pPr>
            <w:r>
              <w:t xml:space="preserve">MSigDB gene set retrieval</w:t>
            </w:r>
          </w:p>
        </w:tc>
      </w:tr>
      <w:tr>
        <w:tc>
          <w:tcPr/>
          <w:p>
            <w:pPr>
              <w:pStyle w:val="Compact"/>
            </w:pPr>
            <w:r>
              <w:t xml:space="preserve">tidyverse</w:t>
            </w:r>
          </w:p>
        </w:tc>
        <w:tc>
          <w:tcPr/>
          <w:p>
            <w:pPr>
              <w:pStyle w:val="Compact"/>
            </w:pPr>
            <w:r>
              <w:t xml:space="preserve">(not pinned)</w:t>
            </w:r>
          </w:p>
        </w:tc>
        <w:tc>
          <w:tcPr/>
          <w:p>
            <w:pPr>
              <w:pStyle w:val="Compact"/>
            </w:pPr>
            <w:r>
              <w:t xml:space="preserve">Data manipulation</w:t>
            </w:r>
          </w:p>
        </w:tc>
      </w:tr>
      <w:tr>
        <w:tc>
          <w:tcPr/>
          <w:p>
            <w:pPr>
              <w:pStyle w:val="Compact"/>
            </w:pPr>
            <w:r>
              <w:t xml:space="preserve">data.table</w:t>
            </w:r>
          </w:p>
        </w:tc>
        <w:tc>
          <w:tcPr/>
          <w:p>
            <w:pPr>
              <w:pStyle w:val="Compact"/>
            </w:pPr>
            <w:r>
              <w:t xml:space="preserve">(not pinned)</w:t>
            </w:r>
          </w:p>
        </w:tc>
        <w:tc>
          <w:tcPr/>
          <w:p>
            <w:pPr>
              <w:pStyle w:val="Compact"/>
            </w:pPr>
            <w:r>
              <w:t xml:space="preserve">Fast I/O</w:t>
            </w:r>
          </w:p>
        </w:tc>
      </w:tr>
      <w:tr>
        <w:tc>
          <w:tcPr/>
          <w:p>
            <w:pPr>
              <w:pStyle w:val="Compact"/>
            </w:pPr>
            <w:r>
              <w:t xml:space="preserve">pheatmap</w:t>
            </w:r>
          </w:p>
        </w:tc>
        <w:tc>
          <w:tcPr/>
          <w:p>
            <w:pPr>
              <w:pStyle w:val="Compact"/>
            </w:pPr>
            <w:r>
              <w:t xml:space="preserve">(not pinned)</w:t>
            </w:r>
          </w:p>
        </w:tc>
        <w:tc>
          <w:tcPr/>
          <w:p>
            <w:pPr>
              <w:pStyle w:val="Compact"/>
            </w:pPr>
            <w:r>
              <w:t xml:space="preserve">Heatmaps</w:t>
            </w:r>
          </w:p>
        </w:tc>
      </w:tr>
      <w:tr>
        <w:tc>
          <w:tcPr/>
          <w:p>
            <w:pPr>
              <w:pStyle w:val="Compact"/>
            </w:pPr>
            <w:r>
              <w:t xml:space="preserve">ggplot2</w:t>
            </w:r>
          </w:p>
        </w:tc>
        <w:tc>
          <w:tcPr/>
          <w:p>
            <w:pPr>
              <w:pStyle w:val="Compact"/>
            </w:pPr>
            <w:r>
              <w:t xml:space="preserve">(not pinned)</w:t>
            </w:r>
          </w:p>
        </w:tc>
        <w:tc>
          <w:tcPr/>
          <w:p>
            <w:pPr>
              <w:pStyle w:val="Compact"/>
            </w:pPr>
            <w:r>
              <w:t xml:space="preserve">Plotting</w:t>
            </w:r>
          </w:p>
        </w:tc>
      </w:tr>
      <w:tr>
        <w:tc>
          <w:tcPr/>
          <w:p>
            <w:pPr>
              <w:pStyle w:val="Compact"/>
            </w:pPr>
            <w:r>
              <w:t xml:space="preserve">patchwork</w:t>
            </w:r>
          </w:p>
        </w:tc>
        <w:tc>
          <w:tcPr/>
          <w:p>
            <w:pPr>
              <w:pStyle w:val="Compact"/>
            </w:pPr>
            <w:r>
              <w:t xml:space="preserve">(not pinned)</w:t>
            </w:r>
          </w:p>
        </w:tc>
        <w:tc>
          <w:tcPr/>
          <w:p>
            <w:pPr>
              <w:pStyle w:val="Compact"/>
            </w:pPr>
            <w:r>
              <w:t xml:space="preserve">Multi-panel figures</w:t>
            </w:r>
          </w:p>
        </w:tc>
      </w:tr>
      <w:tr>
        <w:tc>
          <w:tcPr/>
          <w:p>
            <w:pPr>
              <w:pStyle w:val="Compact"/>
            </w:pPr>
            <w:r>
              <w:t xml:space="preserve">edgeR</w:t>
            </w:r>
          </w:p>
        </w:tc>
        <w:tc>
          <w:tcPr/>
          <w:p>
            <w:pPr>
              <w:pStyle w:val="Compact"/>
            </w:pPr>
            <w:r>
              <w:t xml:space="preserve">(not pinned)</w:t>
            </w:r>
          </w:p>
        </w:tc>
        <w:tc>
          <w:tcPr/>
          <w:p>
            <w:pPr>
              <w:pStyle w:val="Compact"/>
            </w:pPr>
            <w:r>
              <w:t xml:space="preserve">CPM normalization (MICA sub-pipeline)</w:t>
            </w:r>
          </w:p>
        </w:tc>
      </w:tr>
      <w:tr>
        <w:tc>
          <w:tcPr/>
          <w:p>
            <w:pPr>
              <w:pStyle w:val="Compact"/>
            </w:pPr>
            <w:r>
              <w:t xml:space="preserve">ComplexHeatmap</w:t>
            </w:r>
          </w:p>
        </w:tc>
        <w:tc>
          <w:tcPr/>
          <w:p>
            <w:pPr>
              <w:pStyle w:val="Compact"/>
            </w:pPr>
            <w:r>
              <w:t xml:space="preserve">(not listed in environment.yml)</w:t>
            </w:r>
          </w:p>
        </w:tc>
        <w:tc>
          <w:tcPr/>
          <w:p>
            <w:pPr>
              <w:pStyle w:val="Compact"/>
            </w:pPr>
            <w:r>
              <w:t xml:space="preserve">MICA figure generation</w:t>
            </w:r>
          </w:p>
        </w:tc>
      </w:tr>
      <w:tr>
        <w:tc>
          <w:tcPr/>
          <w:p>
            <w:pPr>
              <w:pStyle w:val="Compact"/>
            </w:pPr>
            <w:r>
              <w:t xml:space="preserve">circlize</w:t>
            </w:r>
          </w:p>
        </w:tc>
        <w:tc>
          <w:tcPr/>
          <w:p>
            <w:pPr>
              <w:pStyle w:val="Compact"/>
            </w:pPr>
            <w:r>
              <w:t xml:space="preserve">(not listed in environment.yml)</w:t>
            </w:r>
          </w:p>
        </w:tc>
        <w:tc>
          <w:tcPr/>
          <w:p>
            <w:pPr>
              <w:pStyle w:val="Compact"/>
            </w:pPr>
            <w:r>
              <w:t xml:space="preserve">Color functions for ComplexHeatmap</w:t>
            </w:r>
          </w:p>
        </w:tc>
      </w:tr>
      <w:tr>
        <w:tc>
          <w:tcPr/>
          <w:p>
            <w:pPr>
              <w:pStyle w:val="Compact"/>
            </w:pPr>
            <w:r>
              <w:t xml:space="preserve">MICA</w:t>
            </w:r>
          </w:p>
        </w:tc>
        <w:tc>
          <w:tcPr/>
          <w:p>
            <w:pPr>
              <w:pStyle w:val="Compact"/>
            </w:pPr>
            <w:r>
              <w:t xml:space="preserve">(not listed in environment.yml)</w:t>
            </w:r>
          </w:p>
        </w:tc>
        <w:tc>
          <w:tcPr/>
          <w:p>
            <w:pPr>
              <w:pStyle w:val="Compact"/>
            </w:pPr>
            <w:r>
              <w:t xml:space="preserve">Concordance analysis</w:t>
            </w:r>
          </w:p>
        </w:tc>
      </w:tr>
    </w:tbl>
    <w:bookmarkStart w:id="44" w:name="slurm-execution-parameters"/>
    <w:p>
      <w:pPr>
        <w:pStyle w:val="Heading3"/>
      </w:pPr>
      <w:r>
        <w:t xml:space="preserve">SLURM Execution Parameters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Main Pipeline (</w:t>
            </w:r>
            <w:r>
              <w:rPr>
                <w:rStyle w:val="VerbatimChar"/>
              </w:rPr>
              <w:t xml:space="preserve">run_analysis.sbatch</w:t>
            </w:r>
            <w:r>
              <w:t xml:space="preserve">)</w:t>
            </w:r>
          </w:p>
        </w:tc>
        <w:tc>
          <w:tcPr/>
          <w:p>
            <w:pPr>
              <w:pStyle w:val="Compact"/>
            </w:pPr>
            <w:r>
              <w:t xml:space="preserve">MICA Pipeline (</w:t>
            </w:r>
            <w:r>
              <w:rPr>
                <w:rStyle w:val="VerbatimChar"/>
              </w:rPr>
              <w:t xml:space="preserve">mica/run_all.sbatch</w:t>
            </w:r>
            <w:r>
              <w:t xml:space="preserve">)</w:t>
            </w:r>
          </w:p>
        </w:tc>
      </w:tr>
      <w:tr>
        <w:tc>
          <w:tcPr/>
          <w:p>
            <w:pPr>
              <w:pStyle w:val="Compact"/>
            </w:pPr>
            <w:r>
              <w:t xml:space="preserve">Partition</w:t>
            </w:r>
          </w:p>
        </w:tc>
        <w:tc>
          <w:tcPr/>
          <w:p>
            <w:pPr>
              <w:pStyle w:val="Compact"/>
            </w:pPr>
            <w:r>
              <w:t xml:space="preserve">htc</w:t>
            </w:r>
          </w:p>
        </w:tc>
        <w:tc>
          <w:tcPr/>
          <w:p>
            <w:pPr>
              <w:pStyle w:val="Compact"/>
            </w:pPr>
            <w:r>
              <w:t xml:space="preserve">htc</w:t>
            </w:r>
          </w:p>
        </w:tc>
      </w:tr>
      <w:tr>
        <w:tc>
          <w:tcPr/>
          <w:p>
            <w:pPr>
              <w:pStyle w:val="Compact"/>
            </w:pPr>
            <w:r>
              <w:t xml:space="preserve">Time limit</w:t>
            </w:r>
          </w:p>
        </w:tc>
        <w:tc>
          <w:tcPr/>
          <w:p>
            <w:pPr>
              <w:pStyle w:val="Compact"/>
            </w:pPr>
            <w:r>
              <w:t xml:space="preserve">4 hours</w:t>
            </w:r>
          </w:p>
        </w:tc>
        <w:tc>
          <w:tcPr/>
          <w:p>
            <w:pPr>
              <w:pStyle w:val="Compact"/>
            </w:pPr>
            <w:r>
              <w:t xml:space="preserve">4 hours</w:t>
            </w:r>
          </w:p>
        </w:tc>
      </w:tr>
      <w:tr>
        <w:tc>
          <w:tcPr/>
          <w:p>
            <w:pPr>
              <w:pStyle w:val="Compact"/>
            </w:pPr>
            <w:r>
              <w:t xml:space="preserve">Memory</w:t>
            </w:r>
          </w:p>
        </w:tc>
        <w:tc>
          <w:tcPr/>
          <w:p>
            <w:pPr>
              <w:pStyle w:val="Compact"/>
            </w:pPr>
            <w:r>
              <w:t xml:space="preserve">32 GB</w:t>
            </w:r>
          </w:p>
        </w:tc>
        <w:tc>
          <w:tcPr/>
          <w:p>
            <w:pPr>
              <w:pStyle w:val="Compact"/>
            </w:pPr>
            <w:r>
              <w:t xml:space="preserve">32 GB</w:t>
            </w:r>
          </w:p>
        </w:tc>
      </w:tr>
      <w:tr>
        <w:tc>
          <w:tcPr/>
          <w:p>
            <w:pPr>
              <w:pStyle w:val="Compact"/>
            </w:pPr>
            <w:r>
              <w:t xml:space="preserve">CPUs</w:t>
            </w:r>
          </w:p>
        </w:tc>
        <w:tc>
          <w:tcPr/>
          <w:p>
            <w:pPr>
              <w:pStyle w:val="Compact"/>
            </w:pPr>
            <w:r>
              <w:t xml:space="preserve">4</w:t>
            </w:r>
          </w:p>
        </w:tc>
        <w:tc>
          <w:tcPr/>
          <w:p>
            <w:pPr>
              <w:pStyle w:val="Compact"/>
            </w:pPr>
            <w:r>
              <w:t xml:space="preserve">4 (sbatch requests 4;</w:t>
            </w:r>
            <w:r>
              <w:t xml:space="preserve"> </w:t>
            </w:r>
            <w:r>
              <w:rPr>
                <w:rStyle w:val="VerbatimChar"/>
              </w:rPr>
              <w:t xml:space="preserve">n.parallel = 10</w:t>
            </w:r>
            <w:r>
              <w:t xml:space="preserve"> </w:t>
            </w:r>
            <w:r>
              <w:t xml:space="preserve">is set in R code)</w:t>
            </w:r>
          </w:p>
        </w:tc>
      </w:tr>
      <w:tr>
        <w:tc>
          <w:tcPr/>
          <w:p>
            <w:pPr>
              <w:pStyle w:val="Compact"/>
            </w:pPr>
            <w:r>
              <w:t xml:space="preserve">Conda env</w:t>
            </w:r>
          </w:p>
        </w:tc>
        <w:tc>
          <w:tcPr/>
          <w:p>
            <w:pPr>
              <w:pStyle w:val="Compact"/>
            </w:pPr>
            <w:r>
              <w:rPr>
                <w:rStyle w:val="VerbatimChar"/>
              </w:rPr>
              <w:t xml:space="preserve">erp_bulk_rnaseq</w:t>
            </w:r>
          </w:p>
        </w:tc>
        <w:tc>
          <w:tcPr/>
          <w:p>
            <w:pPr>
              <w:pStyle w:val="Compact"/>
            </w:pPr>
            <w:r>
              <w:rPr>
                <w:rStyle w:val="VerbatimChar"/>
              </w:rPr>
              <w:t xml:space="preserve">/ix1/.../envs/erp_brca_aging</w:t>
            </w:r>
          </w:p>
        </w:tc>
      </w:tr>
    </w:tbl>
    <w:bookmarkEnd w:id="44"/>
    <w:bookmarkEnd w:id="45"/>
    <w:bookmarkStart w:id="46" w:name="reproducibility-notes"/>
    <w:p>
      <w:pPr>
        <w:pStyle w:val="Heading2"/>
      </w:pPr>
      <w:r>
        <w:t xml:space="preserve">7. Reproducibility Notes</w:t>
      </w:r>
    </w:p>
    <w:p>
      <w:pPr>
        <w:pStyle w:val="Compact"/>
        <w:numPr>
          <w:ilvl w:val="0"/>
          <w:numId w:val="1004"/>
        </w:numPr>
      </w:pPr>
      <w:r>
        <w:rPr>
          <w:b/>
          <w:bCs/>
        </w:rPr>
        <w:t xml:space="preserve">Random seeds:</w:t>
      </w:r>
      <w:r>
        <w:t xml:space="preserve"> </w:t>
      </w:r>
      <w:r>
        <w:rPr>
          <w:rStyle w:val="VerbatimChar"/>
        </w:rPr>
        <w:t xml:space="preserve">set.seed(12345)</w:t>
      </w:r>
      <w:r>
        <w:t xml:space="preserve"> </w:t>
      </w:r>
      <w:r>
        <w:t xml:space="preserve">was set at the start of every R script in the pipeline.</w:t>
      </w:r>
    </w:p>
    <w:p>
      <w:pPr>
        <w:pStyle w:val="Compact"/>
        <w:numPr>
          <w:ilvl w:val="0"/>
          <w:numId w:val="1004"/>
        </w:numPr>
      </w:pPr>
      <w:r>
        <w:rPr>
          <w:b/>
          <w:bCs/>
        </w:rPr>
        <w:t xml:space="preserve">Execution order:</w:t>
      </w:r>
      <w:r>
        <w:t xml:space="preserve"> </w:t>
      </w:r>
      <w:r>
        <w:t xml:space="preserve">Scripts were executed sequentially (</w:t>
      </w:r>
      <w:r>
        <w:rPr>
          <w:rStyle w:val="VerbatimChar"/>
        </w:rPr>
        <w:t xml:space="preserve">01</w:t>
      </w:r>
      <w:r>
        <w:t xml:space="preserve"> </w:t>
      </w:r>
      <w:r>
        <w:t xml:space="preserve">through</w:t>
      </w:r>
      <w:r>
        <w:t xml:space="preserve"> </w:t>
      </w:r>
      <w:r>
        <w:rPr>
          <w:rStyle w:val="VerbatimChar"/>
        </w:rPr>
        <w:t xml:space="preserve">05</w:t>
      </w:r>
      <w:r>
        <w:t xml:space="preserve">) via shell scripts, with each script depending on outputs from prior steps. The sbatch script enforced sequential execution with</w:t>
      </w:r>
      <w:r>
        <w:t xml:space="preserve"> </w:t>
      </w:r>
      <w:r>
        <w:rPr>
          <w:rStyle w:val="VerbatimChar"/>
        </w:rPr>
        <w:t xml:space="preserve">set -eo pipefail</w:t>
      </w:r>
      <w:r>
        <w:t xml:space="preserve">.</w:t>
      </w:r>
    </w:p>
    <w:p>
      <w:pPr>
        <w:pStyle w:val="Compact"/>
        <w:numPr>
          <w:ilvl w:val="0"/>
          <w:numId w:val="1004"/>
        </w:numPr>
      </w:pPr>
      <w:r>
        <w:rPr>
          <w:b/>
          <w:bCs/>
        </w:rPr>
        <w:t xml:space="preserve">Completion markers:</w:t>
      </w:r>
      <w:r>
        <w:t xml:space="preserve"> </w:t>
      </w:r>
      <w:r>
        <w:t xml:space="preserve">Upon successful completion, the sbatch script wrote a marker file to</w:t>
      </w:r>
      <w:r>
        <w:t xml:space="preserve"> </w:t>
      </w:r>
      <w:r>
        <w:rPr>
          <w:rStyle w:val="VerbatimChar"/>
        </w:rPr>
        <w:t xml:space="preserve">.pipeline_markers/01_human_bulk_rnaseq.complete</w:t>
      </w:r>
      <w:r>
        <w:t xml:space="preserve">.</w:t>
      </w:r>
    </w:p>
    <w:p>
      <w:pPr>
        <w:pStyle w:val="Compact"/>
        <w:numPr>
          <w:ilvl w:val="0"/>
          <w:numId w:val="1004"/>
        </w:numPr>
      </w:pPr>
      <w:r>
        <w:rPr>
          <w:b/>
          <w:bCs/>
        </w:rPr>
        <w:t xml:space="preserve">Intermediate checkpoints:</w:t>
      </w:r>
      <w:r>
        <w:t xml:space="preserve"> </w:t>
      </w:r>
      <w:r>
        <w:t xml:space="preserve">All intermediate results (expression matrix, GSVA scores, PROGENy activity, correlation results) were saved as RDS files. Key results were additionally exported as CSV for cross-platform accessibility.</w:t>
      </w:r>
    </w:p>
    <w:p>
      <w:pPr>
        <w:pStyle w:val="Compact"/>
        <w:numPr>
          <w:ilvl w:val="0"/>
          <w:numId w:val="1004"/>
        </w:numPr>
      </w:pPr>
      <w:r>
        <w:rPr>
          <w:b/>
          <w:bCs/>
        </w:rPr>
        <w:t xml:space="preserve">Hardcoded paths:</w:t>
      </w:r>
      <w:r>
        <w:t xml:space="preserve"> </w:t>
      </w:r>
      <w:r>
        <w:t xml:space="preserve">The sbatch script contains an absolute path to</w:t>
      </w:r>
      <w:r>
        <w:t xml:space="preserve"> </w:t>
      </w:r>
      <w:r>
        <w:rPr>
          <w:rStyle w:val="VerbatimChar"/>
        </w:rPr>
        <w:t xml:space="preserve">SCRIPT_DIR</w:t>
      </w:r>
      <w:r>
        <w:t xml:space="preserve">. Main pipeline R scripts (</w:t>
      </w:r>
      <w:r>
        <w:rPr>
          <w:rStyle w:val="VerbatimChar"/>
        </w:rPr>
        <w:t xml:space="preserve">01</w:t>
      </w:r>
      <w:r>
        <w:t xml:space="preserve">–</w:t>
      </w:r>
      <w:r>
        <w:rPr>
          <w:rStyle w:val="VerbatimChar"/>
        </w:rPr>
        <w:t xml:space="preserve">05</w:t>
      </w:r>
      <w:r>
        <w:t xml:space="preserve">) derive paths relative to the script location using</w:t>
      </w:r>
      <w:r>
        <w:t xml:space="preserve"> </w:t>
      </w:r>
      <w:r>
        <w:rPr>
          <w:rStyle w:val="VerbatimChar"/>
        </w:rPr>
        <w:t xml:space="preserve">commandArgs()</w:t>
      </w:r>
      <w:r>
        <w:t xml:space="preserve">. MICA sub-pipeline scripts (</w:t>
      </w:r>
      <w:r>
        <w:rPr>
          <w:rStyle w:val="VerbatimChar"/>
        </w:rPr>
        <w:t xml:space="preserve">mica/01</w:t>
      </w:r>
      <w:r>
        <w:t xml:space="preserve">–</w:t>
      </w:r>
      <w:r>
        <w:rPr>
          <w:rStyle w:val="VerbatimChar"/>
        </w:rPr>
        <w:t xml:space="preserve">05</w:t>
      </w:r>
      <w:r>
        <w:t xml:space="preserve">) use</w:t>
      </w:r>
      <w:r>
        <w:t xml:space="preserve"> </w:t>
      </w:r>
      <w:r>
        <w:rPr>
          <w:rStyle w:val="VerbatimChar"/>
        </w:rPr>
        <w:t xml:space="preserve">sys.frame(1)$ofile</w:t>
      </w:r>
      <w:r>
        <w:t xml:space="preserve"> </w:t>
      </w:r>
      <w:r>
        <w:t xml:space="preserve">with a</w:t>
      </w:r>
      <w:r>
        <w:t xml:space="preserve"> </w:t>
      </w:r>
      <w:r>
        <w:rPr>
          <w:rStyle w:val="VerbatimChar"/>
        </w:rPr>
        <w:t xml:space="preserve">getwd()</w:t>
      </w:r>
      <w:r>
        <w:t xml:space="preserve"> </w:t>
      </w:r>
      <w:r>
        <w:t xml:space="preserve">fallback.</w:t>
      </w:r>
    </w:p>
    <w:p>
      <w:r>
        <w:pict>
          <v:rect style="width:0;height:1.5pt" o:hralign="center" o:hrstd="t" o:hr="t"/>
        </w:pict>
      </w:r>
    </w:p>
    <w:bookmarkEnd w:id="46"/>
    <w:bookmarkStart w:id="47" w:name="main-text-summary"/>
    <w:p>
      <w:pPr>
        <w:pStyle w:val="Heading2"/>
      </w:pPr>
      <w:r>
        <w:t xml:space="preserve">Main Text Summary</w:t>
      </w:r>
    </w:p>
    <w:p>
      <w:pPr>
        <w:pStyle w:val="FirstParagraph"/>
      </w:pPr>
      <w:r>
        <w:t xml:space="preserve">Human ER+ breast cancer bulk RNA-seq data (39,404 genes, 168 samples) were preprocessed by filtering to protein-coding genes using NCBI gene annotations. When raw counts were available, DESeq2 variance stabilizing transformation (VST, design</w:t>
      </w:r>
      <w:r>
        <w:t xml:space="preserve"> </w:t>
      </w:r>
      <w:r>
        <w:rPr>
          <w:rStyle w:val="VerbatimChar"/>
        </w:rPr>
        <w:t xml:space="preserve">~ AgeRange + Group</w:t>
      </w:r>
      <w:r>
        <w:t xml:space="preserve">) was applied; otherwise, pre-computed log2(TPM) values were used as the expression matrix. Estrogen pathway activity was quantified using GSVA (v2.x,</w:t>
      </w:r>
      <w:r>
        <w:t xml:space="preserve"> </w:t>
      </w:r>
      <w:r>
        <w:rPr>
          <w:rStyle w:val="VerbatimChar"/>
        </w:rPr>
        <w:t xml:space="preserve">kcdf = "Gaussian"</w:t>
      </w:r>
      <w:r>
        <w:t xml:space="preserve">,</w:t>
      </w:r>
      <w:r>
        <w:t xml:space="preserve"> </w:t>
      </w:r>
      <w:r>
        <w:rPr>
          <w:rStyle w:val="VerbatimChar"/>
        </w:rPr>
        <w:t xml:space="preserve">maxDiff = TRUE</w:t>
      </w:r>
      <w:r>
        <w:t xml:space="preserve">) across seven curated estrogen-related gene sets: two MSigDB Hallmark (Estrogen Response Early/Late), one Reactome (Estrogen Dependent Gene Expression), one WikiPathways (Estrogen Signaling Pathway), two GO Biological Process (Intracellular Estrogen Receptor Signaling Pathway, Cellular Response to Estrogen Stimulus), and a custom E1-responsive gene set (407 genes uniquely upregulated by estrone but not estradiol, FC&gt;2, q&lt;0.05; Table S1 from Liguori et al., Cell Metabolism, 2020). PROGENy pathway activity was inferred using the top 100 footprint genes per pathway with 1,000 permutations. Spearman rank correlations between nine estrogen-related genes (PAK4, HSD17B7, GREB1, PGR, ESR1, TFF1, CYP19A1, HSD17B2, SAA1) plus chronological age and all pathway activity scores were computed for Young and Elderly tumor samples, with Benjamini-Hochberg false discovery rate correction applied across all tests. MICA concordance analysis was performed across TCGA, METABRIC, and SCAN-B cohorts using GSVA with two age stratification schemes and 500 permutations. All analyses used R 4.3 (conda-pinned; exact patch version needs verification via</w:t>
      </w:r>
      <w:r>
        <w:t xml:space="preserve"> </w:t>
      </w:r>
      <w:r>
        <w:rPr>
          <w:rStyle w:val="VerbatimChar"/>
        </w:rPr>
        <w:t xml:space="preserve">sessionInfo()</w:t>
      </w:r>
      <w:r>
        <w:t xml:space="preserve">) with seed 12345 for reproducibility.</w:t>
      </w:r>
      <w:r>
        <w:t xml:space="preserve"> </w:t>
      </w:r>
      <w:r>
        <w:t xml:space="preserve"># Computational Methods: Rat Mammary Tumor snRNA-seq (02_rat_snrnaseq)</w:t>
      </w:r>
    </w:p>
    <w:bookmarkEnd w:id="47"/>
    <w:bookmarkStart w:id="48" w:name="data-acquisition-1"/>
    <w:p>
      <w:pPr>
        <w:pStyle w:val="Heading2"/>
      </w:pPr>
      <w:r>
        <w:t xml:space="preserve">1. Data Acquisition</w:t>
      </w:r>
    </w:p>
    <w:p>
      <w:pPr>
        <w:pStyle w:val="FirstParagraph"/>
      </w:pPr>
      <w:r>
        <w:t xml:space="preserve">Single-nucleus RNA sequencing (snRNA-seq) data were obtained from rat mammary tumors deposited under GEO accession GSE276758. The dataset comprised six samples (GSM8505435–GSM8505440, designated Lee_021924_Nuclei1 through Lee_021924_Nuclei6), with three biological replicates per age group: Aged (Nuclei1–3) and Young (Nuclei4–6). Raw 10X Chromium data were read using</w:t>
      </w:r>
      <w:r>
        <w:t xml:space="preserve"> </w:t>
      </w:r>
      <w:r>
        <w:rPr>
          <w:rStyle w:val="VerbatimChar"/>
        </w:rPr>
        <w:t xml:space="preserve">Seurat::Read10X()</w:t>
      </w:r>
      <w:r>
        <w:t xml:space="preserve"> </w:t>
      </w:r>
      <w:r>
        <w:t xml:space="preserve">with</w:t>
      </w:r>
      <w:r>
        <w:t xml:space="preserve"> </w:t>
      </w:r>
      <w:r>
        <w:rPr>
          <w:rStyle w:val="VerbatimChar"/>
        </w:rPr>
        <w:t xml:space="preserve">gene.column = 2</w:t>
      </w:r>
      <w:r>
        <w:t xml:space="preserve">.</w:t>
      </w:r>
    </w:p>
    <w:bookmarkEnd w:id="48"/>
    <w:bookmarkStart w:id="51" w:name="preprocessing-1"/>
    <w:p>
      <w:pPr>
        <w:pStyle w:val="Heading2"/>
      </w:pPr>
      <w:r>
        <w:t xml:space="preserve">2. Preprocessing</w:t>
      </w:r>
    </w:p>
    <w:bookmarkStart w:id="49" w:name="quality-control-filtering"/>
    <w:p>
      <w:pPr>
        <w:pStyle w:val="Heading3"/>
      </w:pPr>
      <w:r>
        <w:t xml:space="preserve">2.1 Quality Control Filtering</w:t>
      </w:r>
    </w:p>
    <w:p>
      <w:pPr>
        <w:pStyle w:val="FirstParagraph"/>
      </w:pPr>
      <w:r>
        <w:t xml:space="preserve">Quality control was performed per sample prior to merging. Mitochondrial gene content was calculated using</w:t>
      </w:r>
      <w:r>
        <w:t xml:space="preserve"> </w:t>
      </w:r>
      <w:r>
        <w:rPr>
          <w:rStyle w:val="VerbatimChar"/>
        </w:rPr>
        <w:t xml:space="preserve">PercentageFeatureSet()</w:t>
      </w:r>
      <w:r>
        <w:t xml:space="preserve"> </w:t>
      </w:r>
      <w:r>
        <w:t xml:space="preserve">with the pattern</w:t>
      </w:r>
      <w:r>
        <w:t xml:space="preserve"> </w:t>
      </w:r>
      <w:r>
        <w:rPr>
          <w:rStyle w:val="VerbatimChar"/>
        </w:rPr>
        <w:t xml:space="preserve">"^MT-|^Mt-"</w:t>
      </w:r>
      <w:r>
        <w:t xml:space="preserve">, and ribosomal protein content was calculated with the pattern</w:t>
      </w:r>
      <w:r>
        <w:t xml:space="preserve"> </w:t>
      </w:r>
      <w:r>
        <w:rPr>
          <w:rStyle w:val="VerbatimChar"/>
        </w:rPr>
        <w:t xml:space="preserve">"^RP[SL]|^Rp[sl]"</w:t>
      </w:r>
      <w:r>
        <w:t xml:space="preserve">. Nuclei were retained if they satisfied all of the following criteria:</w:t>
      </w:r>
    </w:p>
    <w:p>
      <w:pPr>
        <w:pStyle w:val="Compact"/>
        <w:numPr>
          <w:ilvl w:val="0"/>
          <w:numId w:val="1005"/>
        </w:numPr>
      </w:pPr>
      <w:r>
        <w:rPr>
          <w:rStyle w:val="VerbatimChar"/>
        </w:rPr>
        <w:t xml:space="preserve">nFeature_RNA &gt; 200</w:t>
      </w:r>
      <w:r>
        <w:t xml:space="preserve"> </w:t>
      </w:r>
      <w:r>
        <w:t xml:space="preserve">(minimum detected genes)</w:t>
      </w:r>
    </w:p>
    <w:p>
      <w:pPr>
        <w:pStyle w:val="Compact"/>
        <w:numPr>
          <w:ilvl w:val="0"/>
          <w:numId w:val="1005"/>
        </w:numPr>
      </w:pPr>
      <w:r>
        <w:rPr>
          <w:rStyle w:val="VerbatimChar"/>
        </w:rPr>
        <w:t xml:space="preserve">nFeature_RNA &lt; 6000</w:t>
      </w:r>
      <w:r>
        <w:t xml:space="preserve"> </w:t>
      </w:r>
      <w:r>
        <w:t xml:space="preserve">(maximum detected genes)</w:t>
      </w:r>
    </w:p>
    <w:p>
      <w:pPr>
        <w:pStyle w:val="Compact"/>
        <w:numPr>
          <w:ilvl w:val="0"/>
          <w:numId w:val="1005"/>
        </w:numPr>
      </w:pPr>
      <w:r>
        <w:rPr>
          <w:rStyle w:val="VerbatimChar"/>
        </w:rPr>
        <w:t xml:space="preserve">nCount_RNA &gt; 400</w:t>
      </w:r>
      <w:r>
        <w:t xml:space="preserve"> </w:t>
      </w:r>
      <w:r>
        <w:t xml:space="preserve">(minimum UMI counts)</w:t>
      </w:r>
    </w:p>
    <w:p>
      <w:pPr>
        <w:pStyle w:val="Compact"/>
        <w:numPr>
          <w:ilvl w:val="0"/>
          <w:numId w:val="1005"/>
        </w:numPr>
      </w:pPr>
      <w:r>
        <w:rPr>
          <w:rStyle w:val="VerbatimChar"/>
        </w:rPr>
        <w:t xml:space="preserve">percent.mt &lt; 15</w:t>
      </w:r>
      <w:r>
        <w:t xml:space="preserve"> </w:t>
      </w:r>
      <w:r>
        <w:t xml:space="preserve">(maximum mitochondrial content, %)</w:t>
      </w:r>
    </w:p>
    <w:bookmarkEnd w:id="49"/>
    <w:bookmarkStart w:id="50" w:name="doublet-detection-and-removal"/>
    <w:p>
      <w:pPr>
        <w:pStyle w:val="Heading3"/>
      </w:pPr>
      <w:r>
        <w:t xml:space="preserve">2.2 Doublet Detection and Removal</w:t>
      </w:r>
    </w:p>
    <w:p>
      <w:pPr>
        <w:pStyle w:val="FirstParagraph"/>
      </w:pPr>
      <w:r>
        <w:t xml:space="preserve">Doublet detection was performed per sample using DoubletFinder (v1.0). Each sample was independently normalized with</w:t>
      </w:r>
      <w:r>
        <w:t xml:space="preserve"> </w:t>
      </w:r>
      <w:r>
        <w:rPr>
          <w:rStyle w:val="VerbatimChar"/>
        </w:rPr>
        <w:t xml:space="preserve">SCTransform()</w:t>
      </w:r>
      <w:r>
        <w:t xml:space="preserve"> </w:t>
      </w:r>
      <w:r>
        <w:t xml:space="preserve">(method =</w:t>
      </w:r>
      <w:r>
        <w:t xml:space="preserve"> </w:t>
      </w:r>
      <w:r>
        <w:rPr>
          <w:rStyle w:val="VerbatimChar"/>
        </w:rPr>
        <w:t xml:space="preserve">"glmGamPoi"</w:t>
      </w:r>
      <w:r>
        <w:t xml:space="preserve">, regressing</w:t>
      </w:r>
      <w:r>
        <w:t xml:space="preserve"> </w:t>
      </w:r>
      <w:r>
        <w:rPr>
          <w:rStyle w:val="VerbatimChar"/>
        </w:rPr>
        <w:t xml:space="preserve">percent.mt</w:t>
      </w:r>
      <w:r>
        <w:t xml:space="preserve">) and subjected to PCA prior to doublet detection. PCA was computed with the default 50 components; dimensions 1:30 were used for paramSweep and doubletFinder. The optimal</w:t>
      </w:r>
      <w:r>
        <w:t xml:space="preserve"> </w:t>
      </w:r>
      <w:r>
        <w:rPr>
          <w:rStyle w:val="VerbatimChar"/>
        </w:rPr>
        <w:t xml:space="preserve">pK</w:t>
      </w:r>
      <w:r>
        <w:t xml:space="preserve"> </w:t>
      </w:r>
      <w:r>
        <w:t xml:space="preserve">parameter was determined via</w:t>
      </w:r>
      <w:r>
        <w:t xml:space="preserve"> </w:t>
      </w:r>
      <w:r>
        <w:rPr>
          <w:rStyle w:val="VerbatimChar"/>
        </w:rPr>
        <w:t xml:space="preserve">paramSweep()</w:t>
      </w:r>
      <w:r>
        <w:t xml:space="preserve"> </w:t>
      </w:r>
      <w:r>
        <w:t xml:space="preserve">over PCs 1:30 with</w:t>
      </w:r>
      <w:r>
        <w:t xml:space="preserve"> </w:t>
      </w:r>
      <w:r>
        <w:rPr>
          <w:rStyle w:val="VerbatimChar"/>
        </w:rPr>
        <w:t xml:space="preserve">sct = TRUE</w:t>
      </w:r>
      <w:r>
        <w:t xml:space="preserve">, followed by</w:t>
      </w:r>
      <w:r>
        <w:t xml:space="preserve"> </w:t>
      </w:r>
      <w:r>
        <w:rPr>
          <w:rStyle w:val="VerbatimChar"/>
        </w:rPr>
        <w:t xml:space="preserve">summarizeSweep()</w:t>
      </w:r>
      <w:r>
        <w:t xml:space="preserve"> </w:t>
      </w:r>
      <w:r>
        <w:t xml:space="preserve">(without ground truth,</w:t>
      </w:r>
      <w:r>
        <w:t xml:space="preserve"> </w:t>
      </w:r>
      <w:r>
        <w:rPr>
          <w:rStyle w:val="VerbatimChar"/>
        </w:rPr>
        <w:t xml:space="preserve">GT = FALSE</w:t>
      </w:r>
      <w:r>
        <w:t xml:space="preserve">) and</w:t>
      </w:r>
      <w:r>
        <w:t xml:space="preserve"> </w:t>
      </w:r>
      <w:r>
        <w:rPr>
          <w:rStyle w:val="VerbatimChar"/>
        </w:rPr>
        <w:t xml:space="preserve">find.pK()</w:t>
      </w:r>
      <w:r>
        <w:t xml:space="preserve">, selecting the</w:t>
      </w:r>
      <w:r>
        <w:t xml:space="preserve"> </w:t>
      </w:r>
      <w:r>
        <w:rPr>
          <w:rStyle w:val="VerbatimChar"/>
        </w:rPr>
        <w:t xml:space="preserve">pK</w:t>
      </w:r>
      <w:r>
        <w:t xml:space="preserve"> </w:t>
      </w:r>
      <w:r>
        <w:t xml:space="preserve">value that maximized the BCmvn metric. The expected doublet rate was set to 5% (</w:t>
      </w:r>
      <w:r>
        <w:rPr>
          <w:rStyle w:val="VerbatimChar"/>
        </w:rPr>
        <w:t xml:space="preserve">doublet_rate = 0.05</w:t>
      </w:r>
      <w:r>
        <w:t xml:space="preserve">), and</w:t>
      </w:r>
      <w:r>
        <w:t xml:space="preserve"> </w:t>
      </w:r>
      <w:r>
        <w:rPr>
          <w:rStyle w:val="VerbatimChar"/>
        </w:rPr>
        <w:t xml:space="preserve">pN</w:t>
      </w:r>
      <w:r>
        <w:t xml:space="preserve"> </w:t>
      </w:r>
      <w:r>
        <w:t xml:space="preserve">was set to the default value of 0.25. Predicted doublets were removed, retaining only singlet-classified nuclei. After QC filtering and doublet removal, samples were merged using</w:t>
      </w:r>
      <w:r>
        <w:t xml:space="preserve"> </w:t>
      </w:r>
      <w:r>
        <w:rPr>
          <w:rStyle w:val="VerbatimChar"/>
        </w:rPr>
        <w:t xml:space="preserve">Seurat::merge()</w:t>
      </w:r>
      <w:r>
        <w:t xml:space="preserve"> </w:t>
      </w:r>
      <w:r>
        <w:t xml:space="preserve">with sample-specific cell ID prefixes.</w:t>
      </w:r>
    </w:p>
    <w:bookmarkEnd w:id="50"/>
    <w:bookmarkEnd w:id="51"/>
    <w:bookmarkStart w:id="55" w:name="normalization-and-integration"/>
    <w:p>
      <w:pPr>
        <w:pStyle w:val="Heading2"/>
      </w:pPr>
      <w:r>
        <w:t xml:space="preserve">3. Normalization and Integration</w:t>
      </w:r>
    </w:p>
    <w:bookmarkStart w:id="52" w:name="sctransform-normalization"/>
    <w:p>
      <w:pPr>
        <w:pStyle w:val="Heading3"/>
      </w:pPr>
      <w:r>
        <w:t xml:space="preserve">3.1 SCTransform Normalization</w:t>
      </w:r>
    </w:p>
    <w:p>
      <w:pPr>
        <w:pStyle w:val="FirstParagraph"/>
      </w:pPr>
      <w:r>
        <w:t xml:space="preserve">The merged Seurat object was re-normalized using</w:t>
      </w:r>
      <w:r>
        <w:t xml:space="preserve"> </w:t>
      </w:r>
      <w:r>
        <w:rPr>
          <w:rStyle w:val="VerbatimChar"/>
        </w:rPr>
        <w:t xml:space="preserve">SCTransform()</w:t>
      </w:r>
      <w:r>
        <w:t xml:space="preserve"> </w:t>
      </w:r>
      <w:r>
        <w:t xml:space="preserve">with the following parameters:</w:t>
      </w:r>
    </w:p>
    <w:p>
      <w:pPr>
        <w:pStyle w:val="Compact"/>
        <w:numPr>
          <w:ilvl w:val="0"/>
          <w:numId w:val="1006"/>
        </w:numPr>
      </w:pPr>
      <w:r>
        <w:rPr>
          <w:rStyle w:val="VerbatimChar"/>
        </w:rPr>
        <w:t xml:space="preserve">method = "glmGamPoi"</w:t>
      </w:r>
      <w:r>
        <w:t xml:space="preserve"> </w:t>
      </w:r>
      <w:r>
        <w:t xml:space="preserve">(fast negative binomial regression via the glmGamPoi package)</w:t>
      </w:r>
    </w:p>
    <w:p>
      <w:pPr>
        <w:pStyle w:val="Compact"/>
        <w:numPr>
          <w:ilvl w:val="0"/>
          <w:numId w:val="1006"/>
        </w:numPr>
      </w:pPr>
      <w:r>
        <w:rPr>
          <w:rStyle w:val="VerbatimChar"/>
        </w:rPr>
        <w:t xml:space="preserve">vars.to.regress = "percent.mt"</w:t>
      </w:r>
      <w:r>
        <w:t xml:space="preserve"> </w:t>
      </w:r>
      <w:r>
        <w:t xml:space="preserve">(regressing mitochondrial content)</w:t>
      </w:r>
    </w:p>
    <w:p>
      <w:pPr>
        <w:pStyle w:val="Compact"/>
        <w:numPr>
          <w:ilvl w:val="0"/>
          <w:numId w:val="1006"/>
        </w:numPr>
      </w:pPr>
      <w:r>
        <w:rPr>
          <w:rStyle w:val="VerbatimChar"/>
        </w:rPr>
        <w:t xml:space="preserve">seed.use = 12345</w:t>
      </w:r>
    </w:p>
    <w:bookmarkEnd w:id="52"/>
    <w:bookmarkStart w:id="53" w:name="principal-component-analysis"/>
    <w:p>
      <w:pPr>
        <w:pStyle w:val="Heading3"/>
      </w:pPr>
      <w:r>
        <w:t xml:space="preserve">3.2 Principal Component Analysis</w:t>
      </w:r>
    </w:p>
    <w:p>
      <w:pPr>
        <w:pStyle w:val="FirstParagraph"/>
      </w:pPr>
      <w:r>
        <w:t xml:space="preserve">PCA was computed on the SCTransform-normalized data using</w:t>
      </w:r>
      <w:r>
        <w:t xml:space="preserve"> </w:t>
      </w:r>
      <w:r>
        <w:rPr>
          <w:rStyle w:val="VerbatimChar"/>
        </w:rPr>
        <w:t xml:space="preserve">RunPCA()</w:t>
      </w:r>
      <w:r>
        <w:t xml:space="preserve"> </w:t>
      </w:r>
      <w:r>
        <w:t xml:space="preserve">with</w:t>
      </w:r>
      <w:r>
        <w:t xml:space="preserve"> </w:t>
      </w:r>
      <w:r>
        <w:rPr>
          <w:rStyle w:val="VerbatimChar"/>
        </w:rPr>
        <w:t xml:space="preserve">npcs = 50</w:t>
      </w:r>
      <w:r>
        <w:t xml:space="preserve"> </w:t>
      </w:r>
      <w:r>
        <w:t xml:space="preserve">and</w:t>
      </w:r>
      <w:r>
        <w:t xml:space="preserve"> </w:t>
      </w:r>
      <w:r>
        <w:rPr>
          <w:rStyle w:val="VerbatimChar"/>
        </w:rPr>
        <w:t xml:space="preserve">seed.use = 12345</w:t>
      </w:r>
      <w:r>
        <w:t xml:space="preserve">.</w:t>
      </w:r>
    </w:p>
    <w:bookmarkEnd w:id="53"/>
    <w:bookmarkStart w:id="54" w:name="harmony-integration"/>
    <w:p>
      <w:pPr>
        <w:pStyle w:val="Heading3"/>
      </w:pPr>
      <w:r>
        <w:t xml:space="preserve">3.3 Harmony Integration</w:t>
      </w:r>
    </w:p>
    <w:p>
      <w:pPr>
        <w:pStyle w:val="FirstParagraph"/>
      </w:pPr>
      <w:r>
        <w:t xml:space="preserve">Batch correction across samples was performed using Harmony (</w:t>
      </w:r>
      <w:r>
        <w:rPr>
          <w:rStyle w:val="VerbatimChar"/>
        </w:rPr>
        <w:t xml:space="preserve">RunHarmony()</w:t>
      </w:r>
      <w:r>
        <w:t xml:space="preserve">) with the following parameters:</w:t>
      </w:r>
    </w:p>
    <w:p>
      <w:pPr>
        <w:pStyle w:val="Compact"/>
        <w:numPr>
          <w:ilvl w:val="0"/>
          <w:numId w:val="1007"/>
        </w:numPr>
      </w:pPr>
      <w:r>
        <w:rPr>
          <w:rStyle w:val="VerbatimChar"/>
        </w:rPr>
        <w:t xml:space="preserve">group.by.vars = "orig.ident"</w:t>
      </w:r>
      <w:r>
        <w:t xml:space="preserve"> </w:t>
      </w:r>
      <w:r>
        <w:t xml:space="preserve">(integration by sample identity)</w:t>
      </w:r>
    </w:p>
    <w:p>
      <w:pPr>
        <w:pStyle w:val="Compact"/>
        <w:numPr>
          <w:ilvl w:val="0"/>
          <w:numId w:val="1007"/>
        </w:numPr>
      </w:pPr>
      <w:r>
        <w:rPr>
          <w:rStyle w:val="VerbatimChar"/>
        </w:rPr>
        <w:t xml:space="preserve">reduction.use = "pca"</w:t>
      </w:r>
      <w:r>
        <w:t xml:space="preserve"> </w:t>
      </w:r>
      <w:r>
        <w:t xml:space="preserve">(input PCA embeddings)</w:t>
      </w:r>
    </w:p>
    <w:p>
      <w:pPr>
        <w:pStyle w:val="Compact"/>
        <w:numPr>
          <w:ilvl w:val="0"/>
          <w:numId w:val="1007"/>
        </w:numPr>
      </w:pPr>
      <w:r>
        <w:rPr>
          <w:rStyle w:val="VerbatimChar"/>
        </w:rPr>
        <w:t xml:space="preserve">assay.use = "SCT"</w:t>
      </w:r>
    </w:p>
    <w:p>
      <w:pPr>
        <w:pStyle w:val="Compact"/>
        <w:numPr>
          <w:ilvl w:val="0"/>
          <w:numId w:val="1007"/>
        </w:numPr>
      </w:pPr>
      <w:r>
        <w:rPr>
          <w:rStyle w:val="VerbatimChar"/>
        </w:rPr>
        <w:t xml:space="preserve">plot_convergence = FALSE</w:t>
      </w:r>
    </w:p>
    <w:p>
      <w:pPr>
        <w:pStyle w:val="FirstParagraph"/>
      </w:pPr>
      <w:r>
        <w:t xml:space="preserve">Age group metadata (Young vs. Aged) was mapped to each nucleus from the external annotation file</w:t>
      </w:r>
      <w:r>
        <w:t xml:space="preserve"> </w:t>
      </w:r>
      <w:r>
        <w:rPr>
          <w:rStyle w:val="VerbatimChar"/>
        </w:rPr>
        <w:t xml:space="preserve">Rat_scRNAseq_AgeGroup.txt</w:t>
      </w:r>
      <w:r>
        <w:t xml:space="preserve"> </w:t>
      </w:r>
      <w:r>
        <w:t xml:space="preserve">using exact matching on sample identifiers.</w:t>
      </w:r>
    </w:p>
    <w:bookmarkEnd w:id="54"/>
    <w:bookmarkEnd w:id="55"/>
    <w:bookmarkStart w:id="58" w:name="clustering"/>
    <w:p>
      <w:pPr>
        <w:pStyle w:val="Heading2"/>
      </w:pPr>
      <w:r>
        <w:t xml:space="preserve">4. Clustering</w:t>
      </w:r>
    </w:p>
    <w:bookmarkStart w:id="56" w:name="umap-embedding"/>
    <w:p>
      <w:pPr>
        <w:pStyle w:val="Heading3"/>
      </w:pPr>
      <w:r>
        <w:t xml:space="preserve">4.1 UMAP Embedding</w:t>
      </w:r>
    </w:p>
    <w:p>
      <w:pPr>
        <w:pStyle w:val="FirstParagraph"/>
      </w:pPr>
      <w:r>
        <w:t xml:space="preserve">UMAP dimensionality reduction was computed on the Harmony-corrected embeddings using</w:t>
      </w:r>
      <w:r>
        <w:t xml:space="preserve"> </w:t>
      </w:r>
      <w:r>
        <w:rPr>
          <w:rStyle w:val="VerbatimChar"/>
        </w:rPr>
        <w:t xml:space="preserve">RunUMAP()</w:t>
      </w:r>
      <w:r>
        <w:t xml:space="preserve">:</w:t>
      </w:r>
    </w:p>
    <w:p>
      <w:pPr>
        <w:pStyle w:val="Compact"/>
        <w:numPr>
          <w:ilvl w:val="0"/>
          <w:numId w:val="1008"/>
        </w:numPr>
      </w:pPr>
      <w:r>
        <w:rPr>
          <w:rStyle w:val="VerbatimChar"/>
        </w:rPr>
        <w:t xml:space="preserve">reduction = "harmony"</w:t>
      </w:r>
    </w:p>
    <w:p>
      <w:pPr>
        <w:pStyle w:val="Compact"/>
        <w:numPr>
          <w:ilvl w:val="0"/>
          <w:numId w:val="1008"/>
        </w:numPr>
      </w:pPr>
      <w:r>
        <w:rPr>
          <w:rStyle w:val="VerbatimChar"/>
        </w:rPr>
        <w:t xml:space="preserve">dims = 1:30</w:t>
      </w:r>
    </w:p>
    <w:p>
      <w:pPr>
        <w:pStyle w:val="Compact"/>
        <w:numPr>
          <w:ilvl w:val="0"/>
          <w:numId w:val="1008"/>
        </w:numPr>
      </w:pPr>
      <w:r>
        <w:rPr>
          <w:rStyle w:val="VerbatimChar"/>
        </w:rPr>
        <w:t xml:space="preserve">seed.use = 12345</w:t>
      </w:r>
    </w:p>
    <w:bookmarkEnd w:id="56"/>
    <w:bookmarkStart w:id="57" w:name="Xee5f2100026f22601b0c21e61b011a870d06d06"/>
    <w:p>
      <w:pPr>
        <w:pStyle w:val="Heading3"/>
      </w:pPr>
      <w:r>
        <w:t xml:space="preserve">4.2 Shared Nearest Neighbor Graph and Clustering</w:t>
      </w:r>
    </w:p>
    <w:p>
      <w:pPr>
        <w:pStyle w:val="FirstParagraph"/>
      </w:pPr>
      <w:r>
        <w:t xml:space="preserve">Neighbor finding was performed with</w:t>
      </w:r>
      <w:r>
        <w:t xml:space="preserve"> </w:t>
      </w:r>
      <w:r>
        <w:rPr>
          <w:rStyle w:val="VerbatimChar"/>
        </w:rPr>
        <w:t xml:space="preserve">FindNeighbors()</w:t>
      </w:r>
      <w:r>
        <w:t xml:space="preserve"> </w:t>
      </w:r>
      <w:r>
        <w:t xml:space="preserve">using Harmony embeddings (dims 1:30). Two clustering workflows were implemented:</w:t>
      </w:r>
    </w:p>
    <w:p>
      <w:pPr>
        <w:pStyle w:val="BodyText"/>
      </w:pPr>
      <w:r>
        <w:rPr>
          <w:b/>
          <w:bCs/>
        </w:rPr>
        <w:t xml:space="preserve">Primary pipeline (03_cluster_annotate.R):</w:t>
      </w:r>
      <w:r>
        <w:t xml:space="preserve"> </w:t>
      </w:r>
      <w:r>
        <w:t xml:space="preserve">Clustering was performed at multiple resolutions (0.2, 0.4, 0.6, 0.8, 1.0) using</w:t>
      </w:r>
      <w:r>
        <w:t xml:space="preserve"> </w:t>
      </w:r>
      <w:r>
        <w:rPr>
          <w:rStyle w:val="VerbatimChar"/>
        </w:rPr>
        <w:t xml:space="preserve">FindClusters()</w:t>
      </w:r>
      <w:r>
        <w:t xml:space="preserve"> </w:t>
      </w:r>
      <w:r>
        <w:t xml:space="preserve">with</w:t>
      </w:r>
      <w:r>
        <w:t xml:space="preserve"> </w:t>
      </w:r>
      <w:r>
        <w:rPr>
          <w:rStyle w:val="VerbatimChar"/>
        </w:rPr>
        <w:t xml:space="preserve">random.seed = 12345</w:t>
      </w:r>
      <w:r>
        <w:t xml:space="preserve"> </w:t>
      </w:r>
      <w:r>
        <w:t xml:space="preserve">and the default Louvain algorithm. Resolution 0.4 was selected as the default for downstream analysis. The default</w:t>
      </w:r>
      <w:r>
        <w:t xml:space="preserve"> </w:t>
      </w:r>
      <w:r>
        <w:rPr>
          <w:rStyle w:val="VerbatimChar"/>
        </w:rPr>
        <w:t xml:space="preserve">k.param</w:t>
      </w:r>
      <w:r>
        <w:t xml:space="preserve"> </w:t>
      </w:r>
      <w:r>
        <w:t xml:space="preserve">(20) was used for</w:t>
      </w:r>
      <w:r>
        <w:t xml:space="preserve"> </w:t>
      </w:r>
      <w:r>
        <w:rPr>
          <w:rStyle w:val="VerbatimChar"/>
        </w:rPr>
        <w:t xml:space="preserve">FindNeighbors()</w:t>
      </w:r>
      <w:r>
        <w:t xml:space="preserve">.</w:t>
      </w:r>
    </w:p>
    <w:p>
      <w:pPr>
        <w:pStyle w:val="BodyText"/>
      </w:pPr>
      <w:r>
        <w:rPr>
          <w:b/>
          <w:bCs/>
        </w:rPr>
        <w:t xml:space="preserve">scType pipeline (03b/03c):</w:t>
      </w:r>
      <w:r>
        <w:t xml:space="preserve"> </w:t>
      </w:r>
      <w:r>
        <w:t xml:space="preserve">Clustering was performed at resolution 1.5 with</w:t>
      </w:r>
      <w:r>
        <w:t xml:space="preserve"> </w:t>
      </w:r>
      <w:r>
        <w:rPr>
          <w:rStyle w:val="VerbatimChar"/>
        </w:rPr>
        <w:t xml:space="preserve">k.param = 15</w:t>
      </w:r>
      <w:r>
        <w:t xml:space="preserve"> </w:t>
      </w:r>
      <w:r>
        <w:t xml:space="preserve">for</w:t>
      </w:r>
      <w:r>
        <w:t xml:space="preserve"> </w:t>
      </w:r>
      <w:r>
        <w:rPr>
          <w:rStyle w:val="VerbatimChar"/>
        </w:rPr>
        <w:t xml:space="preserve">FindNeighbors()</w:t>
      </w:r>
      <w:r>
        <w:t xml:space="preserve">, yielding approximately 40 clusters to match the original analysis granularity.</w:t>
      </w:r>
    </w:p>
    <w:bookmarkEnd w:id="57"/>
    <w:bookmarkEnd w:id="58"/>
    <w:bookmarkStart w:id="63" w:name="cell-type-annotation"/>
    <w:p>
      <w:pPr>
        <w:pStyle w:val="Heading2"/>
      </w:pPr>
      <w:r>
        <w:t xml:space="preserve">5. Cell Type Annotation</w:t>
      </w:r>
    </w:p>
    <w:p>
      <w:pPr>
        <w:pStyle w:val="FirstParagraph"/>
      </w:pPr>
      <w:r>
        <w:t xml:space="preserve">Three annotation strategies were implemented:</w:t>
      </w:r>
    </w:p>
    <w:bookmarkStart w:id="59" w:name="Xa5490cadcd58cd5dff874dfebb95349d881fc22"/>
    <w:p>
      <w:pPr>
        <w:pStyle w:val="Heading3"/>
      </w:pPr>
      <w:r>
        <w:t xml:space="preserve">5.1 Marker-Based Cluster Scoring (03_cluster_annotate.R)</w:t>
      </w:r>
    </w:p>
    <w:p>
      <w:pPr>
        <w:pStyle w:val="FirstParagraph"/>
      </w:pPr>
      <w:r>
        <w:t xml:space="preserve">Average expression of canonical marker genes was computed per cluster using</w:t>
      </w:r>
      <w:r>
        <w:t xml:space="preserve"> </w:t>
      </w:r>
      <w:r>
        <w:rPr>
          <w:rStyle w:val="VerbatimChar"/>
        </w:rPr>
        <w:t xml:space="preserve">AverageExpression()</w:t>
      </w:r>
      <w:r>
        <w:t xml:space="preserve"> </w:t>
      </w:r>
      <w:r>
        <w:t xml:space="preserve">on log-normalized RNA assay data (</w:t>
      </w:r>
      <w:r>
        <w:rPr>
          <w:rStyle w:val="VerbatimChar"/>
        </w:rPr>
        <w:t xml:space="preserve">NormalizeData()</w:t>
      </w:r>
      <w:r>
        <w:t xml:space="preserve"> </w:t>
      </w:r>
      <w:r>
        <w:t xml:space="preserve">with default parameters). For each cluster, mean expression across markers for each of eight cell types was calculated, and the cluster was assigned to the cell type with the highest mean score. The marker gene sets were: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Cell Type</w:t>
            </w:r>
          </w:p>
        </w:tc>
        <w:tc>
          <w:tcPr/>
          <w:p>
            <w:pPr>
              <w:pStyle w:val="Compact"/>
            </w:pPr>
            <w:r>
              <w:t xml:space="preserve">Markers</w:t>
            </w:r>
          </w:p>
        </w:tc>
      </w:tr>
      <w:tr>
        <w:tc>
          <w:tcPr/>
          <w:p>
            <w:pPr>
              <w:pStyle w:val="Compact"/>
            </w:pPr>
            <w:r>
              <w:t xml:space="preserve">Luminal</w:t>
            </w:r>
          </w:p>
        </w:tc>
        <w:tc>
          <w:tcPr/>
          <w:p>
            <w:pPr>
              <w:pStyle w:val="Compact"/>
            </w:pPr>
            <w:r>
              <w:t xml:space="preserve">Krt8, Krt18, Krt19, Epcam, Cd24a</w:t>
            </w:r>
          </w:p>
        </w:tc>
      </w:tr>
      <w:tr>
        <w:tc>
          <w:tcPr/>
          <w:p>
            <w:pPr>
              <w:pStyle w:val="Compact"/>
            </w:pPr>
            <w:r>
              <w:t xml:space="preserve">Basal</w:t>
            </w:r>
          </w:p>
        </w:tc>
        <w:tc>
          <w:tcPr/>
          <w:p>
            <w:pPr>
              <w:pStyle w:val="Compact"/>
            </w:pPr>
            <w:r>
              <w:t xml:space="preserve">Krt14, Krt5, Krt17, Trp63, Acta2</w:t>
            </w:r>
          </w:p>
        </w:tc>
      </w:tr>
      <w:tr>
        <w:tc>
          <w:tcPr/>
          <w:p>
            <w:pPr>
              <w:pStyle w:val="Compact"/>
            </w:pPr>
            <w:r>
              <w:t xml:space="preserve">T cells</w:t>
            </w:r>
          </w:p>
        </w:tc>
        <w:tc>
          <w:tcPr/>
          <w:p>
            <w:pPr>
              <w:pStyle w:val="Compact"/>
            </w:pPr>
            <w:r>
              <w:t xml:space="preserve">Cd3d, Cd3e, Cd3g, Cd4, Cd8a</w:t>
            </w:r>
          </w:p>
        </w:tc>
      </w:tr>
      <w:tr>
        <w:tc>
          <w:tcPr/>
          <w:p>
            <w:pPr>
              <w:pStyle w:val="Compact"/>
            </w:pPr>
            <w:r>
              <w:t xml:space="preserve">B cells</w:t>
            </w:r>
          </w:p>
        </w:tc>
        <w:tc>
          <w:tcPr/>
          <w:p>
            <w:pPr>
              <w:pStyle w:val="Compact"/>
            </w:pPr>
            <w:r>
              <w:t xml:space="preserve">Cd19, Cd79a, Cd79b, Ms4a1</w:t>
            </w:r>
          </w:p>
        </w:tc>
      </w:tr>
      <w:tr>
        <w:tc>
          <w:tcPr/>
          <w:p>
            <w:pPr>
              <w:pStyle w:val="Compact"/>
            </w:pPr>
            <w:r>
              <w:t xml:space="preserve">Macrophages</w:t>
            </w:r>
          </w:p>
        </w:tc>
        <w:tc>
          <w:tcPr/>
          <w:p>
            <w:pPr>
              <w:pStyle w:val="Compact"/>
            </w:pPr>
            <w:r>
              <w:t xml:space="preserve">Cd68, Adgre1, Csf1r, Mrc1</w:t>
            </w:r>
          </w:p>
        </w:tc>
      </w:tr>
      <w:tr>
        <w:tc>
          <w:tcPr/>
          <w:p>
            <w:pPr>
              <w:pStyle w:val="Compact"/>
            </w:pPr>
            <w:r>
              <w:t xml:space="preserve">Fibroblasts</w:t>
            </w:r>
          </w:p>
        </w:tc>
        <w:tc>
          <w:tcPr/>
          <w:p>
            <w:pPr>
              <w:pStyle w:val="Compact"/>
            </w:pPr>
            <w:r>
              <w:t xml:space="preserve">Col1a1, Col1a2, Col3a1, Dcn, Pdgfra</w:t>
            </w:r>
          </w:p>
        </w:tc>
      </w:tr>
      <w:tr>
        <w:tc>
          <w:tcPr/>
          <w:p>
            <w:pPr>
              <w:pStyle w:val="Compact"/>
            </w:pPr>
            <w:r>
              <w:t xml:space="preserve">Endothelial</w:t>
            </w:r>
          </w:p>
        </w:tc>
        <w:tc>
          <w:tcPr/>
          <w:p>
            <w:pPr>
              <w:pStyle w:val="Compact"/>
            </w:pPr>
            <w:r>
              <w:t xml:space="preserve">Pecam1, Cdh5, Vwf, Kdr</w:t>
            </w:r>
          </w:p>
        </w:tc>
      </w:tr>
      <w:tr>
        <w:tc>
          <w:tcPr/>
          <w:p>
            <w:pPr>
              <w:pStyle w:val="Compact"/>
            </w:pPr>
            <w:r>
              <w:t xml:space="preserve">Adipocytes</w:t>
            </w:r>
          </w:p>
        </w:tc>
        <w:tc>
          <w:tcPr/>
          <w:p>
            <w:pPr>
              <w:pStyle w:val="Compact"/>
            </w:pPr>
            <w:r>
              <w:t xml:space="preserve">Adipoq, Pparg, Fabp4, Lep</w:t>
            </w:r>
          </w:p>
        </w:tc>
      </w:tr>
    </w:tbl>
    <w:p>
      <w:pPr>
        <w:pStyle w:val="BodyText"/>
      </w:pPr>
      <w:r>
        <w:t xml:space="preserve">Cluster-level markers were independently identified using</w:t>
      </w:r>
      <w:r>
        <w:t xml:space="preserve"> </w:t>
      </w:r>
      <w:r>
        <w:rPr>
          <w:rStyle w:val="VerbatimChar"/>
        </w:rPr>
        <w:t xml:space="preserve">FindAllMarkers()</w:t>
      </w:r>
      <w:r>
        <w:t xml:space="preserve"> </w:t>
      </w:r>
      <w:r>
        <w:t xml:space="preserve">on the RNA assay with</w:t>
      </w:r>
      <w:r>
        <w:t xml:space="preserve"> </w:t>
      </w:r>
      <w:r>
        <w:rPr>
          <w:rStyle w:val="VerbatimChar"/>
        </w:rPr>
        <w:t xml:space="preserve">test.use = "wilcox"</w:t>
      </w:r>
      <w:r>
        <w:t xml:space="preserve">,</w:t>
      </w:r>
      <w:r>
        <w:t xml:space="preserve"> </w:t>
      </w:r>
      <w:r>
        <w:rPr>
          <w:rStyle w:val="VerbatimChar"/>
        </w:rPr>
        <w:t xml:space="preserve">only.pos = TRUE</w:t>
      </w:r>
      <w:r>
        <w:t xml:space="preserve">,</w:t>
      </w:r>
      <w:r>
        <w:t xml:space="preserve"> </w:t>
      </w:r>
      <w:r>
        <w:rPr>
          <w:rStyle w:val="VerbatimChar"/>
        </w:rPr>
        <w:t xml:space="preserve">min.pct = 0.25</w:t>
      </w:r>
      <w:r>
        <w:t xml:space="preserve">, and</w:t>
      </w:r>
      <w:r>
        <w:t xml:space="preserve"> </w:t>
      </w:r>
      <w:r>
        <w:rPr>
          <w:rStyle w:val="VerbatimChar"/>
        </w:rPr>
        <w:t xml:space="preserve">logfc.threshold = 0.5</w:t>
      </w:r>
      <w:r>
        <w:t xml:space="preserve">. The top 10 markers per cluster (ranked by</w:t>
      </w:r>
      <w:r>
        <w:t xml:space="preserve"> </w:t>
      </w:r>
      <w:r>
        <w:rPr>
          <w:rStyle w:val="VerbatimChar"/>
        </w:rPr>
        <w:t xml:space="preserve">avg_log2FC</w:t>
      </w:r>
      <w:r>
        <w:t xml:space="preserve">) were saved for verification.</w:t>
      </w:r>
    </w:p>
    <w:bookmarkEnd w:id="59"/>
    <w:bookmarkStart w:id="60" w:name="X2ae01cc9904a63b5cf75f9dfc81fa6114eb8810"/>
    <w:p>
      <w:pPr>
        <w:pStyle w:val="Heading3"/>
      </w:pPr>
      <w:r>
        <w:t xml:space="preserve">5.2 scType Cell-by-Cell Annotation (03b_sctype_annotate.R)</w:t>
      </w:r>
    </w:p>
    <w:p>
      <w:pPr>
        <w:pStyle w:val="FirstParagraph"/>
      </w:pPr>
      <w:r>
        <w:t xml:space="preserve">Cell-level annotation was performed using a custom implementation of the scType algorithm (Ianevski et al., 2022). A custom rat mammary tissue marker database was defined with 14 cell types: CancerEpithelial, Myoepithelial, Fibroblast, Endothelial, Monocyte, Macrophage, M1_Macrophage, M2_Macrophage, DendriticCell, NKcell, CD4Tcell, CD8Tcell, Treg, and NaiveTcell. Each cell type was defined by both positive markers (expected to be expressed) and negative markers (expected to be absent). For each cell, a score was computed per cell type as:</w:t>
      </w:r>
    </w:p>
    <w:p>
      <w:pPr>
        <w:pStyle w:val="BodyText"/>
      </w:pPr>
      <w:r>
        <w:rPr>
          <w:rStyle w:val="VerbatimChar"/>
        </w:rPr>
        <w:t xml:space="preserve">score = sum(scaled_expression[positive_markers]) / sqrt(n_positive) - sum(scaled_expression[negative_markers]) / sqrt(n_negative)</w:t>
      </w:r>
    </w:p>
    <w:p>
      <w:pPr>
        <w:pStyle w:val="BodyText"/>
      </w:pPr>
      <w:r>
        <w:t xml:space="preserve">Scaled expression data from the SCT assay (</w:t>
      </w:r>
      <w:r>
        <w:rPr>
          <w:rStyle w:val="VerbatimChar"/>
        </w:rPr>
        <w:t xml:space="preserve">scale.data</w:t>
      </w:r>
      <w:r>
        <w:t xml:space="preserve"> </w:t>
      </w:r>
      <w:r>
        <w:t xml:space="preserve">layer) were used as input. Each cell was assigned to the cell type with the maximum positive score; cells with all non-positive scores were classified as</w:t>
      </w:r>
      <w:r>
        <w:t xml:space="preserve"> </w:t>
      </w:r>
      <w:r>
        <w:t xml:space="preserve">“Unknown.”</w:t>
      </w:r>
      <w:r>
        <w:t xml:space="preserve"> </w:t>
      </w:r>
      <w:r>
        <w:t xml:space="preserve">Confidence scores were computed as the difference between the top two scores. Detailed cell types were mapped to broader categories: Monocyte/Macrophage/M1/M2 to</w:t>
      </w:r>
      <w:r>
        <w:t xml:space="preserve"> </w:t>
      </w:r>
      <w:r>
        <w:t xml:space="preserve">“Myeloid”</w:t>
      </w:r>
      <w:r>
        <w:t xml:space="preserve">; NKcell/CD4Tcell/CD8Tcell/Treg/NaiveTcell to</w:t>
      </w:r>
      <w:r>
        <w:t xml:space="preserve"> </w:t>
      </w:r>
      <w:r>
        <w:t xml:space="preserve">“NKTcell.”</w:t>
      </w:r>
    </w:p>
    <w:bookmarkEnd w:id="60"/>
    <w:bookmarkStart w:id="61" w:name="Xdc4e3420a0cdf1e1d6d76f280c852326cdf0f58"/>
    <w:p>
      <w:pPr>
        <w:pStyle w:val="Heading3"/>
      </w:pPr>
      <w:r>
        <w:t xml:space="preserve">5.3 scType Cluster-Level Annotation (03c_sctype_cluster.R)</w:t>
      </w:r>
    </w:p>
    <w:p>
      <w:pPr>
        <w:pStyle w:val="FirstParagraph"/>
      </w:pPr>
      <w:r>
        <w:t xml:space="preserve">Cell-level scType scores were computed using the same algorithm as in Section 5.2 but with modified marker sets: endothelial positive markers replaced Flt1 (also expressed in epithelial cells) with Vwf and Tie1, and endothelial negative markers were expanded to include Krt8, Krt5, and Cd3d to more strongly penalize epithelial and T cell marker co-expression. Scores were aggregated by cluster: for each cluster, the mean score per cell type was calculated by summing cell-level scores and dividing by the number of cells in the cluster. Each cluster was assigned to the cell type with the highest mean score. Results were compared against the original manual annotations from the source analysis, which assigned 40 clusters at resolution 1.5 based on visual inspection of dot plots.</w:t>
      </w:r>
    </w:p>
    <w:bookmarkEnd w:id="61"/>
    <w:bookmarkStart w:id="62" w:name="method-comparison"/>
    <w:p>
      <w:pPr>
        <w:pStyle w:val="Heading3"/>
      </w:pPr>
      <w:r>
        <w:t xml:space="preserve">5.4 Method Comparison</w:t>
      </w:r>
    </w:p>
    <w:p>
      <w:pPr>
        <w:pStyle w:val="FirstParagraph"/>
      </w:pPr>
      <w:r>
        <w:t xml:space="preserve">A systematic comparison of annotation methods (</w:t>
      </w:r>
      <w:r>
        <w:rPr>
          <w:rStyle w:val="VerbatimChar"/>
        </w:rPr>
        <w:t xml:space="preserve">method_comparison.R</w:t>
      </w:r>
      <w:r>
        <w:t xml:space="preserve">,</w:t>
      </w:r>
      <w:r>
        <w:t xml:space="preserve"> </w:t>
      </w:r>
      <w:r>
        <w:rPr>
          <w:rStyle w:val="VerbatimChar"/>
        </w:rPr>
        <w:t xml:space="preserve">spot_check_markers.R</w:t>
      </w:r>
      <w:r>
        <w:t xml:space="preserve">) validated immune cell annotations (Ptprc/CD45 expression in cells called immune) and identified potential misclassification of endothelial cells that expressed epithelial markers (Epcam, Krt18). The comparison recommended a hybrid approach: scType for immune cell identification and the original manual strategy for epithelial subtype annotation.</w:t>
      </w:r>
    </w:p>
    <w:bookmarkEnd w:id="62"/>
    <w:bookmarkEnd w:id="63"/>
    <w:bookmarkStart w:id="64" w:name="differential-expression"/>
    <w:p>
      <w:pPr>
        <w:pStyle w:val="Heading2"/>
      </w:pPr>
      <w:r>
        <w:t xml:space="preserve">6. Differential Expression</w:t>
      </w:r>
    </w:p>
    <w:p>
      <w:pPr>
        <w:pStyle w:val="FirstParagraph"/>
      </w:pPr>
      <w:r>
        <w:t xml:space="preserve">Differential expression testing between Aged and Young groups was performed per cell type using a pseudobulk DESeq2 approach on the marker-scoring annotation from the primary pipeline (</w:t>
      </w:r>
      <w:r>
        <w:rPr>
          <w:rStyle w:val="VerbatimChar"/>
        </w:rPr>
        <w:t xml:space="preserve">CellTypeByMarker_RatsnRNAseq</w:t>
      </w:r>
      <w:r>
        <w:t xml:space="preserve">, Louvain resolution 0.4). Raw RNA counts were aggregated per sample using</w:t>
      </w:r>
      <w:r>
        <w:t xml:space="preserve"> </w:t>
      </w:r>
      <w:r>
        <w:rPr>
          <w:rStyle w:val="VerbatimChar"/>
        </w:rPr>
        <w:t xml:space="preserve">AggregateExpression()</w:t>
      </w:r>
      <w:r>
        <w:t xml:space="preserve"> </w:t>
      </w:r>
      <w:r>
        <w:t xml:space="preserve">to create pseudobulk profiles, properly treating biological replicates (n=3 per group) as the unit of analysis. Prior to DESeq2 modeling, genes with fewer than 10 counts in at least 2 samples were excluded to remove unreliably measured features and improve power estimation. DESeq2 was run with a</w:t>
      </w:r>
      <w:r>
        <w:t xml:space="preserve"> </w:t>
      </w:r>
      <w:r>
        <w:rPr>
          <w:rStyle w:val="VerbatimChar"/>
        </w:rPr>
        <w:t xml:space="preserve">~ group</w:t>
      </w:r>
      <w:r>
        <w:t xml:space="preserve"> </w:t>
      </w:r>
      <w:r>
        <w:t xml:space="preserve">design and an Aged vs Young contrast. Cell types with fewer than 10 cells per sample were excluded, and groups required at least 2 samples (</w:t>
      </w:r>
      <w:r>
        <w:rPr>
          <w:rStyle w:val="VerbatimChar"/>
        </w:rPr>
        <w:t xml:space="preserve">MIN_CELLS_PER_SAMPLE = 10</w:t>
      </w:r>
      <w:r>
        <w:t xml:space="preserve">,</w:t>
      </w:r>
      <w:r>
        <w:t xml:space="preserve"> </w:t>
      </w:r>
      <w:r>
        <w:rPr>
          <w:rStyle w:val="VerbatimChar"/>
        </w:rPr>
        <w:t xml:space="preserve">MIN_SAMPLES_PER_GROUP = 2</w:t>
      </w:r>
      <w:r>
        <w:t xml:space="preserve">). P-values were corrected for multiple testing using the Benjamini-Hochberg method (</w:t>
      </w:r>
      <w:r>
        <w:rPr>
          <w:rStyle w:val="VerbatimChar"/>
        </w:rPr>
        <w:t xml:space="preserve">p.adjust(method = "BH")</w:t>
      </w:r>
      <w:r>
        <w:t xml:space="preserve">) applied within each cell type. Genes were classified as significant at FDR &lt; 0.05 and further annotated by direction (upregulated or downregulated in Aged).</w:t>
      </w:r>
    </w:p>
    <w:bookmarkEnd w:id="64"/>
    <w:bookmarkStart w:id="65" w:name="differential-abundance"/>
    <w:p>
      <w:pPr>
        <w:pStyle w:val="Heading2"/>
      </w:pPr>
      <w:r>
        <w:t xml:space="preserve">7. Differential Abundance</w:t>
      </w:r>
    </w:p>
    <w:p>
      <w:pPr>
        <w:pStyle w:val="FirstParagraph"/>
      </w:pPr>
      <w:r>
        <w:t xml:space="preserve">Differential abundance of cell types between Young and Aged groups was tested using the propeller method from the speckle package (</w:t>
      </w:r>
      <w:r>
        <w:rPr>
          <w:rStyle w:val="VerbatimChar"/>
        </w:rPr>
        <w:t xml:space="preserve">speckle::propeller()</w:t>
      </w:r>
      <w:r>
        <w:t xml:space="preserve">). Propeller performs an empirical Bayes moderated test on arcsin-square-root-transformed cell type proportions, properly accounting for the compositional nature of single-cell data and using biological replicates (samples) as the unit of analysis.</w:t>
      </w:r>
    </w:p>
    <w:p>
      <w:pPr>
        <w:pStyle w:val="BodyText"/>
      </w:pPr>
      <w:r>
        <w:t xml:space="preserve">Cell type labels from the scType annotation (</w:t>
      </w:r>
      <w:r>
        <w:rPr>
          <w:rStyle w:val="VerbatimChar"/>
        </w:rPr>
        <w:t xml:space="preserve">sctype_celltype</w:t>
      </w:r>
      <w:r>
        <w:t xml:space="preserve"> </w:t>
      </w:r>
      <w:r>
        <w:t xml:space="preserve">from</w:t>
      </w:r>
      <w:r>
        <w:t xml:space="preserve"> </w:t>
      </w:r>
      <w:r>
        <w:rPr>
          <w:rStyle w:val="VerbatimChar"/>
        </w:rPr>
        <w:t xml:space="preserve">seurat_annotated_sctype.rds</w:t>
      </w:r>
      <w:r>
        <w:t xml:space="preserve">) were used, as this annotation includes immune cell subtypes (Myeloid, NKTcell, DendriticCell) that are absent from the resolution 0.4 marker-scoring annotation.</w:t>
      </w:r>
    </w:p>
    <w:p>
      <w:pPr>
        <w:pStyle w:val="BodyText"/>
      </w:pPr>
      <w:r>
        <w:t xml:space="preserve">Propeller’s internally adjusted p-values were overridden with an independent Benjamini-Hochberg correction applied to the raw P.Value column to ensure consistent FDR methodology across all analyses in the study.</w:t>
      </w:r>
    </w:p>
    <w:bookmarkEnd w:id="65"/>
    <w:bookmarkStart w:id="66" w:name="visualization-1"/>
    <w:p>
      <w:pPr>
        <w:pStyle w:val="Heading2"/>
      </w:pPr>
      <w:r>
        <w:t xml:space="preserve">8. Visualization</w:t>
      </w:r>
    </w:p>
    <w:p>
      <w:pPr>
        <w:pStyle w:val="FirstParagraph"/>
      </w:pPr>
      <w:r>
        <w:t xml:space="preserve">The following visualizations were generated:</w:t>
      </w:r>
    </w:p>
    <w:tbl>
      <w:tblPr>
        <w:tblStyle w:val="Table"/>
        <w:tblW w:type="pct" w:w="5000"/>
        <w:tblLayout w:type="fixed"/>
        <w:tblLook w:firstRow="1" w:lastRow="0" w:firstColumn="0" w:lastColumn="0" w:noHBand="0" w:noVBand="0" w:val="0020"/>
      </w:tblPr>
      <w:tblGrid>
        <w:gridCol w:w="1485"/>
        <w:gridCol w:w="3217"/>
        <w:gridCol w:w="3217"/>
      </w:tblGrid>
      <w:tr>
        <w:trPr>
          <w:tblHeader w:val="on"/>
        </w:trPr>
        <w:tc>
          <w:tcPr/>
          <w:p>
            <w:pPr>
              <w:pStyle w:val="Compact"/>
            </w:pPr>
            <w:r>
              <w:t xml:space="preserve">Plot</w:t>
            </w:r>
          </w:p>
        </w:tc>
        <w:tc>
          <w:tcPr/>
          <w:p>
            <w:pPr>
              <w:pStyle w:val="Compact"/>
            </w:pPr>
            <w:r>
              <w:t xml:space="preserve">Description</w:t>
            </w:r>
          </w:p>
        </w:tc>
        <w:tc>
          <w:tcPr/>
          <w:p>
            <w:pPr>
              <w:pStyle w:val="Compact"/>
            </w:pPr>
            <w:r>
              <w:t xml:space="preserve">Output File</w:t>
            </w:r>
          </w:p>
        </w:tc>
      </w:tr>
      <w:tr>
        <w:tc>
          <w:tcPr/>
          <w:p>
            <w:pPr>
              <w:pStyle w:val="Compact"/>
            </w:pPr>
            <w:r>
              <w:t xml:space="preserve">QC violin plots</w:t>
            </w:r>
          </w:p>
        </w:tc>
        <w:tc>
          <w:tcPr/>
          <w:p>
            <w:pPr>
              <w:pStyle w:val="Compact"/>
            </w:pPr>
            <w:r>
              <w:t xml:space="preserve">nFeature_RNA, nCount_RNA, percent.mt per sample</w:t>
            </w:r>
          </w:p>
        </w:tc>
        <w:tc>
          <w:tcPr/>
          <w:p>
            <w:pPr>
              <w:pStyle w:val="Compact"/>
            </w:pPr>
            <w:r>
              <w:rPr>
                <w:rStyle w:val="VerbatimChar"/>
              </w:rPr>
              <w:t xml:space="preserve">outputs/qc_plots.pdf</w:t>
            </w:r>
          </w:p>
        </w:tc>
      </w:tr>
      <w:tr>
        <w:tc>
          <w:tcPr/>
          <w:p>
            <w:pPr>
              <w:pStyle w:val="Compact"/>
            </w:pPr>
            <w:r>
              <w:t xml:space="preserve">Feature scatter</w:t>
            </w:r>
          </w:p>
        </w:tc>
        <w:tc>
          <w:tcPr/>
          <w:p>
            <w:pPr>
              <w:pStyle w:val="Compact"/>
            </w:pPr>
            <w:r>
              <w:t xml:space="preserve">nCount_RNA vs. nFeature_RNA</w:t>
            </w:r>
          </w:p>
        </w:tc>
        <w:tc>
          <w:tcPr/>
          <w:p>
            <w:pPr>
              <w:pStyle w:val="Compact"/>
            </w:pPr>
            <w:r>
              <w:rPr>
                <w:rStyle w:val="VerbatimChar"/>
              </w:rPr>
              <w:t xml:space="preserve">outputs/qc_plots.pdf</w:t>
            </w:r>
          </w:p>
        </w:tc>
      </w:tr>
      <w:tr>
        <w:tc>
          <w:tcPr/>
          <w:p>
            <w:pPr>
              <w:pStyle w:val="Compact"/>
            </w:pPr>
            <w:r>
              <w:t xml:space="preserve">Elbow plot</w:t>
            </w:r>
          </w:p>
        </w:tc>
        <w:tc>
          <w:tcPr/>
          <w:p>
            <w:pPr>
              <w:pStyle w:val="Compact"/>
            </w:pPr>
            <w:r>
              <w:t xml:space="preserve">PCA variance explained (50 PCs)</w:t>
            </w:r>
          </w:p>
        </w:tc>
        <w:tc>
          <w:tcPr/>
          <w:p>
            <w:pPr>
              <w:pStyle w:val="Compact"/>
            </w:pPr>
            <w:r>
              <w:rPr>
                <w:rStyle w:val="VerbatimChar"/>
              </w:rPr>
              <w:t xml:space="preserve">outputs/integration_plots.pdf</w:t>
            </w:r>
          </w:p>
        </w:tc>
      </w:tr>
      <w:tr>
        <w:tc>
          <w:tcPr/>
          <w:p>
            <w:pPr>
              <w:pStyle w:val="Compact"/>
            </w:pPr>
            <w:r>
              <w:t xml:space="preserve">UMAP by sample/age group</w:t>
            </w:r>
          </w:p>
        </w:tc>
        <w:tc>
          <w:tcPr/>
          <w:p>
            <w:pPr>
              <w:pStyle w:val="Compact"/>
            </w:pPr>
            <w:r>
              <w:t xml:space="preserve">Integration quality assessment</w:t>
            </w:r>
          </w:p>
        </w:tc>
        <w:tc>
          <w:tcPr/>
          <w:p>
            <w:pPr>
              <w:pStyle w:val="Compact"/>
            </w:pPr>
            <w:r>
              <w:rPr>
                <w:rStyle w:val="VerbatimChar"/>
              </w:rPr>
              <w:t xml:space="preserve">outputs/integration_plots.pdf</w:t>
            </w:r>
          </w:p>
        </w:tc>
      </w:tr>
      <w:tr>
        <w:tc>
          <w:tcPr/>
          <w:p>
            <w:pPr>
              <w:pStyle w:val="Compact"/>
            </w:pPr>
            <w:r>
              <w:t xml:space="preserve">UMAP by cluster</w:t>
            </w:r>
          </w:p>
        </w:tc>
        <w:tc>
          <w:tcPr/>
          <w:p>
            <w:pPr>
              <w:pStyle w:val="Compact"/>
            </w:pPr>
            <w:r>
              <w:t xml:space="preserve">At resolutions 0.2, 0.4, 0.6, 0.8, 1.0</w:t>
            </w:r>
          </w:p>
        </w:tc>
        <w:tc>
          <w:tcPr/>
          <w:p>
            <w:pPr>
              <w:pStyle w:val="Compact"/>
            </w:pPr>
            <w:r>
              <w:rPr>
                <w:rStyle w:val="VerbatimChar"/>
              </w:rPr>
              <w:t xml:space="preserve">outputs/clustering_plots.pdf</w:t>
            </w:r>
          </w:p>
        </w:tc>
      </w:tr>
      <w:tr>
        <w:tc>
          <w:tcPr/>
          <w:p>
            <w:pPr>
              <w:pStyle w:val="Compact"/>
            </w:pPr>
            <w:r>
              <w:t xml:space="preserve">UMAP by cell type</w:t>
            </w:r>
          </w:p>
        </w:tc>
        <w:tc>
          <w:tcPr/>
          <w:p>
            <w:pPr>
              <w:pStyle w:val="Compact"/>
            </w:pPr>
            <w:r>
              <w:t xml:space="preserve">Annotated cell type labels</w:t>
            </w:r>
          </w:p>
        </w:tc>
        <w:tc>
          <w:tcPr/>
          <w:p>
            <w:pPr>
              <w:pStyle w:val="Compact"/>
            </w:pPr>
            <w:r>
              <w:rPr>
                <w:rStyle w:val="VerbatimChar"/>
              </w:rPr>
              <w:t xml:space="preserve">outputs/clustering_plots.pdf</w:t>
            </w:r>
          </w:p>
        </w:tc>
      </w:tr>
      <w:tr>
        <w:tc>
          <w:tcPr/>
          <w:p>
            <w:pPr>
              <w:pStyle w:val="Compact"/>
            </w:pPr>
            <w:r>
              <w:t xml:space="preserve">Marker heatmap</w:t>
            </w:r>
          </w:p>
        </w:tc>
        <w:tc>
          <w:tcPr/>
          <w:p>
            <w:pPr>
              <w:pStyle w:val="Compact"/>
            </w:pPr>
            <w:r>
              <w:t xml:space="preserve">Scaled average expression per cluster (pheatmap)</w:t>
            </w:r>
          </w:p>
        </w:tc>
        <w:tc>
          <w:tcPr/>
          <w:p>
            <w:pPr>
              <w:pStyle w:val="Compact"/>
            </w:pPr>
            <w:r>
              <w:rPr>
                <w:rStyle w:val="VerbatimChar"/>
              </w:rPr>
              <w:t xml:space="preserve">outputs/marker_heatmap.pdf</w:t>
            </w:r>
          </w:p>
        </w:tc>
      </w:tr>
      <w:tr>
        <w:tc>
          <w:tcPr/>
          <w:p>
            <w:pPr>
              <w:pStyle w:val="Compact"/>
            </w:pPr>
            <w:r>
              <w:t xml:space="preserve">scType UMAP</w:t>
            </w:r>
          </w:p>
        </w:tc>
        <w:tc>
          <w:tcPr/>
          <w:p>
            <w:pPr>
              <w:pStyle w:val="Compact"/>
            </w:pPr>
            <w:r>
              <w:t xml:space="preserve">Detailed and main cell type annotations</w:t>
            </w:r>
          </w:p>
        </w:tc>
        <w:tc>
          <w:tcPr/>
          <w:p>
            <w:pPr>
              <w:pStyle w:val="Compact"/>
            </w:pPr>
            <w:r>
              <w:rPr>
                <w:rStyle w:val="VerbatimChar"/>
              </w:rPr>
              <w:t xml:space="preserve">figures/by_analysis/rat_snrnaseq/sctype_annotation_umap.pdf</w:t>
            </w:r>
          </w:p>
        </w:tc>
      </w:tr>
      <w:tr>
        <w:tc>
          <w:tcPr/>
          <w:p>
            <w:pPr>
              <w:pStyle w:val="Compact"/>
            </w:pPr>
            <w:r>
              <w:t xml:space="preserve">scType cluster UMAP</w:t>
            </w:r>
          </w:p>
        </w:tc>
        <w:tc>
          <w:tcPr/>
          <w:p>
            <w:pPr>
              <w:pStyle w:val="Compact"/>
            </w:pPr>
            <w:r>
              <w:t xml:space="preserve">Cluster-level scType annotations</w:t>
            </w:r>
          </w:p>
        </w:tc>
        <w:tc>
          <w:tcPr/>
          <w:p>
            <w:pPr>
              <w:pStyle w:val="Compact"/>
            </w:pPr>
            <w:r>
              <w:rPr>
                <w:rStyle w:val="VerbatimChar"/>
              </w:rPr>
              <w:t xml:space="preserve">figures/by_analysis/rat_snrnaseq/sctype_cluster_annotation.pdf</w:t>
            </w:r>
          </w:p>
        </w:tc>
      </w:tr>
      <w:tr>
        <w:tc>
          <w:tcPr/>
          <w:p>
            <w:pPr>
              <w:pStyle w:val="Compact"/>
            </w:pPr>
            <w:r>
              <w:t xml:space="preserve">Volcano plots</w:t>
            </w:r>
          </w:p>
        </w:tc>
        <w:tc>
          <w:tcPr/>
          <w:p>
            <w:pPr>
              <w:pStyle w:val="Compact"/>
            </w:pPr>
            <w:r>
              <w:t xml:space="preserve">Per-cell-type DE results, top 5 FDR genes with</w:t>
            </w:r>
          </w:p>
        </w:tc>
        <w:tc>
          <w:tcPr/>
          <w:p>
            <w:pPr>
              <w:pStyle w:val="Compact"/>
            </w:pPr>
            <w:r>
              <w:t xml:space="preserve">log2FC</w:t>
            </w:r>
          </w:p>
        </w:tc>
      </w:tr>
      <w:tr>
        <w:tc>
          <w:tcPr/>
          <w:p>
            <w:pPr>
              <w:pStyle w:val="Compact"/>
            </w:pPr>
            <w:r>
              <w:t xml:space="preserve">DA stacked bar</w:t>
            </w:r>
          </w:p>
        </w:tc>
        <w:tc>
          <w:tcPr/>
          <w:p>
            <w:pPr>
              <w:pStyle w:val="Compact"/>
            </w:pPr>
            <w:r>
              <w:t xml:space="preserve">Cell type proportions per sample, faceted by age group</w:t>
            </w:r>
          </w:p>
        </w:tc>
        <w:tc>
          <w:tcPr/>
          <w:p>
            <w:pPr>
              <w:pStyle w:val="Compact"/>
            </w:pPr>
            <w:r>
              <w:rPr>
                <w:rStyle w:val="VerbatimChar"/>
              </w:rPr>
              <w:t xml:space="preserve">figures/by_analysis/rat_snrnaseq/DA_proportion_plots.pdf</w:t>
            </w:r>
          </w:p>
        </w:tc>
      </w:tr>
      <w:tr>
        <w:tc>
          <w:tcPr/>
          <w:p>
            <w:pPr>
              <w:pStyle w:val="Compact"/>
            </w:pPr>
            <w:r>
              <w:t xml:space="preserve">DA boxplot</w:t>
            </w:r>
          </w:p>
        </w:tc>
        <w:tc>
          <w:tcPr/>
          <w:p>
            <w:pPr>
              <w:pStyle w:val="Compact"/>
            </w:pPr>
            <w:r>
              <w:t xml:space="preserve">Cell type proportions (%) by age group with jittered points</w:t>
            </w:r>
          </w:p>
        </w:tc>
        <w:tc>
          <w:tcPr/>
          <w:p>
            <w:pPr>
              <w:pStyle w:val="Compact"/>
            </w:pPr>
            <w:r>
              <w:rPr>
                <w:rStyle w:val="VerbatimChar"/>
              </w:rPr>
              <w:t xml:space="preserve">figures/by_analysis/rat_snrnaseq/DA_proportion_plots.pdf</w:t>
            </w:r>
          </w:p>
        </w:tc>
      </w:tr>
      <w:tr>
        <w:tc>
          <w:tcPr/>
          <w:p>
            <w:pPr>
              <w:pStyle w:val="Compact"/>
            </w:pPr>
            <w:r>
              <w:t xml:space="preserve">DA log2FC bar</w:t>
            </w:r>
          </w:p>
        </w:tc>
        <w:tc>
          <w:tcPr/>
          <w:p>
            <w:pPr>
              <w:pStyle w:val="Compact"/>
            </w:pPr>
            <w:r>
              <w:t xml:space="preserve">Propeller log2 fold change by cell type, FDR-colored</w:t>
            </w:r>
          </w:p>
        </w:tc>
        <w:tc>
          <w:tcPr/>
          <w:p>
            <w:pPr>
              <w:pStyle w:val="Compact"/>
            </w:pPr>
            <w:r>
              <w:rPr>
                <w:rStyle w:val="VerbatimChar"/>
              </w:rPr>
              <w:t xml:space="preserve">figures/by_analysis/rat_snrnaseq/DA_proportion_plots.pdf</w:t>
            </w:r>
          </w:p>
        </w:tc>
      </w:tr>
    </w:tbl>
    <w:p>
      <w:pPr>
        <w:pStyle w:val="BodyText"/>
      </w:pPr>
      <w:r>
        <w:t xml:space="preserve">All figure panels were saved in PDF (vector) format.</w:t>
      </w:r>
    </w:p>
    <w:bookmarkEnd w:id="66"/>
    <w:bookmarkStart w:id="67" w:name="software-versions-1"/>
    <w:p>
      <w:pPr>
        <w:pStyle w:val="Heading2"/>
      </w:pPr>
      <w:r>
        <w:t xml:space="preserve">9. Software Versions</w:t>
      </w:r>
    </w:p>
    <w:p>
      <w:pPr>
        <w:pStyle w:val="FirstParagraph"/>
      </w:pPr>
      <w:r>
        <w:t xml:space="preserve">The analysis was performed using the</w:t>
      </w:r>
      <w:r>
        <w:t xml:space="preserve"> </w:t>
      </w:r>
      <w:r>
        <w:rPr>
          <w:rStyle w:val="VerbatimChar"/>
        </w:rPr>
        <w:t xml:space="preserve">erp_snrnaseq</w:t>
      </w:r>
      <w:r>
        <w:t xml:space="preserve"> </w:t>
      </w:r>
      <w:r>
        <w:t xml:space="preserve">conda environment with the following key software: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Version</w:t>
            </w:r>
          </w:p>
        </w:tc>
        <w:tc>
          <w:tcPr/>
          <w:p>
            <w:pPr>
              <w:pStyle w:val="Compact"/>
            </w:pPr>
            <w:r>
              <w:t xml:space="preserve">Purpose</w:t>
            </w:r>
          </w:p>
        </w:tc>
      </w:tr>
      <w:tr>
        <w:tc>
          <w:tcPr/>
          <w:p>
            <w:pPr>
              <w:pStyle w:val="Compact"/>
            </w:pPr>
            <w:r>
              <w:t xml:space="preserve">R</w:t>
            </w:r>
          </w:p>
        </w:tc>
        <w:tc>
          <w:tcPr/>
          <w:p>
            <w:pPr>
              <w:pStyle w:val="Compact"/>
            </w:pPr>
            <w:r>
              <w:t xml:space="preserve">4.3.3</w:t>
            </w:r>
          </w:p>
        </w:tc>
        <w:tc>
          <w:tcPr/>
          <w:p>
            <w:pPr>
              <w:pStyle w:val="Compact"/>
            </w:pPr>
            <w:r>
              <w:t xml:space="preserve">Base language</w:t>
            </w:r>
          </w:p>
        </w:tc>
      </w:tr>
      <w:tr>
        <w:tc>
          <w:tcPr/>
          <w:p>
            <w:pPr>
              <w:pStyle w:val="Compact"/>
            </w:pPr>
            <w:r>
              <w:t xml:space="preserve">Seurat</w:t>
            </w:r>
          </w:p>
        </w:tc>
        <w:tc>
          <w:tcPr/>
          <w:p>
            <w:pPr>
              <w:pStyle w:val="Compact"/>
            </w:pPr>
            <w:r>
              <w:t xml:space="preserve">&gt;= 5.0</w:t>
            </w:r>
          </w:p>
        </w:tc>
        <w:tc>
          <w:tcPr/>
          <w:p>
            <w:pPr>
              <w:pStyle w:val="Compact"/>
            </w:pPr>
            <w:r>
              <w:t xml:space="preserve">snRNA-seq analysis framework</w:t>
            </w:r>
          </w:p>
        </w:tc>
      </w:tr>
      <w:tr>
        <w:tc>
          <w:tcPr/>
          <w:p>
            <w:pPr>
              <w:pStyle w:val="Compact"/>
            </w:pPr>
            <w:r>
              <w:t xml:space="preserve">SeuratObject</w:t>
            </w:r>
          </w:p>
        </w:tc>
        <w:tc>
          <w:tcPr/>
          <w:p>
            <w:pPr>
              <w:pStyle w:val="Compact"/>
            </w:pPr>
            <w:r>
              <w:t xml:space="preserve">(bundled)</w:t>
            </w:r>
          </w:p>
        </w:tc>
        <w:tc>
          <w:tcPr/>
          <w:p>
            <w:pPr>
              <w:pStyle w:val="Compact"/>
            </w:pPr>
            <w:r>
              <w:t xml:space="preserve">Seurat data structures</w:t>
            </w:r>
          </w:p>
        </w:tc>
      </w:tr>
      <w:tr>
        <w:tc>
          <w:tcPr/>
          <w:p>
            <w:pPr>
              <w:pStyle w:val="Compact"/>
            </w:pPr>
            <w:r>
              <w:t xml:space="preserve">harmony</w:t>
            </w:r>
          </w:p>
        </w:tc>
        <w:tc>
          <w:tcPr/>
          <w:p>
            <w:pPr>
              <w:pStyle w:val="Compact"/>
            </w:pPr>
            <w:r>
              <w:t xml:space="preserve">(latest conda)</w:t>
            </w:r>
          </w:p>
        </w:tc>
        <w:tc>
          <w:tcPr/>
          <w:p>
            <w:pPr>
              <w:pStyle w:val="Compact"/>
            </w:pPr>
            <w:r>
              <w:t xml:space="preserve">Batch correction / integration</w:t>
            </w:r>
          </w:p>
        </w:tc>
      </w:tr>
      <w:tr>
        <w:tc>
          <w:tcPr/>
          <w:p>
            <w:pPr>
              <w:pStyle w:val="Compact"/>
            </w:pPr>
            <w:r>
              <w:t xml:space="preserve">glmGamPoi</w:t>
            </w:r>
          </w:p>
        </w:tc>
        <w:tc>
          <w:tcPr/>
          <w:p>
            <w:pPr>
              <w:pStyle w:val="Compact"/>
            </w:pPr>
            <w:r>
              <w:t xml:space="preserve">(Bioconductor)</w:t>
            </w:r>
          </w:p>
        </w:tc>
        <w:tc>
          <w:tcPr/>
          <w:p>
            <w:pPr>
              <w:pStyle w:val="Compact"/>
            </w:pPr>
            <w:r>
              <w:t xml:space="preserve">Fast SCTransform backend</w:t>
            </w:r>
          </w:p>
        </w:tc>
      </w:tr>
      <w:tr>
        <w:tc>
          <w:tcPr/>
          <w:p>
            <w:pPr>
              <w:pStyle w:val="Compact"/>
            </w:pPr>
            <w:r>
              <w:t xml:space="preserve">DoubletFinder</w:t>
            </w:r>
          </w:p>
        </w:tc>
        <w:tc>
          <w:tcPr/>
          <w:p>
            <w:pPr>
              <w:pStyle w:val="Compact"/>
            </w:pPr>
            <w:r>
              <w:t xml:space="preserve">(latest)</w:t>
            </w:r>
          </w:p>
        </w:tc>
        <w:tc>
          <w:tcPr/>
          <w:p>
            <w:pPr>
              <w:pStyle w:val="Compact"/>
            </w:pPr>
            <w:r>
              <w:t xml:space="preserve">Doublet detection</w:t>
            </w:r>
          </w:p>
        </w:tc>
      </w:tr>
      <w:tr>
        <w:tc>
          <w:tcPr/>
          <w:p>
            <w:pPr>
              <w:pStyle w:val="Compact"/>
            </w:pPr>
            <w:r>
              <w:t xml:space="preserve">speckle</w:t>
            </w:r>
          </w:p>
        </w:tc>
        <w:tc>
          <w:tcPr/>
          <w:p>
            <w:pPr>
              <w:pStyle w:val="Compact"/>
            </w:pPr>
            <w:r>
              <w:t xml:space="preserve">(latest conda)</w:t>
            </w:r>
          </w:p>
        </w:tc>
        <w:tc>
          <w:tcPr/>
          <w:p>
            <w:pPr>
              <w:pStyle w:val="Compact"/>
            </w:pPr>
            <w:r>
              <w:t xml:space="preserve">Differential abundance (propeller)</w:t>
            </w:r>
          </w:p>
        </w:tc>
      </w:tr>
      <w:tr>
        <w:tc>
          <w:tcPr/>
          <w:p>
            <w:pPr>
              <w:pStyle w:val="Compact"/>
            </w:pPr>
            <w:r>
              <w:t xml:space="preserve">pheatmap</w:t>
            </w:r>
          </w:p>
        </w:tc>
        <w:tc>
          <w:tcPr/>
          <w:p>
            <w:pPr>
              <w:pStyle w:val="Compact"/>
            </w:pPr>
            <w:r>
              <w:t xml:space="preserve">(latest)</w:t>
            </w:r>
          </w:p>
        </w:tc>
        <w:tc>
          <w:tcPr/>
          <w:p>
            <w:pPr>
              <w:pStyle w:val="Compact"/>
            </w:pPr>
            <w:r>
              <w:t xml:space="preserve">Heatmap visualization</w:t>
            </w:r>
          </w:p>
        </w:tc>
      </w:tr>
      <w:tr>
        <w:tc>
          <w:tcPr/>
          <w:p>
            <w:pPr>
              <w:pStyle w:val="Compact"/>
            </w:pPr>
            <w:r>
              <w:t xml:space="preserve">ggplot2</w:t>
            </w:r>
          </w:p>
        </w:tc>
        <w:tc>
          <w:tcPr/>
          <w:p>
            <w:pPr>
              <w:pStyle w:val="Compact"/>
            </w:pPr>
            <w:r>
              <w:t xml:space="preserve">(tidyverse bundle)</w:t>
            </w:r>
          </w:p>
        </w:tc>
        <w:tc>
          <w:tcPr/>
          <w:p>
            <w:pPr>
              <w:pStyle w:val="Compact"/>
            </w:pPr>
            <w:r>
              <w:t xml:space="preserve">Plotting</w:t>
            </w:r>
          </w:p>
        </w:tc>
      </w:tr>
      <w:tr>
        <w:tc>
          <w:tcPr/>
          <w:p>
            <w:pPr>
              <w:pStyle w:val="Compact"/>
            </w:pPr>
            <w:r>
              <w:t xml:space="preserve">ggrepel</w:t>
            </w:r>
          </w:p>
        </w:tc>
        <w:tc>
          <w:tcPr/>
          <w:p>
            <w:pPr>
              <w:pStyle w:val="Compact"/>
            </w:pPr>
            <w:r>
              <w:t xml:space="preserve">(latest conda)</w:t>
            </w:r>
          </w:p>
        </w:tc>
        <w:tc>
          <w:tcPr/>
          <w:p>
            <w:pPr>
              <w:pStyle w:val="Compact"/>
            </w:pPr>
            <w:r>
              <w:t xml:space="preserve">Non-overlapping text labels</w:t>
            </w:r>
          </w:p>
        </w:tc>
      </w:tr>
      <w:tr>
        <w:tc>
          <w:tcPr/>
          <w:p>
            <w:pPr>
              <w:pStyle w:val="Compact"/>
            </w:pPr>
            <w:r>
              <w:t xml:space="preserve">patchwork</w:t>
            </w:r>
          </w:p>
        </w:tc>
        <w:tc>
          <w:tcPr/>
          <w:p>
            <w:pPr>
              <w:pStyle w:val="Compact"/>
            </w:pPr>
            <w:r>
              <w:t xml:space="preserve">(latest conda)</w:t>
            </w:r>
          </w:p>
        </w:tc>
        <w:tc>
          <w:tcPr/>
          <w:p>
            <w:pPr>
              <w:pStyle w:val="Compact"/>
            </w:pPr>
            <w:r>
              <w:t xml:space="preserve">Multi-panel figure composition</w:t>
            </w:r>
          </w:p>
        </w:tc>
      </w:tr>
      <w:tr>
        <w:tc>
          <w:tcPr/>
          <w:p>
            <w:pPr>
              <w:pStyle w:val="Compact"/>
            </w:pPr>
            <w:r>
              <w:t xml:space="preserve">HGNChelper</w:t>
            </w:r>
          </w:p>
        </w:tc>
        <w:tc>
          <w:tcPr/>
          <w:p>
            <w:pPr>
              <w:pStyle w:val="Compact"/>
            </w:pPr>
            <w:r>
              <w:t xml:space="preserve">(latest)</w:t>
            </w:r>
          </w:p>
        </w:tc>
        <w:tc>
          <w:tcPr/>
          <w:p>
            <w:pPr>
              <w:pStyle w:val="Compact"/>
            </w:pPr>
            <w:r>
              <w:t xml:space="preserve">Gene symbol validation (scType)</w:t>
            </w:r>
          </w:p>
        </w:tc>
      </w:tr>
      <w:tr>
        <w:tc>
          <w:tcPr/>
          <w:p>
            <w:pPr>
              <w:pStyle w:val="Compact"/>
            </w:pPr>
            <w:r>
              <w:t xml:space="preserve">openxlsx</w:t>
            </w:r>
          </w:p>
        </w:tc>
        <w:tc>
          <w:tcPr/>
          <w:p>
            <w:pPr>
              <w:pStyle w:val="Compact"/>
            </w:pPr>
            <w:r>
              <w:t xml:space="preserve">(latest)</w:t>
            </w:r>
          </w:p>
        </w:tc>
        <w:tc>
          <w:tcPr/>
          <w:p>
            <w:pPr>
              <w:pStyle w:val="Compact"/>
            </w:pPr>
            <w:r>
              <w:t xml:space="preserve">Excel file I/O (scType)</w:t>
            </w:r>
          </w:p>
        </w:tc>
      </w:tr>
      <w:tr>
        <w:tc>
          <w:tcPr/>
          <w:p>
            <w:pPr>
              <w:pStyle w:val="Compact"/>
            </w:pPr>
            <w:r>
              <w:t xml:space="preserve">dplyr / tidyr</w:t>
            </w:r>
          </w:p>
        </w:tc>
        <w:tc>
          <w:tcPr/>
          <w:p>
            <w:pPr>
              <w:pStyle w:val="Compact"/>
            </w:pPr>
            <w:r>
              <w:t xml:space="preserve">(tidyverse)</w:t>
            </w:r>
          </w:p>
        </w:tc>
        <w:tc>
          <w:tcPr/>
          <w:p>
            <w:pPr>
              <w:pStyle w:val="Compact"/>
            </w:pPr>
            <w:r>
              <w:t xml:space="preserve">Data wrangling</w:t>
            </w:r>
          </w:p>
        </w:tc>
      </w:tr>
    </w:tbl>
    <w:bookmarkEnd w:id="67"/>
    <w:bookmarkStart w:id="68" w:name="reproducibility-notes-1"/>
    <w:p>
      <w:pPr>
        <w:pStyle w:val="Heading2"/>
      </w:pPr>
      <w:r>
        <w:t xml:space="preserve">10. Reproducibility Notes</w:t>
      </w:r>
    </w:p>
    <w:p>
      <w:pPr>
        <w:pStyle w:val="Compact"/>
        <w:numPr>
          <w:ilvl w:val="0"/>
          <w:numId w:val="1009"/>
        </w:numPr>
      </w:pPr>
      <w:r>
        <w:rPr>
          <w:b/>
          <w:bCs/>
        </w:rPr>
        <w:t xml:space="preserve">Random seed:</w:t>
      </w:r>
      <w:r>
        <w:t xml:space="preserve"> </w:t>
      </w:r>
      <w:r>
        <w:t xml:space="preserve">All primary pipeline scripts set</w:t>
      </w:r>
      <w:r>
        <w:t xml:space="preserve"> </w:t>
      </w:r>
      <w:r>
        <w:rPr>
          <w:rStyle w:val="VerbatimChar"/>
        </w:rPr>
        <w:t xml:space="preserve">set.seed(12345)</w:t>
      </w:r>
      <w:r>
        <w:t xml:space="preserve"> </w:t>
      </w:r>
      <w:r>
        <w:t xml:space="preserve">at the top. Seed was explicitly passed to</w:t>
      </w:r>
      <w:r>
        <w:t xml:space="preserve"> </w:t>
      </w:r>
      <w:r>
        <w:rPr>
          <w:rStyle w:val="VerbatimChar"/>
        </w:rPr>
        <w:t xml:space="preserve">SCTransform()</w:t>
      </w:r>
      <w:r>
        <w:t xml:space="preserve"> </w:t>
      </w:r>
      <w:r>
        <w:t xml:space="preserve">(</w:t>
      </w:r>
      <w:r>
        <w:rPr>
          <w:rStyle w:val="VerbatimChar"/>
        </w:rPr>
        <w:t xml:space="preserve">seed.use = 12345</w:t>
      </w:r>
      <w:r>
        <w:t xml:space="preserve">),</w:t>
      </w:r>
      <w:r>
        <w:t xml:space="preserve"> </w:t>
      </w:r>
      <w:r>
        <w:rPr>
          <w:rStyle w:val="VerbatimChar"/>
        </w:rPr>
        <w:t xml:space="preserve">RunPCA()</w:t>
      </w:r>
      <w:r>
        <w:t xml:space="preserve"> </w:t>
      </w:r>
      <w:r>
        <w:t xml:space="preserve">(</w:t>
      </w:r>
      <w:r>
        <w:rPr>
          <w:rStyle w:val="VerbatimChar"/>
        </w:rPr>
        <w:t xml:space="preserve">seed.use = 12345</w:t>
      </w:r>
      <w:r>
        <w:t xml:space="preserve">),</w:t>
      </w:r>
      <w:r>
        <w:t xml:space="preserve"> </w:t>
      </w:r>
      <w:r>
        <w:rPr>
          <w:rStyle w:val="VerbatimChar"/>
        </w:rPr>
        <w:t xml:space="preserve">RunUMAP()</w:t>
      </w:r>
      <w:r>
        <w:t xml:space="preserve"> </w:t>
      </w:r>
      <w:r>
        <w:t xml:space="preserve">(</w:t>
      </w:r>
      <w:r>
        <w:rPr>
          <w:rStyle w:val="VerbatimChar"/>
        </w:rPr>
        <w:t xml:space="preserve">seed.use = 12345</w:t>
      </w:r>
      <w:r>
        <w:t xml:space="preserve">), and</w:t>
      </w:r>
      <w:r>
        <w:t xml:space="preserve"> </w:t>
      </w:r>
      <w:r>
        <w:rPr>
          <w:rStyle w:val="VerbatimChar"/>
        </w:rPr>
        <w:t xml:space="preserve">FindClusters()</w:t>
      </w:r>
      <w:r>
        <w:t xml:space="preserve"> </w:t>
      </w:r>
      <w:r>
        <w:t xml:space="preserve">(</w:t>
      </w:r>
      <w:r>
        <w:rPr>
          <w:rStyle w:val="VerbatimChar"/>
        </w:rPr>
        <w:t xml:space="preserve">random.seed = 12345</w:t>
      </w:r>
      <w:r>
        <w:t xml:space="preserve">).</w:t>
      </w:r>
    </w:p>
    <w:p>
      <w:pPr>
        <w:pStyle w:val="Compact"/>
        <w:numPr>
          <w:ilvl w:val="0"/>
          <w:numId w:val="1009"/>
        </w:numPr>
      </w:pPr>
      <w:r>
        <w:rPr>
          <w:b/>
          <w:bCs/>
        </w:rPr>
        <w:t xml:space="preserve">Parallelization:</w:t>
      </w:r>
      <w:r>
        <w:t xml:space="preserve"> </w:t>
      </w:r>
      <w:r>
        <w:rPr>
          <w:rStyle w:val="VerbatimChar"/>
        </w:rPr>
        <w:t xml:space="preserve">future.globals.maxSize</w:t>
      </w:r>
      <w:r>
        <w:t xml:space="preserve"> </w:t>
      </w:r>
      <w:r>
        <w:t xml:space="preserve">was set to 4 GB (</w:t>
      </w:r>
      <w:r>
        <w:rPr>
          <w:rStyle w:val="VerbatimChar"/>
        </w:rPr>
        <w:t xml:space="preserve">4 * 1024^3</w:t>
      </w:r>
      <w:r>
        <w:t xml:space="preserve">). No explicit</w:t>
      </w:r>
      <w:r>
        <w:t xml:space="preserve"> </w:t>
      </w:r>
      <w:r>
        <w:rPr>
          <w:rStyle w:val="VerbatimChar"/>
        </w:rPr>
        <w:t xml:space="preserve">plan()</w:t>
      </w:r>
      <w:r>
        <w:t xml:space="preserve"> </w:t>
      </w:r>
      <w:r>
        <w:t xml:space="preserve">call was made, so processing ran sequentially by default.</w:t>
      </w:r>
    </w:p>
    <w:p>
      <w:pPr>
        <w:pStyle w:val="Compact"/>
        <w:numPr>
          <w:ilvl w:val="0"/>
          <w:numId w:val="1009"/>
        </w:numPr>
      </w:pPr>
      <w:r>
        <w:rPr>
          <w:b/>
          <w:bCs/>
        </w:rPr>
        <w:t xml:space="preserve">Checkpoints:</w:t>
      </w:r>
      <w:r>
        <w:t xml:space="preserve"> </w:t>
      </w:r>
      <w:r>
        <w:t xml:space="preserve">Intermediate Seurat objects were saved as RDS files at each major step:</w:t>
      </w:r>
      <w:r>
        <w:t xml:space="preserve"> </w:t>
      </w:r>
      <w:r>
        <w:rPr>
          <w:rStyle w:val="VerbatimChar"/>
        </w:rPr>
        <w:t xml:space="preserve">seurat_qc_filtered.rds</w:t>
      </w:r>
      <w:r>
        <w:t xml:space="preserve"> </w:t>
      </w:r>
      <w:r>
        <w:t xml:space="preserve">(post-QC),</w:t>
      </w:r>
      <w:r>
        <w:t xml:space="preserve"> </w:t>
      </w:r>
      <w:r>
        <w:rPr>
          <w:rStyle w:val="VerbatimChar"/>
        </w:rPr>
        <w:t xml:space="preserve">seurat_integrated.rds</w:t>
      </w:r>
      <w:r>
        <w:t xml:space="preserve"> </w:t>
      </w:r>
      <w:r>
        <w:t xml:space="preserve">(post-integration),</w:t>
      </w:r>
      <w:r>
        <w:t xml:space="preserve"> </w:t>
      </w:r>
      <w:r>
        <w:rPr>
          <w:rStyle w:val="VerbatimChar"/>
        </w:rPr>
        <w:t xml:space="preserve">seurat_annotated.rds</w:t>
      </w:r>
      <w:r>
        <w:t xml:space="preserve"> </w:t>
      </w:r>
      <w:r>
        <w:t xml:space="preserve">(post-clustering/annotation), with additional checkpoints for scType variants.</w:t>
      </w:r>
    </w:p>
    <w:p>
      <w:pPr>
        <w:pStyle w:val="Compact"/>
        <w:numPr>
          <w:ilvl w:val="0"/>
          <w:numId w:val="1009"/>
        </w:numPr>
      </w:pPr>
      <w:r>
        <w:rPr>
          <w:b/>
          <w:bCs/>
        </w:rPr>
        <w:t xml:space="preserve">SLURM parameters:</w:t>
      </w:r>
      <w:r>
        <w:t xml:space="preserve"> </w:t>
      </w:r>
      <w:r>
        <w:t xml:space="preserve">The pipeline was executed via SLURM (</w:t>
      </w:r>
      <w:r>
        <w:rPr>
          <w:rStyle w:val="VerbatimChar"/>
        </w:rPr>
        <w:t xml:space="preserve">run_analysis.sbatch</w:t>
      </w:r>
      <w:r>
        <w:t xml:space="preserve">) with 64 GB memory, 8 CPUs, 12-hour wall time, on the</w:t>
      </w:r>
      <w:r>
        <w:t xml:space="preserve"> </w:t>
      </w:r>
      <w:r>
        <w:rPr>
          <w:rStyle w:val="VerbatimChar"/>
        </w:rPr>
        <w:t xml:space="preserve">htc</w:t>
      </w:r>
      <w:r>
        <w:t xml:space="preserve"> </w:t>
      </w:r>
      <w:r>
        <w:t xml:space="preserve">partition.</w:t>
      </w:r>
    </w:p>
    <w:p>
      <w:r>
        <w:pict>
          <v:rect style="width:0;height:1.5pt" o:hralign="center" o:hrstd="t" o:hr="t"/>
        </w:pict>
      </w:r>
    </w:p>
    <w:bookmarkEnd w:id="68"/>
    <w:bookmarkStart w:id="69" w:name="main-text-summary-1"/>
    <w:p>
      <w:pPr>
        <w:pStyle w:val="Heading2"/>
      </w:pPr>
      <w:r>
        <w:t xml:space="preserve">Main Text Summary</w:t>
      </w:r>
    </w:p>
    <w:p>
      <w:pPr>
        <w:pStyle w:val="FirstParagraph"/>
      </w:pPr>
      <w:r>
        <w:t xml:space="preserve">Single-nucleus RNA sequencing data from six NMU-induced rat mammary tumors (three Aged, three Young; GEO: GSE276758) were processed using Seurat v5. Nuclei were filtered by gene count (200–6,000), UMI count (&gt;400), and mitochondrial content (&lt;15%), and doublets were removed using DoubletFinder (5% expected rate, per-sample pK optimization via dimensions 1:30). Data were normalized with SCTransform (glmGamPoi, regressing mitochondrial percentage) and integrated across samples using Harmony. UMAP embedding and shared nearest neighbor clustering (Louvain algorithm, resolution 0.4) were computed on the first 30 Harmony-corrected components. Cell types were annotated by scoring clusters against canonical mammary tissue marker gene sets; a parallel scType-based annotation confirmed immune cell identification. Differential expression used the marker-scoring annotation (resolution 0.4) with pseudobulk DESeq2 testing, requiring &gt;= 10 cells per sample per cell type and &gt;= 2 samples per group, with low-count gene filtering (&gt;= 10 counts in &gt;= 2 samples) and BH-corrected FDR &lt; 0.05. Differential abundance used the scType annotation (which includes immune subtypes absent from the marker-scoring annotation) and was assessed using propeller (speckle package) with an independent Benjamini-Hochberg correction applied to raw p-values. All analyses used random seed 12345.</w:t>
      </w:r>
      <w:r>
        <w:t xml:space="preserve"> </w:t>
      </w:r>
      <w:r>
        <w:t xml:space="preserve"># Methods: Rat Whole Exome Sequencing Analysis (</w:t>
      </w:r>
      <w:r>
        <w:rPr>
          <w:rStyle w:val="VerbatimChar"/>
        </w:rPr>
        <w:t xml:space="preserve">03_rat_wes</w:t>
      </w:r>
      <w:r>
        <w:t xml:space="preserve">)</w:t>
      </w:r>
    </w:p>
    <w:bookmarkEnd w:id="69"/>
    <w:bookmarkStart w:id="70" w:name="data-acquisition-2"/>
    <w:p>
      <w:pPr>
        <w:pStyle w:val="Heading2"/>
      </w:pPr>
      <w:r>
        <w:t xml:space="preserve">1. Data Acquisition</w:t>
      </w:r>
    </w:p>
    <w:p>
      <w:pPr>
        <w:pStyle w:val="FirstParagraph"/>
      </w:pPr>
      <w:r>
        <w:t xml:space="preserve">Whole exome sequencing (WES) was performed on mammary tumors from six rats, comprising three old (sample IDs: 102, 107, 116) and three young (sample IDs: 157, 158, 167) animals. Matched spleen tissue served as the germline reference for each animal. Somatic variants were called using Mutect2 (upstream of this pipeline); input VCF files were located in a shared directory (</w:t>
      </w:r>
      <w:r>
        <w:rPr>
          <w:rStyle w:val="VerbatimChar"/>
        </w:rPr>
        <w:t xml:space="preserve">NeilRatWES/RatWES_Mutect2_VCF_Input/</w:t>
      </w:r>
      <w:r>
        <w:t xml:space="preserve">). Sample naming in the input VCFs followed the format</w:t>
      </w:r>
      <w:r>
        <w:t xml:space="preserve"> </w:t>
      </w:r>
      <w:r>
        <w:rPr>
          <w:rStyle w:val="VerbatimChar"/>
        </w:rPr>
        <w:t xml:space="preserve">Rat_O_&lt;ID&gt;</w:t>
      </w:r>
      <w:r>
        <w:t xml:space="preserve"> </w:t>
      </w:r>
      <w:r>
        <w:t xml:space="preserve">(old) or</w:t>
      </w:r>
      <w:r>
        <w:t xml:space="preserve"> </w:t>
      </w:r>
      <w:r>
        <w:rPr>
          <w:rStyle w:val="VerbatimChar"/>
        </w:rPr>
        <w:t xml:space="preserve">Rat_Y_&lt;ID&gt;</w:t>
      </w:r>
      <w:r>
        <w:t xml:space="preserve"> </w:t>
      </w:r>
      <w:r>
        <w:t xml:space="preserve">(young), which was parsed via regex to extract the three-digit numeric sample identifier.</w:t>
      </w:r>
    </w:p>
    <w:bookmarkEnd w:id="70"/>
    <w:bookmarkStart w:id="71" w:name="variant-annotation-with-vep"/>
    <w:p>
      <w:pPr>
        <w:pStyle w:val="Heading2"/>
      </w:pPr>
      <w:r>
        <w:t xml:space="preserve">2. Variant Annotation with VEP</w:t>
      </w:r>
    </w:p>
    <w:p>
      <w:pPr>
        <w:pStyle w:val="FirstParagraph"/>
      </w:pPr>
      <w:r>
        <w:t xml:space="preserve">Somatic variants were annotated using Ensembl Variant Effect Predictor (VEP) v114.2 (module</w:t>
      </w:r>
      <w:r>
        <w:t xml:space="preserve"> </w:t>
      </w:r>
      <w:r>
        <w:rPr>
          <w:rStyle w:val="VerbatimChar"/>
        </w:rPr>
        <w:t xml:space="preserve">ensembl-vep/114.2</w:t>
      </w:r>
      <w:r>
        <w:t xml:space="preserve">), run in offline mode against a local cache (</w:t>
      </w:r>
      <w:r>
        <w:rPr>
          <w:rStyle w:val="VerbatimChar"/>
        </w:rPr>
        <w:t xml:space="preserve">00_run_vep.sbatch</w:t>
      </w:r>
      <w:r>
        <w:t xml:space="preserve">). VEP was executed with the following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rPr>
                <w:rStyle w:val="VerbatimChar"/>
              </w:rPr>
              <w:t xml:space="preserve">--species</w:t>
            </w:r>
          </w:p>
        </w:tc>
        <w:tc>
          <w:tcPr/>
          <w:p>
            <w:pPr>
              <w:pStyle w:val="Compact"/>
            </w:pPr>
            <w:r>
              <w:rPr>
                <w:rStyle w:val="VerbatimChar"/>
              </w:rPr>
              <w:t xml:space="preserve">rattus_norvegicus</w:t>
            </w:r>
          </w:p>
        </w:tc>
      </w:tr>
      <w:tr>
        <w:tc>
          <w:tcPr/>
          <w:p>
            <w:pPr>
              <w:pStyle w:val="Compact"/>
            </w:pPr>
            <w:r>
              <w:rPr>
                <w:rStyle w:val="VerbatimChar"/>
              </w:rPr>
              <w:t xml:space="preserve">--assembly</w:t>
            </w:r>
          </w:p>
        </w:tc>
        <w:tc>
          <w:tcPr/>
          <w:p>
            <w:pPr>
              <w:pStyle w:val="Compact"/>
            </w:pPr>
            <w:r>
              <w:rPr>
                <w:rStyle w:val="VerbatimChar"/>
              </w:rPr>
              <w:t xml:space="preserve">Rnor_6.0</w:t>
            </w:r>
          </w:p>
        </w:tc>
      </w:tr>
      <w:tr>
        <w:tc>
          <w:tcPr/>
          <w:p>
            <w:pPr>
              <w:pStyle w:val="Compact"/>
            </w:pPr>
            <w:r>
              <w:rPr>
                <w:rStyle w:val="VerbatimChar"/>
              </w:rPr>
              <w:t xml:space="preserve">--cache_version</w:t>
            </w:r>
          </w:p>
        </w:tc>
        <w:tc>
          <w:tcPr/>
          <w:p>
            <w:pPr>
              <w:pStyle w:val="Compact"/>
            </w:pPr>
            <w:r>
              <w:rPr>
                <w:rStyle w:val="VerbatimChar"/>
              </w:rPr>
              <w:t xml:space="preserve">104</w:t>
            </w:r>
          </w:p>
        </w:tc>
      </w:tr>
      <w:tr>
        <w:tc>
          <w:tcPr/>
          <w:p>
            <w:pPr>
              <w:pStyle w:val="Compact"/>
            </w:pPr>
            <w:r>
              <w:rPr>
                <w:rStyle w:val="VerbatimChar"/>
              </w:rPr>
              <w:t xml:space="preserve">--offline</w:t>
            </w:r>
          </w:p>
        </w:tc>
        <w:tc>
          <w:tcPr/>
          <w:p>
            <w:pPr>
              <w:pStyle w:val="Compact"/>
            </w:pPr>
            <w:r>
              <w:t xml:space="preserve">enabled</w:t>
            </w:r>
          </w:p>
        </w:tc>
      </w:tr>
      <w:tr>
        <w:tc>
          <w:tcPr/>
          <w:p>
            <w:pPr>
              <w:pStyle w:val="Compact"/>
            </w:pPr>
            <w:r>
              <w:rPr>
                <w:rStyle w:val="VerbatimChar"/>
              </w:rPr>
              <w:t xml:space="preserve">--force_overwrite</w:t>
            </w:r>
          </w:p>
        </w:tc>
        <w:tc>
          <w:tcPr/>
          <w:p>
            <w:pPr>
              <w:pStyle w:val="Compact"/>
            </w:pPr>
            <w:r>
              <w:t xml:space="preserve">enabled</w:t>
            </w:r>
          </w:p>
        </w:tc>
      </w:tr>
      <w:tr>
        <w:tc>
          <w:tcPr/>
          <w:p>
            <w:pPr>
              <w:pStyle w:val="Compact"/>
            </w:pPr>
            <w:r>
              <w:rPr>
                <w:rStyle w:val="VerbatimChar"/>
              </w:rPr>
              <w:t xml:space="preserve">--tab</w:t>
            </w:r>
          </w:p>
        </w:tc>
        <w:tc>
          <w:tcPr/>
          <w:p>
            <w:pPr>
              <w:pStyle w:val="Compact"/>
            </w:pPr>
            <w:r>
              <w:t xml:space="preserve">tab-delimited output</w:t>
            </w:r>
          </w:p>
        </w:tc>
      </w:tr>
      <w:tr>
        <w:tc>
          <w:tcPr/>
          <w:p>
            <w:pPr>
              <w:pStyle w:val="Compact"/>
            </w:pPr>
            <w:r>
              <w:rPr>
                <w:rStyle w:val="VerbatimChar"/>
              </w:rPr>
              <w:t xml:space="preserve">--fork</w:t>
            </w:r>
          </w:p>
        </w:tc>
        <w:tc>
          <w:tcPr/>
          <w:p>
            <w:pPr>
              <w:pStyle w:val="Compact"/>
            </w:pPr>
            <w:r>
              <w:rPr>
                <w:rStyle w:val="VerbatimChar"/>
              </w:rPr>
              <w:t xml:space="preserve">4</w:t>
            </w:r>
            <w:r>
              <w:t xml:space="preserve"> </w:t>
            </w:r>
            <w:r>
              <w:t xml:space="preserve">(parallel threads)</w:t>
            </w:r>
          </w:p>
        </w:tc>
      </w:tr>
    </w:tbl>
    <w:p>
      <w:pPr>
        <w:pStyle w:val="BodyText"/>
      </w:pPr>
      <w:r>
        <w:t xml:space="preserve">Output files were named</w:t>
      </w:r>
      <w:r>
        <w:t xml:space="preserve"> </w:t>
      </w:r>
      <w:r>
        <w:rPr>
          <w:rStyle w:val="VerbatimChar"/>
        </w:rPr>
        <w:t xml:space="preserve">&lt;ID&gt;_tumor_vs_&lt;ID&gt;_spleen.mutect2.txt</w:t>
      </w:r>
      <w:r>
        <w:t xml:space="preserve"> </w:t>
      </w:r>
      <w:r>
        <w:t xml:space="preserve">and organized into per-sample subdirectories. The SLURM job requested 4 CPUs and 16 GB memory with a 2-hour time limit.</w:t>
      </w:r>
    </w:p>
    <w:bookmarkEnd w:id="71"/>
    <w:bookmarkStart w:id="72" w:name="vep-output-parsing-and-filtering"/>
    <w:p>
      <w:pPr>
        <w:pStyle w:val="Heading2"/>
      </w:pPr>
      <w:r>
        <w:t xml:space="preserve">3. VEP Output Parsing and Filtering</w:t>
      </w:r>
    </w:p>
    <w:p>
      <w:pPr>
        <w:pStyle w:val="FirstParagraph"/>
      </w:pPr>
      <w:r>
        <w:t xml:space="preserve">Annotated variants were parsed and filtered using a custom Python script (</w:t>
      </w:r>
      <w:r>
        <w:rPr>
          <w:rStyle w:val="VerbatimChar"/>
        </w:rPr>
        <w:t xml:space="preserve">01_parse_vep.py</w:t>
      </w:r>
      <w:r>
        <w:t xml:space="preserve">). The VEP tab-delimited output was read with custom header parsing: the script identified the header line as the first line beginning with a single</w:t>
      </w:r>
      <w:r>
        <w:t xml:space="preserve"> </w:t>
      </w:r>
      <w:r>
        <w:rPr>
          <w:rStyle w:val="VerbatimChar"/>
        </w:rPr>
        <w:t xml:space="preserve">#</w:t>
      </w:r>
      <w:r>
        <w:t xml:space="preserve"> </w:t>
      </w:r>
      <w:r>
        <w:t xml:space="preserve">(but not</w:t>
      </w:r>
      <w:r>
        <w:t xml:space="preserve"> </w:t>
      </w:r>
      <w:r>
        <w:rPr>
          <w:rStyle w:val="VerbatimChar"/>
        </w:rPr>
        <w:t xml:space="preserve">##</w:t>
      </w:r>
      <w:r>
        <w:t xml:space="preserve">), stripped the leading</w:t>
      </w:r>
      <w:r>
        <w:t xml:space="preserve"> </w:t>
      </w:r>
      <w:r>
        <w:rPr>
          <w:rStyle w:val="VerbatimChar"/>
        </w:rPr>
        <w:t xml:space="preserve">#</w:t>
      </w:r>
      <w:r>
        <w:t xml:space="preserve">, and used the resulting fields as column names. All subsequent non-comment lines were loaded via</w:t>
      </w:r>
      <w:r>
        <w:t xml:space="preserve"> </w:t>
      </w:r>
      <w:r>
        <w:rPr>
          <w:rStyle w:val="VerbatimChar"/>
        </w:rPr>
        <w:t xml:space="preserve">pd.read_csv()</w:t>
      </w:r>
      <w:r>
        <w:t xml:space="preserve"> </w:t>
      </w:r>
      <w:r>
        <w:t xml:space="preserve">with</w:t>
      </w:r>
      <w:r>
        <w:t xml:space="preserve"> </w:t>
      </w:r>
      <w:r>
        <w:rPr>
          <w:rStyle w:val="VerbatimChar"/>
        </w:rPr>
        <w:t xml:space="preserve">comment='#'</w:t>
      </w:r>
      <w:r>
        <w:t xml:space="preserve">.</w:t>
      </w:r>
    </w:p>
    <w:p>
      <w:pPr>
        <w:pStyle w:val="BodyText"/>
      </w:pPr>
      <w:r>
        <w:t xml:space="preserve">Variants were retained if they met two criteria:</w:t>
      </w:r>
      <w:r>
        <w:t xml:space="preserve"> </w:t>
      </w:r>
      <w:r>
        <w:t xml:space="preserve">1.</w:t>
      </w:r>
      <w:r>
        <w:t xml:space="preserve"> </w:t>
      </w:r>
      <w:r>
        <w:rPr>
          <w:b/>
          <w:bCs/>
        </w:rPr>
        <w:t xml:space="preserve">Ensembl gene filter</w:t>
      </w:r>
      <w:r>
        <w:t xml:space="preserve">: The</w:t>
      </w:r>
      <w:r>
        <w:t xml:space="preserve"> </w:t>
      </w:r>
      <w:r>
        <w:rPr>
          <w:rStyle w:val="VerbatimChar"/>
        </w:rPr>
        <w:t xml:space="preserve">Gene</w:t>
      </w:r>
      <w:r>
        <w:t xml:space="preserve"> </w:t>
      </w:r>
      <w:r>
        <w:t xml:space="preserve">column value started with the prefix</w:t>
      </w:r>
      <w:r>
        <w:t xml:space="preserve"> </w:t>
      </w:r>
      <w:r>
        <w:rPr>
          <w:rStyle w:val="VerbatimChar"/>
        </w:rPr>
        <w:t xml:space="preserve">'ENS'</w:t>
      </w:r>
      <w:r>
        <w:t xml:space="preserve"> </w:t>
      </w:r>
      <w:r>
        <w:t xml:space="preserve">(string match via</w:t>
      </w:r>
      <w:r>
        <w:t xml:space="preserve"> </w:t>
      </w:r>
      <w:r>
        <w:rPr>
          <w:rStyle w:val="VerbatimChar"/>
        </w:rPr>
        <w:t xml:space="preserve">str.startswith()</w:t>
      </w:r>
      <w:r>
        <w:t xml:space="preserve">).</w:t>
      </w:r>
      <w:r>
        <w:t xml:space="preserve"> </w:t>
      </w:r>
      <w:r>
        <w:t xml:space="preserve">2.</w:t>
      </w:r>
      <w:r>
        <w:t xml:space="preserve"> </w:t>
      </w:r>
      <w:r>
        <w:rPr>
          <w:b/>
          <w:bCs/>
        </w:rPr>
        <w:t xml:space="preserve">Impact filter</w:t>
      </w:r>
      <w:r>
        <w:t xml:space="preserve">: The</w:t>
      </w:r>
      <w:r>
        <w:t xml:space="preserve"> </w:t>
      </w:r>
      <w:r>
        <w:rPr>
          <w:rStyle w:val="VerbatimChar"/>
        </w:rPr>
        <w:t xml:space="preserve">IMPACT</w:t>
      </w:r>
      <w:r>
        <w:t xml:space="preserve"> </w:t>
      </w:r>
      <w:r>
        <w:t xml:space="preserve">field (either as a standalone column or extracted from the</w:t>
      </w:r>
      <w:r>
        <w:t xml:space="preserve"> </w:t>
      </w:r>
      <w:r>
        <w:rPr>
          <w:rStyle w:val="VerbatimChar"/>
        </w:rPr>
        <w:t xml:space="preserve">Extra</w:t>
      </w:r>
      <w:r>
        <w:t xml:space="preserve"> </w:t>
      </w:r>
      <w:r>
        <w:t xml:space="preserve">column) was</w:t>
      </w:r>
      <w:r>
        <w:t xml:space="preserve"> </w:t>
      </w:r>
      <w:r>
        <w:rPr>
          <w:rStyle w:val="VerbatimChar"/>
        </w:rPr>
        <w:t xml:space="preserve">'HIGH'</w:t>
      </w:r>
      <w:r>
        <w:t xml:space="preserve"> </w:t>
      </w:r>
      <w:r>
        <w:t xml:space="preserve">or</w:t>
      </w:r>
      <w:r>
        <w:t xml:space="preserve"> </w:t>
      </w:r>
      <w:r>
        <w:rPr>
          <w:rStyle w:val="VerbatimChar"/>
        </w:rPr>
        <w:t xml:space="preserve">'MODERATE'</w:t>
      </w:r>
      <w:r>
        <w:t xml:space="preserve">.</w:t>
      </w:r>
    </w:p>
    <w:p>
      <w:pPr>
        <w:pStyle w:val="BodyText"/>
      </w:pPr>
      <w:r>
        <w:t xml:space="preserve">Only subfolders whose names ended in</w:t>
      </w:r>
      <w:r>
        <w:t xml:space="preserve"> </w:t>
      </w:r>
      <w:r>
        <w:rPr>
          <w:rStyle w:val="VerbatimChar"/>
        </w:rPr>
        <w:t xml:space="preserve">'spleen'</w:t>
      </w:r>
      <w:r>
        <w:t xml:space="preserve"> </w:t>
      </w:r>
      <w:r>
        <w:t xml:space="preserve">(matching the</w:t>
      </w:r>
      <w:r>
        <w:t xml:space="preserve"> </w:t>
      </w:r>
      <w:r>
        <w:rPr>
          <w:rStyle w:val="VerbatimChar"/>
        </w:rPr>
        <w:t xml:space="preserve">&lt;ID&gt;_tumor_vs_&lt;ID&gt;_spleen</w:t>
      </w:r>
      <w:r>
        <w:t xml:space="preserve"> </w:t>
      </w:r>
      <w:r>
        <w:t xml:space="preserve">convention) were processed. Filtered variants from each sample were saved as individual CSV files (</w:t>
      </w:r>
      <w:r>
        <w:rPr>
          <w:rStyle w:val="VerbatimChar"/>
        </w:rPr>
        <w:t xml:space="preserve">&lt;sample&gt;_filtered.csv</w:t>
      </w:r>
      <w:r>
        <w:t xml:space="preserve">) and concatenated into a combined file (</w:t>
      </w:r>
      <w:r>
        <w:rPr>
          <w:rStyle w:val="VerbatimChar"/>
        </w:rPr>
        <w:t xml:space="preserve">all_samples_filtered.csv</w:t>
      </w:r>
      <w:r>
        <w:t xml:space="preserve">) using</w:t>
      </w:r>
      <w:r>
        <w:t xml:space="preserve"> </w:t>
      </w:r>
      <w:r>
        <w:rPr>
          <w:rStyle w:val="VerbatimChar"/>
        </w:rPr>
        <w:t xml:space="preserve">pd.concat()</w:t>
      </w:r>
      <w:r>
        <w:t xml:space="preserve"> </w:t>
      </w:r>
      <w:r>
        <w:t xml:space="preserve">with sample names as hierarchical index keys.</w:t>
      </w:r>
    </w:p>
    <w:bookmarkEnd w:id="72"/>
    <w:bookmarkStart w:id="73" w:name="mutational-signature-analysis"/>
    <w:p>
      <w:pPr>
        <w:pStyle w:val="Heading2"/>
      </w:pPr>
      <w:r>
        <w:t xml:space="preserve">4. Mutational Signature Analysis</w:t>
      </w:r>
    </w:p>
    <w:p>
      <w:pPr>
        <w:pStyle w:val="FirstParagraph"/>
      </w:pPr>
      <w:r>
        <w:t xml:space="preserve">COSMIC mutational signatures were assigned using SigProfilerAssignment (</w:t>
      </w:r>
      <w:r>
        <w:rPr>
          <w:rStyle w:val="VerbatimChar"/>
        </w:rPr>
        <w:t xml:space="preserve">02_cosmic_signatures.py</w:t>
      </w:r>
      <w:r>
        <w:t xml:space="preserve">). The</w:t>
      </w:r>
      <w:r>
        <w:t xml:space="preserve"> </w:t>
      </w:r>
      <w:r>
        <w:rPr>
          <w:rStyle w:val="VerbatimChar"/>
        </w:rPr>
        <w:t xml:space="preserve">Analyzer.cosmic_fit()</w:t>
      </w:r>
      <w:r>
        <w:t xml:space="preserve"> </w:t>
      </w:r>
      <w:r>
        <w:t xml:space="preserve">function was called with the following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rPr>
                <w:rStyle w:val="VerbatimChar"/>
              </w:rPr>
              <w:t xml:space="preserve">input_type</w:t>
            </w:r>
          </w:p>
        </w:tc>
        <w:tc>
          <w:tcPr/>
          <w:p>
            <w:pPr>
              <w:pStyle w:val="Compact"/>
            </w:pPr>
            <w:r>
              <w:rPr>
                <w:rStyle w:val="VerbatimChar"/>
              </w:rPr>
              <w:t xml:space="preserve">"vcf"</w:t>
            </w:r>
          </w:p>
        </w:tc>
      </w:tr>
      <w:tr>
        <w:tc>
          <w:tcPr/>
          <w:p>
            <w:pPr>
              <w:pStyle w:val="Compact"/>
            </w:pPr>
            <w:r>
              <w:rPr>
                <w:rStyle w:val="VerbatimChar"/>
              </w:rPr>
              <w:t xml:space="preserve">context_type</w:t>
            </w:r>
          </w:p>
        </w:tc>
        <w:tc>
          <w:tcPr/>
          <w:p>
            <w:pPr>
              <w:pStyle w:val="Compact"/>
            </w:pPr>
            <w:r>
              <w:rPr>
                <w:rStyle w:val="VerbatimChar"/>
              </w:rPr>
              <w:t xml:space="preserve">"96"</w:t>
            </w:r>
            <w:r>
              <w:t xml:space="preserve"> </w:t>
            </w:r>
            <w:r>
              <w:t xml:space="preserve">(trinucleotide context, SBS)</w:t>
            </w:r>
          </w:p>
        </w:tc>
      </w:tr>
      <w:tr>
        <w:tc>
          <w:tcPr/>
          <w:p>
            <w:pPr>
              <w:pStyle w:val="Compact"/>
            </w:pPr>
            <w:r>
              <w:rPr>
                <w:rStyle w:val="VerbatimChar"/>
              </w:rPr>
              <w:t xml:space="preserve">genome_build</w:t>
            </w:r>
          </w:p>
        </w:tc>
        <w:tc>
          <w:tcPr/>
          <w:p>
            <w:pPr>
              <w:pStyle w:val="Compact"/>
            </w:pPr>
            <w:r>
              <w:rPr>
                <w:rStyle w:val="VerbatimChar"/>
              </w:rPr>
              <w:t xml:space="preserve">"rn6"</w:t>
            </w:r>
            <w:r>
              <w:t xml:space="preserve"> </w:t>
            </w:r>
            <w:r>
              <w:t xml:space="preserve">(rat genome, Rnor_6.0)</w:t>
            </w:r>
          </w:p>
        </w:tc>
      </w:tr>
      <w:tr>
        <w:tc>
          <w:tcPr/>
          <w:p>
            <w:pPr>
              <w:pStyle w:val="Compact"/>
            </w:pPr>
            <w:r>
              <w:rPr>
                <w:rStyle w:val="VerbatimChar"/>
              </w:rPr>
              <w:t xml:space="preserve">cosmic_version</w:t>
            </w:r>
          </w:p>
        </w:tc>
        <w:tc>
          <w:tcPr/>
          <w:p>
            <w:pPr>
              <w:pStyle w:val="Compact"/>
            </w:pPr>
            <w:r>
              <w:rPr>
                <w:rStyle w:val="VerbatimChar"/>
              </w:rPr>
              <w:t xml:space="preserve">3.4</w:t>
            </w:r>
          </w:p>
        </w:tc>
      </w:tr>
    </w:tbl>
    <w:p>
      <w:pPr>
        <w:pStyle w:val="BodyText"/>
      </w:pPr>
      <w:r>
        <w:t xml:space="preserve">The function performed signature decomposition by fitting observed trinucleotide mutation spectra to the COSMIC v3.4 single base substitution (SBS) reference signatures. Genome-wide trinucleotide context frequencies were used for normalization (</w:t>
      </w:r>
      <w:r>
        <w:rPr>
          <w:rStyle w:val="VerbatimChar"/>
        </w:rPr>
        <w:t xml:space="preserve">exome=False</w:t>
      </w:r>
      <w:r>
        <w:t xml:space="preserve">); exome-specific normalization (</w:t>
      </w:r>
      <w:r>
        <w:rPr>
          <w:rStyle w:val="VerbatimChar"/>
        </w:rPr>
        <w:t xml:space="preserve">exome=True</w:t>
      </w:r>
      <w:r>
        <w:t xml:space="preserve">) was not applied because SigProfilerMatrixGenerator’s exome downsampling is non-functional for the rn6 rat genome (the exome interval file uses UCSC-style chromosome naming incompatible with the NCBI-style VCFs, and the downsampling step hangs after matrix generation). This means signature weights reflect whole-genome context rather than exome-specific context. Because exonic regions are GC-enriched relative to the genome, GC-associated signatures (e.g., SBS1, CpG deamination) may be modestly underweighted. However, since all six samples share this bias uniformly, relative comparisons between young and old groups are unaffected. Input VCF files were read directly from the shared input directory.</w:t>
      </w:r>
    </w:p>
    <w:p>
      <w:pPr>
        <w:pStyle w:val="BodyText"/>
      </w:pPr>
      <w:r>
        <w:t xml:space="preserve">After fitting, the script parsed the SigProfiler output file (</w:t>
      </w:r>
      <w:r>
        <w:rPr>
          <w:rStyle w:val="VerbatimChar"/>
        </w:rPr>
        <w:t xml:space="preserve">Assignment_Solution/Activities/Assignment_Solution_Activities.txt</w:t>
      </w:r>
      <w:r>
        <w:t xml:space="preserve">), removed signatures with zero activity across all samples, and annotated each sample with its age group (Old or Young) based on a hardcoded ID-to-group mapping. Results were saved to</w:t>
      </w:r>
      <w:r>
        <w:t xml:space="preserve"> </w:t>
      </w:r>
      <w:r>
        <w:rPr>
          <w:rStyle w:val="VerbatimChar"/>
        </w:rPr>
        <w:t xml:space="preserve">cosmic_signatures.csv</w:t>
      </w:r>
      <w:r>
        <w:t xml:space="preserve">.</w:t>
      </w:r>
    </w:p>
    <w:p>
      <w:pPr>
        <w:pStyle w:val="BodyText"/>
      </w:pPr>
      <w:r>
        <w:t xml:space="preserve">A stacked bar chart was generated showing signature activities per sample. Samples were ordered with Young first (descending numeric ID: 167, 158, 157) then Old (descending: 116, 107, 102). Display labels appended an age suffix (e.g.,</w:t>
      </w:r>
      <w:r>
        <w:t xml:space="preserve"> </w:t>
      </w:r>
      <w:r>
        <w:rPr>
          <w:rStyle w:val="VerbatimChar"/>
        </w:rPr>
        <w:t xml:space="preserve">"157_Y"</w:t>
      </w:r>
      <w:r>
        <w:t xml:space="preserve">,</w:t>
      </w:r>
      <w:r>
        <w:t xml:space="preserve"> </w:t>
      </w:r>
      <w:r>
        <w:rPr>
          <w:rStyle w:val="VerbatimChar"/>
        </w:rPr>
        <w:t xml:space="preserve">"102_O"</w:t>
      </w:r>
      <w:r>
        <w:t xml:space="preserve">). The figure used the</w:t>
      </w:r>
      <w:r>
        <w:t xml:space="preserve"> </w:t>
      </w:r>
      <w:r>
        <w:rPr>
          <w:rStyle w:val="VerbatimChar"/>
        </w:rPr>
        <w:t xml:space="preserve">tab10</w:t>
      </w:r>
      <w:r>
        <w:t xml:space="preserve"> </w:t>
      </w:r>
      <w:r>
        <w:t xml:space="preserve">colormap,</w:t>
      </w:r>
      <w:r>
        <w:t xml:space="preserve"> </w:t>
      </w:r>
      <w:r>
        <w:rPr>
          <w:rStyle w:val="VerbatimChar"/>
        </w:rPr>
        <w:t xml:space="preserve">figsize=(14, 8)</w:t>
      </w:r>
      <w:r>
        <w:t xml:space="preserve">, axis label font size 18, tick font size 14/12, and was saved as both SVG and PNG (300 DPI).</w:t>
      </w:r>
    </w:p>
    <w:bookmarkEnd w:id="73"/>
    <w:bookmarkStart w:id="77" w:name="oncoplot-generation"/>
    <w:p>
      <w:pPr>
        <w:pStyle w:val="Heading2"/>
      </w:pPr>
      <w:r>
        <w:t xml:space="preserve">5. Oncoplot Generation</w:t>
      </w:r>
    </w:p>
    <w:p>
      <w:pPr>
        <w:pStyle w:val="FirstParagraph"/>
      </w:pPr>
      <w:r>
        <w:t xml:space="preserve">An oncoplot was generated from the filtered variant data (</w:t>
      </w:r>
      <w:r>
        <w:rPr>
          <w:rStyle w:val="VerbatimChar"/>
        </w:rPr>
        <w:t xml:space="preserve">03_generate_oncoplot.py</w:t>
      </w:r>
      <w:r>
        <w:t xml:space="preserve">) through the following steps:</w:t>
      </w:r>
    </w:p>
    <w:bookmarkStart w:id="74" w:name="rat-to-human-gene-mapping"/>
    <w:p>
      <w:pPr>
        <w:pStyle w:val="Heading3"/>
      </w:pPr>
      <w:r>
        <w:t xml:space="preserve">5.1 Rat-to-Human Gene Mapping</w:t>
      </w:r>
    </w:p>
    <w:p>
      <w:pPr>
        <w:pStyle w:val="FirstParagraph"/>
      </w:pPr>
      <w:r>
        <w:t xml:space="preserve">Rat Ensembl gene IDs were mapped to human gene symbols via a two-step BioMart query using the</w:t>
      </w:r>
      <w:r>
        <w:t xml:space="preserve"> </w:t>
      </w:r>
      <w:r>
        <w:rPr>
          <w:rStyle w:val="VerbatimChar"/>
        </w:rPr>
        <w:t xml:space="preserve">pybiomart</w:t>
      </w:r>
      <w:r>
        <w:t xml:space="preserve"> </w:t>
      </w:r>
      <w:r>
        <w:t xml:space="preserve">Python package:</w:t>
      </w:r>
    </w:p>
    <w:p>
      <w:pPr>
        <w:pStyle w:val="Compact"/>
        <w:numPr>
          <w:ilvl w:val="0"/>
          <w:numId w:val="1010"/>
        </w:numPr>
      </w:pPr>
      <w:r>
        <w:rPr>
          <w:b/>
          <w:bCs/>
        </w:rPr>
        <w:t xml:space="preserve">Homolog lookup</w:t>
      </w:r>
      <w:r>
        <w:t xml:space="preserve">: Rat gene IDs (</w:t>
      </w:r>
      <w:r>
        <w:rPr>
          <w:rStyle w:val="VerbatimChar"/>
        </w:rPr>
        <w:t xml:space="preserve">rnorvegicus_gene_ensembl</w:t>
      </w:r>
      <w:r>
        <w:t xml:space="preserve"> </w:t>
      </w:r>
      <w:r>
        <w:t xml:space="preserve">dataset) were queried for human homologs (</w:t>
      </w:r>
      <w:r>
        <w:rPr>
          <w:rStyle w:val="VerbatimChar"/>
        </w:rPr>
        <w:t xml:space="preserve">hsapiens_homolog_ensembl_gene</w:t>
      </w:r>
      <w:r>
        <w:t xml:space="preserve"> </w:t>
      </w:r>
      <w:r>
        <w:t xml:space="preserve">attribute). Queries were batched in chunks of 200 genes to avoid API timeouts.</w:t>
      </w:r>
    </w:p>
    <w:p>
      <w:pPr>
        <w:pStyle w:val="Compact"/>
        <w:numPr>
          <w:ilvl w:val="0"/>
          <w:numId w:val="1010"/>
        </w:numPr>
      </w:pPr>
      <w:r>
        <w:rPr>
          <w:b/>
          <w:bCs/>
        </w:rPr>
        <w:t xml:space="preserve">Symbol resolution</w:t>
      </w:r>
      <w:r>
        <w:t xml:space="preserve">: The resulting human Ensembl IDs were queried against the</w:t>
      </w:r>
      <w:r>
        <w:t xml:space="preserve"> </w:t>
      </w:r>
      <w:r>
        <w:rPr>
          <w:rStyle w:val="VerbatimChar"/>
        </w:rPr>
        <w:t xml:space="preserve">hsapiens_gene_ensembl</w:t>
      </w:r>
      <w:r>
        <w:t xml:space="preserve"> </w:t>
      </w:r>
      <w:r>
        <w:t xml:space="preserve">dataset for</w:t>
      </w:r>
      <w:r>
        <w:t xml:space="preserve"> </w:t>
      </w:r>
      <w:r>
        <w:rPr>
          <w:rStyle w:val="VerbatimChar"/>
        </w:rPr>
        <w:t xml:space="preserve">external_gene_name</w:t>
      </w:r>
      <w:r>
        <w:t xml:space="preserve"> </w:t>
      </w:r>
      <w:r>
        <w:t xml:space="preserve">attributes, also in chunks of 200.</w:t>
      </w:r>
    </w:p>
    <w:p>
      <w:pPr>
        <w:pStyle w:val="FirstParagraph"/>
      </w:pPr>
      <w:r>
        <w:t xml:space="preserve">Results were cached to</w:t>
      </w:r>
      <w:r>
        <w:t xml:space="preserve"> </w:t>
      </w:r>
      <w:r>
        <w:rPr>
          <w:rStyle w:val="VerbatimChar"/>
        </w:rPr>
        <w:t xml:space="preserve">homolog_cache.csv</w:t>
      </w:r>
      <w:r>
        <w:t xml:space="preserve"> </w:t>
      </w:r>
      <w:r>
        <w:t xml:space="preserve">to avoid redundant API calls on re-runs. Genes without a human homolog or without a resolved symbol were excluded.</w:t>
      </w:r>
    </w:p>
    <w:bookmarkEnd w:id="74"/>
    <w:bookmarkStart w:id="75" w:name="cancer-gene-filtering"/>
    <w:p>
      <w:pPr>
        <w:pStyle w:val="Heading3"/>
      </w:pPr>
      <w:r>
        <w:t xml:space="preserve">5.2 Cancer Gene Filtering</w:t>
      </w:r>
    </w:p>
    <w:p>
      <w:pPr>
        <w:pStyle w:val="FirstParagraph"/>
      </w:pPr>
      <w:r>
        <w:t xml:space="preserve">Mapped variants were filtered against a curated breast cancer gene list (</w:t>
      </w:r>
      <w:r>
        <w:rPr>
          <w:rStyle w:val="VerbatimChar"/>
        </w:rPr>
        <w:t xml:space="preserve">data/brca_genelist.csv</w:t>
      </w:r>
      <w:r>
        <w:t xml:space="preserve">, 229 entries plus header, containing 201 unique genes after deduplication). The gene list contained two columns:</w:t>
      </w:r>
      <w:r>
        <w:t xml:space="preserve"> </w:t>
      </w:r>
      <w:r>
        <w:rPr>
          <w:rStyle w:val="VerbatimChar"/>
        </w:rPr>
        <w:t xml:space="preserve">Gene</w:t>
      </w:r>
      <w:r>
        <w:t xml:space="preserve"> </w:t>
      </w:r>
      <w:r>
        <w:t xml:space="preserve">(human gene symbol) and</w:t>
      </w:r>
      <w:r>
        <w:t xml:space="preserve"> </w:t>
      </w:r>
      <w:r>
        <w:rPr>
          <w:rStyle w:val="VerbatimChar"/>
        </w:rPr>
        <w:t xml:space="preserve">Cancer</w:t>
      </w:r>
      <w:r>
        <w:t xml:space="preserve"> </w:t>
      </w:r>
      <w:r>
        <w:t xml:space="preserve">(cancer type annotation, e.g.,</w:t>
      </w:r>
      <w:r>
        <w:t xml:space="preserve"> </w:t>
      </w:r>
      <w:r>
        <w:rPr>
          <w:rStyle w:val="VerbatimChar"/>
        </w:rPr>
        <w:t xml:space="preserve">"PANCAN"</w:t>
      </w:r>
      <w:r>
        <w:t xml:space="preserve">). The 28 duplicated gene symbols (e.g., AKT1) arise from genes annotated under multiple cancer types. The script converts the gene column to a</w:t>
      </w:r>
      <w:r>
        <w:t xml:space="preserve"> </w:t>
      </w:r>
      <w:r>
        <w:rPr>
          <w:rStyle w:val="VerbatimChar"/>
        </w:rPr>
        <w:t xml:space="preserve">set</w:t>
      </w:r>
      <w:r>
        <w:t xml:space="preserve">, so duplicates do not affect filtering. Only variants whose human gene symbol appeared in this set were retained for the oncoplot.</w:t>
      </w:r>
    </w:p>
    <w:bookmarkEnd w:id="75"/>
    <w:bookmarkStart w:id="76" w:name="oncoplot-construction"/>
    <w:p>
      <w:pPr>
        <w:pStyle w:val="Heading3"/>
      </w:pPr>
      <w:r>
        <w:t xml:space="preserve">5.3 Oncoplot Construction</w:t>
      </w:r>
    </w:p>
    <w:p>
      <w:pPr>
        <w:pStyle w:val="FirstParagraph"/>
      </w:pPr>
      <w:r>
        <w:t xml:space="preserve">The oncoplot was constructed as follows:</w:t>
      </w:r>
    </w:p>
    <w:p>
      <w:pPr>
        <w:pStyle w:val="Compact"/>
        <w:numPr>
          <w:ilvl w:val="0"/>
          <w:numId w:val="1011"/>
        </w:numPr>
      </w:pPr>
      <w:r>
        <w:rPr>
          <w:b/>
          <w:bCs/>
        </w:rPr>
        <w:t xml:space="preserve">Impact prioritization</w:t>
      </w:r>
      <w:r>
        <w:t xml:space="preserve">: When a gene harbored multiple variants in the same sample, the variant with the highest impact was retained (HIGH &gt; MODERATE, priority values 1 and 2 respectively). Rows were sorted by</w:t>
      </w:r>
      <w:r>
        <w:t xml:space="preserve"> </w:t>
      </w:r>
      <w:r>
        <w:rPr>
          <w:rStyle w:val="VerbatimChar"/>
        </w:rPr>
        <w:t xml:space="preserve">['Sample', 'gene_symbol', 'IMPACT_PRIORITY']</w:t>
      </w:r>
      <w:r>
        <w:t xml:space="preserve"> </w:t>
      </w:r>
      <w:r>
        <w:t xml:space="preserve">and the first entry per gene-sample pair was kept via</w:t>
      </w:r>
      <w:r>
        <w:t xml:space="preserve"> </w:t>
      </w:r>
      <w:r>
        <w:rPr>
          <w:rStyle w:val="VerbatimChar"/>
        </w:rPr>
        <w:t xml:space="preserve">groupby().first()</w:t>
      </w:r>
      <w:r>
        <w:t xml:space="preserve">.</w:t>
      </w:r>
    </w:p>
    <w:p>
      <w:pPr>
        <w:pStyle w:val="Compact"/>
        <w:numPr>
          <w:ilvl w:val="0"/>
          <w:numId w:val="1011"/>
        </w:numPr>
      </w:pPr>
      <w:r>
        <w:rPr>
          <w:b/>
          <w:bCs/>
        </w:rPr>
        <w:t xml:space="preserve">Matrix pivoting</w:t>
      </w:r>
      <w:r>
        <w:t xml:space="preserve">: Data were pivoted to a gene-by-sample matrix with VEP consequence types as cell values (</w:t>
      </w:r>
      <w:r>
        <w:rPr>
          <w:rStyle w:val="VerbatimChar"/>
        </w:rPr>
        <w:t xml:space="preserve">pivot_table()</w:t>
      </w:r>
      <w:r>
        <w:t xml:space="preserve"> </w:t>
      </w:r>
      <w:r>
        <w:t xml:space="preserve">with</w:t>
      </w:r>
      <w:r>
        <w:t xml:space="preserve"> </w:t>
      </w:r>
      <w:r>
        <w:rPr>
          <w:rStyle w:val="VerbatimChar"/>
        </w:rPr>
        <w:t xml:space="preserve">aggfunc='first'</w:t>
      </w:r>
      <w:r>
        <w:t xml:space="preserve">).</w:t>
      </w:r>
    </w:p>
    <w:p>
      <w:pPr>
        <w:pStyle w:val="Compact"/>
        <w:numPr>
          <w:ilvl w:val="0"/>
          <w:numId w:val="1011"/>
        </w:numPr>
      </w:pPr>
      <w:r>
        <w:rPr>
          <w:b/>
          <w:bCs/>
        </w:rPr>
        <w:t xml:space="preserve">Gene ordering</w:t>
      </w:r>
      <w:r>
        <w:t xml:space="preserve">: Genes were sorted by mutation frequency (number of samples with a non-null entry) in descending order.</w:t>
      </w:r>
    </w:p>
    <w:p>
      <w:pPr>
        <w:pStyle w:val="Compact"/>
        <w:numPr>
          <w:ilvl w:val="0"/>
          <w:numId w:val="1011"/>
        </w:numPr>
      </w:pPr>
      <w:r>
        <w:rPr>
          <w:b/>
          <w:bCs/>
        </w:rPr>
        <w:t xml:space="preserve">Sample ordering</w:t>
      </w:r>
      <w:r>
        <w:t xml:space="preserve">: Samples were ordered with Young first (descending numeric ID), then Old (descending numeric ID).</w:t>
      </w:r>
    </w:p>
    <w:p>
      <w:pPr>
        <w:pStyle w:val="Compact"/>
        <w:numPr>
          <w:ilvl w:val="0"/>
          <w:numId w:val="1011"/>
        </w:numPr>
      </w:pPr>
      <w:r>
        <w:rPr>
          <w:b/>
          <w:bCs/>
        </w:rPr>
        <w:t xml:space="preserve">Visualization</w:t>
      </w:r>
      <w:r>
        <w:t xml:space="preserve">: The consequence matrix was encoded numerically (unique consequence types mapped to integers 1..N, 0 for wild-type), rendered as a heatmap via</w:t>
      </w:r>
      <w:r>
        <w:t xml:space="preserve"> </w:t>
      </w:r>
      <w:r>
        <w:rPr>
          <w:rStyle w:val="VerbatimChar"/>
        </w:rPr>
        <w:t xml:space="preserve">seaborn.heatmap()</w:t>
      </w:r>
      <w:r>
        <w:t xml:space="preserve"> </w:t>
      </w:r>
      <w:r>
        <w:t xml:space="preserve">with a custom Wong colorblind-safe palette (white for wild-type, followed by blue, vermillion, green, pink, sky blue, yellow, amber, black, and gray), 0.5-width gray gridlines, and a categorical legend. Figure height scaled dynamically as</w:t>
      </w:r>
      <w:r>
        <w:t xml:space="preserve"> </w:t>
      </w:r>
      <w:r>
        <w:rPr>
          <w:rStyle w:val="VerbatimChar"/>
        </w:rPr>
        <w:t xml:space="preserve">max(num_genes * 0.4, 6)</w:t>
      </w:r>
      <w:r>
        <w:t xml:space="preserve"> </w:t>
      </w:r>
      <w:r>
        <w:t xml:space="preserve">with fixed width of 10. Output was saved as SVG and PNG (300 DPI).</w:t>
      </w:r>
    </w:p>
    <w:p>
      <w:pPr>
        <w:pStyle w:val="FirstParagraph"/>
      </w:pPr>
      <w:r>
        <w:t xml:space="preserve">X-axis labels displayed sample IDs with age suffixes (e.g.,</w:t>
      </w:r>
      <w:r>
        <w:t xml:space="preserve"> </w:t>
      </w:r>
      <w:r>
        <w:rPr>
          <w:rStyle w:val="VerbatimChar"/>
        </w:rPr>
        <w:t xml:space="preserve">"167_Y"</w:t>
      </w:r>
      <w:r>
        <w:t xml:space="preserve">,</w:t>
      </w:r>
      <w:r>
        <w:t xml:space="preserve"> </w:t>
      </w:r>
      <w:r>
        <w:rPr>
          <w:rStyle w:val="VerbatimChar"/>
        </w:rPr>
        <w:t xml:space="preserve">"102_O"</w:t>
      </w:r>
      <w:r>
        <w:t xml:space="preserve">).</w:t>
      </w:r>
    </w:p>
    <w:bookmarkEnd w:id="76"/>
    <w:bookmarkEnd w:id="77"/>
    <w:bookmarkStart w:id="78" w:name="pipeline-orchestration"/>
    <w:p>
      <w:pPr>
        <w:pStyle w:val="Heading2"/>
      </w:pPr>
      <w:r>
        <w:t xml:space="preserve">6. Pipeline Orchestration</w:t>
      </w:r>
    </w:p>
    <w:p>
      <w:pPr>
        <w:pStyle w:val="FirstParagraph"/>
      </w:pPr>
      <w:r>
        <w:t xml:space="preserve">The analysis pipeline was orchestrated via</w:t>
      </w:r>
      <w:r>
        <w:t xml:space="preserve"> </w:t>
      </w:r>
      <w:r>
        <w:rPr>
          <w:rStyle w:val="VerbatimChar"/>
        </w:rPr>
        <w:t xml:space="preserve">run_analysis.sbatch</w:t>
      </w:r>
      <w:r>
        <w:t xml:space="preserve">, which executed steps 01 through 03 sequentially under the</w:t>
      </w:r>
      <w:r>
        <w:t xml:space="preserve"> </w:t>
      </w:r>
      <w:r>
        <w:rPr>
          <w:rStyle w:val="VerbatimChar"/>
        </w:rPr>
        <w:t xml:space="preserve">aging_wes</w:t>
      </w:r>
      <w:r>
        <w:t xml:space="preserve"> </w:t>
      </w:r>
      <w:r>
        <w:t xml:space="preserve">conda environment. The SLURM job requested 8 CPUs, 32 GB memory, and an 8-hour time limit. VEP annotation (</w:t>
      </w:r>
      <w:r>
        <w:rPr>
          <w:rStyle w:val="VerbatimChar"/>
        </w:rPr>
        <w:t xml:space="preserve">00_run_vep.sbatch</w:t>
      </w:r>
      <w:r>
        <w:t xml:space="preserve">) was submitted as a separate job (4 CPUs, 16 GB, 2-hour limit) and was a prerequisite for the main pipeline. Upon completion, a marker file (</w:t>
      </w:r>
      <w:r>
        <w:rPr>
          <w:rStyle w:val="VerbatimChar"/>
        </w:rPr>
        <w:t xml:space="preserve">.pipeline_markers/03_rat_wes.complete</w:t>
      </w:r>
      <w:r>
        <w:t xml:space="preserve">) was written with the job ID and UTC timestamp.</w:t>
      </w:r>
    </w:p>
    <w:bookmarkEnd w:id="78"/>
    <w:bookmarkStart w:id="79" w:name="software-versions-2"/>
    <w:p>
      <w:pPr>
        <w:pStyle w:val="Heading2"/>
      </w:pPr>
      <w:r>
        <w:t xml:space="preserve">7. Software Versions</w:t>
      </w:r>
    </w:p>
    <w:p>
      <w:pPr>
        <w:pStyle w:val="FirstParagraph"/>
      </w:pPr>
      <w:r>
        <w:t xml:space="preserve">From the</w:t>
      </w:r>
      <w:r>
        <w:t xml:space="preserve"> </w:t>
      </w:r>
      <w:r>
        <w:rPr>
          <w:rStyle w:val="VerbatimChar"/>
        </w:rPr>
        <w:t xml:space="preserve">aging_wes</w:t>
      </w:r>
      <w:r>
        <w:t xml:space="preserve"> </w:t>
      </w:r>
      <w:r>
        <w:t xml:space="preserve">conda environment (activated by path in</w:t>
      </w:r>
      <w:r>
        <w:t xml:space="preserve"> </w:t>
      </w:r>
      <w:r>
        <w:rPr>
          <w:rStyle w:val="VerbatimChar"/>
        </w:rPr>
        <w:t xml:space="preserve">run_analysis.sbatch</w:t>
      </w:r>
      <w:r>
        <w:t xml:space="preserve">), with runtime versions recorded by SigProfiler metadata (</w:t>
      </w:r>
      <w:r>
        <w:rPr>
          <w:rStyle w:val="VerbatimChar"/>
        </w:rPr>
        <w:t xml:space="preserve">outputs/sigprofiler/JOB_METADATA_SPA.txt</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Software</w:t>
            </w:r>
          </w:p>
        </w:tc>
        <w:tc>
          <w:tcPr/>
          <w:p>
            <w:pPr>
              <w:pStyle w:val="Compact"/>
            </w:pPr>
            <w:r>
              <w:t xml:space="preserve">Version</w:t>
            </w:r>
          </w:p>
        </w:tc>
        <w:tc>
          <w:tcPr/>
          <w:p>
            <w:pPr>
              <w:pStyle w:val="Compact"/>
            </w:pPr>
            <w:r>
              <w:t xml:space="preserve">Source</w:t>
            </w:r>
          </w:p>
        </w:tc>
      </w:tr>
      <w:tr>
        <w:tc>
          <w:tcPr/>
          <w:p>
            <w:pPr>
              <w:pStyle w:val="Compact"/>
            </w:pPr>
            <w:r>
              <w:t xml:space="preserve">Python</w:t>
            </w:r>
          </w:p>
        </w:tc>
        <w:tc>
          <w:tcPr/>
          <w:p>
            <w:pPr>
              <w:pStyle w:val="Compact"/>
            </w:pPr>
            <w:r>
              <w:t xml:space="preserve">3.9.19</w:t>
            </w:r>
          </w:p>
        </w:tc>
        <w:tc>
          <w:tcPr/>
          <w:p>
            <w:pPr>
              <w:pStyle w:val="Compact"/>
            </w:pPr>
            <w:r>
              <w:t xml:space="preserve">conda-forge</w:t>
            </w:r>
          </w:p>
        </w:tc>
      </w:tr>
      <w:tr>
        <w:tc>
          <w:tcPr/>
          <w:p>
            <w:pPr>
              <w:pStyle w:val="Compact"/>
            </w:pPr>
            <w:r>
              <w:t xml:space="preserve">pandas</w:t>
            </w:r>
          </w:p>
        </w:tc>
        <w:tc>
          <w:tcPr/>
          <w:p>
            <w:pPr>
              <w:pStyle w:val="Compact"/>
            </w:pPr>
            <w:r>
              <w:t xml:space="preserve">1.3.5</w:t>
            </w:r>
          </w:p>
        </w:tc>
        <w:tc>
          <w:tcPr/>
          <w:p>
            <w:pPr>
              <w:pStyle w:val="Compact"/>
            </w:pPr>
            <w:r>
              <w:t xml:space="preserve">conda-forge</w:t>
            </w:r>
          </w:p>
        </w:tc>
      </w:tr>
      <w:tr>
        <w:tc>
          <w:tcPr/>
          <w:p>
            <w:pPr>
              <w:pStyle w:val="Compact"/>
            </w:pPr>
            <w:r>
              <w:t xml:space="preserve">numpy</w:t>
            </w:r>
          </w:p>
        </w:tc>
        <w:tc>
          <w:tcPr/>
          <w:p>
            <w:pPr>
              <w:pStyle w:val="Compact"/>
            </w:pPr>
            <w:r>
              <w:t xml:space="preserve">1.26.4</w:t>
            </w:r>
          </w:p>
        </w:tc>
        <w:tc>
          <w:tcPr/>
          <w:p>
            <w:pPr>
              <w:pStyle w:val="Compact"/>
            </w:pPr>
            <w:r>
              <w:t xml:space="preserve">conda-forge</w:t>
            </w:r>
          </w:p>
        </w:tc>
      </w:tr>
      <w:tr>
        <w:tc>
          <w:tcPr/>
          <w:p>
            <w:pPr>
              <w:pStyle w:val="Compact"/>
            </w:pPr>
            <w:r>
              <w:t xml:space="preserve">matplotlib</w:t>
            </w:r>
          </w:p>
        </w:tc>
        <w:tc>
          <w:tcPr/>
          <w:p>
            <w:pPr>
              <w:pStyle w:val="Compact"/>
            </w:pPr>
            <w:r>
              <w:t xml:space="preserve">(not pinned)</w:t>
            </w:r>
          </w:p>
        </w:tc>
        <w:tc>
          <w:tcPr/>
          <w:p>
            <w:pPr>
              <w:pStyle w:val="Compact"/>
            </w:pPr>
            <w:r>
              <w:t xml:space="preserve">conda-forge</w:t>
            </w:r>
          </w:p>
        </w:tc>
      </w:tr>
      <w:tr>
        <w:tc>
          <w:tcPr/>
          <w:p>
            <w:pPr>
              <w:pStyle w:val="Compact"/>
            </w:pPr>
            <w:r>
              <w:t xml:space="preserve">seaborn</w:t>
            </w:r>
          </w:p>
        </w:tc>
        <w:tc>
          <w:tcPr/>
          <w:p>
            <w:pPr>
              <w:pStyle w:val="Compact"/>
            </w:pPr>
            <w:r>
              <w:t xml:space="preserve">(not pinned)</w:t>
            </w:r>
          </w:p>
        </w:tc>
        <w:tc>
          <w:tcPr/>
          <w:p>
            <w:pPr>
              <w:pStyle w:val="Compact"/>
            </w:pPr>
            <w:r>
              <w:t xml:space="preserve">conda-forge</w:t>
            </w:r>
          </w:p>
        </w:tc>
      </w:tr>
    </w:tbl>
    <w:p>
      <w:pPr>
        <w:pStyle w:val="BodyText"/>
      </w:pPr>
      <w:r>
        <w:t xml:space="preserve">Additional dependencies not in</w:t>
      </w:r>
      <w:r>
        <w:t xml:space="preserve"> </w:t>
      </w:r>
      <w:r>
        <w:rPr>
          <w:rStyle w:val="VerbatimChar"/>
        </w:rPr>
        <w:t xml:space="preserve">environment.yml</w:t>
      </w:r>
      <w:r>
        <w:t xml:space="preserve"> </w:t>
      </w:r>
      <w:r>
        <w:t xml:space="preserve">but required by the scripts:</w:t>
      </w:r>
    </w:p>
    <w:tbl>
      <w:tblPr>
        <w:tblStyle w:val="Table"/>
        <w:tblW w:type="pct" w:w="5000"/>
        <w:tblLayout w:type="fixed"/>
        <w:tblLook w:firstRow="1" w:lastRow="0" w:firstColumn="0" w:lastColumn="0" w:noHBand="0" w:noVBand="0" w:val="0020"/>
      </w:tblPr>
      <w:tblGrid>
        <w:gridCol w:w="3046"/>
        <w:gridCol w:w="2741"/>
        <w:gridCol w:w="2132"/>
      </w:tblGrid>
      <w:tr>
        <w:trPr>
          <w:tblHeader w:val="on"/>
        </w:trPr>
        <w:tc>
          <w:tcPr/>
          <w:p>
            <w:pPr>
              <w:pStyle w:val="Compact"/>
            </w:pPr>
            <w:r>
              <w:t xml:space="preserve">Software</w:t>
            </w:r>
          </w:p>
        </w:tc>
        <w:tc>
          <w:tcPr/>
          <w:p>
            <w:pPr>
              <w:pStyle w:val="Compact"/>
            </w:pPr>
            <w:r>
              <w:t xml:space="preserve">Version</w:t>
            </w:r>
          </w:p>
        </w:tc>
        <w:tc>
          <w:tcPr/>
          <w:p>
            <w:pPr>
              <w:pStyle w:val="Compact"/>
            </w:pPr>
            <w:r>
              <w:t xml:space="preserve">Notes</w:t>
            </w:r>
          </w:p>
        </w:tc>
      </w:tr>
      <w:tr>
        <w:tc>
          <w:tcPr/>
          <w:p>
            <w:pPr>
              <w:pStyle w:val="Compact"/>
            </w:pPr>
            <w:r>
              <w:t xml:space="preserve">Ensembl VEP</w:t>
            </w:r>
          </w:p>
        </w:tc>
        <w:tc>
          <w:tcPr/>
          <w:p>
            <w:pPr>
              <w:pStyle w:val="Compact"/>
            </w:pPr>
            <w:r>
              <w:t xml:space="preserve">114.2</w:t>
            </w:r>
          </w:p>
        </w:tc>
        <w:tc>
          <w:tcPr/>
          <w:p>
            <w:pPr>
              <w:pStyle w:val="Compact"/>
            </w:pPr>
            <w:r>
              <w:t xml:space="preserve">Loaded via</w:t>
            </w:r>
            <w:r>
              <w:t xml:space="preserve"> </w:t>
            </w:r>
            <w:r>
              <w:rPr>
                <w:rStyle w:val="VerbatimChar"/>
              </w:rPr>
              <w:t xml:space="preserve">module load ensembl-vep/114.2</w:t>
            </w:r>
          </w:p>
        </w:tc>
      </w:tr>
      <w:tr>
        <w:tc>
          <w:tcPr/>
          <w:p>
            <w:pPr>
              <w:pStyle w:val="Compact"/>
            </w:pPr>
            <w:r>
              <w:t xml:space="preserve">VEP cache</w:t>
            </w:r>
          </w:p>
        </w:tc>
        <w:tc>
          <w:tcPr/>
          <w:p>
            <w:pPr>
              <w:pStyle w:val="Compact"/>
            </w:pPr>
            <w:r>
              <w:t xml:space="preserve">104</w:t>
            </w:r>
          </w:p>
        </w:tc>
        <w:tc>
          <w:tcPr/>
          <w:p>
            <w:pPr>
              <w:pStyle w:val="Compact"/>
            </w:pPr>
            <w:r>
              <w:t xml:space="preserve">Rnor_6.0, offline cache</w:t>
            </w:r>
          </w:p>
        </w:tc>
      </w:tr>
      <w:tr>
        <w:tc>
          <w:tcPr/>
          <w:p>
            <w:pPr>
              <w:pStyle w:val="Compact"/>
            </w:pPr>
            <w:r>
              <w:t xml:space="preserve">SigProfilerAssignment</w:t>
            </w:r>
          </w:p>
        </w:tc>
        <w:tc>
          <w:tcPr/>
          <w:p>
            <w:pPr>
              <w:pStyle w:val="Compact"/>
            </w:pPr>
            <w:r>
              <w:t xml:space="preserve">(not pinned)</w:t>
            </w:r>
          </w:p>
        </w:tc>
        <w:tc>
          <w:tcPr/>
          <w:p>
            <w:pPr>
              <w:pStyle w:val="Compact"/>
            </w:pPr>
            <w:r>
              <w:rPr>
                <w:rStyle w:val="VerbatimChar"/>
              </w:rPr>
              <w:t xml:space="preserve">cosmic_fit()</w:t>
            </w:r>
            <w:r>
              <w:t xml:space="preserve"> </w:t>
            </w:r>
            <w:r>
              <w:t xml:space="preserve">with COSMIC v3.4</w:t>
            </w:r>
          </w:p>
        </w:tc>
      </w:tr>
      <w:tr>
        <w:tc>
          <w:tcPr/>
          <w:p>
            <w:pPr>
              <w:pStyle w:val="Compact"/>
            </w:pPr>
            <w:r>
              <w:t xml:space="preserve">pybiomart</w:t>
            </w:r>
          </w:p>
        </w:tc>
        <w:tc>
          <w:tcPr/>
          <w:p>
            <w:pPr>
              <w:pStyle w:val="Compact"/>
            </w:pPr>
            <w:r>
              <w:t xml:space="preserve">(not pinned)</w:t>
            </w:r>
          </w:p>
        </w:tc>
        <w:tc>
          <w:tcPr/>
          <w:p>
            <w:pPr>
              <w:pStyle w:val="Compact"/>
            </w:pPr>
            <w:r>
              <w:t xml:space="preserve">BioMart API queries</w:t>
            </w:r>
          </w:p>
        </w:tc>
      </w:tr>
    </w:tbl>
    <w:bookmarkEnd w:id="79"/>
    <w:bookmarkStart w:id="80" w:name="reproducibility-notes-2"/>
    <w:p>
      <w:pPr>
        <w:pStyle w:val="Heading2"/>
      </w:pPr>
      <w:r>
        <w:t xml:space="preserve">8. Reproducibility Notes</w:t>
      </w:r>
    </w:p>
    <w:p>
      <w:pPr>
        <w:pStyle w:val="Compact"/>
        <w:numPr>
          <w:ilvl w:val="0"/>
          <w:numId w:val="1012"/>
        </w:numPr>
      </w:pPr>
      <w:r>
        <w:rPr>
          <w:b/>
          <w:bCs/>
        </w:rPr>
        <w:t xml:space="preserve">Random seeds</w:t>
      </w:r>
      <w:r>
        <w:t xml:space="preserve">:</w:t>
      </w:r>
      <w:r>
        <w:t xml:space="preserve"> </w:t>
      </w:r>
      <w:r>
        <w:rPr>
          <w:rStyle w:val="VerbatimChar"/>
        </w:rPr>
        <w:t xml:space="preserve">np.random.seed(12345)</w:t>
      </w:r>
      <w:r>
        <w:t xml:space="preserve"> </w:t>
      </w:r>
      <w:r>
        <w:t xml:space="preserve">is set at the top of</w:t>
      </w:r>
      <w:r>
        <w:t xml:space="preserve"> </w:t>
      </w:r>
      <w:r>
        <w:rPr>
          <w:rStyle w:val="VerbatimChar"/>
        </w:rPr>
        <w:t xml:space="preserve">01_parse_vep.py</w:t>
      </w:r>
      <w:r>
        <w:t xml:space="preserve"> </w:t>
      </w:r>
      <w:r>
        <w:t xml:space="preserve">and</w:t>
      </w:r>
      <w:r>
        <w:t xml:space="preserve"> </w:t>
      </w:r>
      <w:r>
        <w:rPr>
          <w:rStyle w:val="VerbatimChar"/>
        </w:rPr>
        <w:t xml:space="preserve">02_cosmic_signatures.py</w:t>
      </w:r>
      <w:r>
        <w:t xml:space="preserve">, consistent with the project requirement.</w:t>
      </w:r>
    </w:p>
    <w:p>
      <w:pPr>
        <w:pStyle w:val="Compact"/>
        <w:numPr>
          <w:ilvl w:val="0"/>
          <w:numId w:val="1012"/>
        </w:numPr>
      </w:pPr>
      <w:r>
        <w:rPr>
          <w:b/>
          <w:bCs/>
        </w:rPr>
        <w:t xml:space="preserve">Caching</w:t>
      </w:r>
      <w:r>
        <w:t xml:space="preserve">: BioMart homolog queries were cached to</w:t>
      </w:r>
      <w:r>
        <w:t xml:space="preserve"> </w:t>
      </w:r>
      <w:r>
        <w:rPr>
          <w:rStyle w:val="VerbatimChar"/>
        </w:rPr>
        <w:t xml:space="preserve">outputs/homolog_cache.csv</w:t>
      </w:r>
      <w:r>
        <w:t xml:space="preserve">, making subsequent runs independent of external API state. SigProfiler was skipped on re-runs if its output file already existed.</w:t>
      </w:r>
    </w:p>
    <w:p>
      <w:pPr>
        <w:pStyle w:val="Compact"/>
        <w:numPr>
          <w:ilvl w:val="0"/>
          <w:numId w:val="1012"/>
        </w:numPr>
      </w:pPr>
      <w:r>
        <w:rPr>
          <w:b/>
          <w:bCs/>
        </w:rPr>
        <w:t xml:space="preserve">VEP version history</w:t>
      </w:r>
      <w:r>
        <w:t xml:space="preserve">: Results were regenerated with VEP v114.2 using the Ensembl release 104 cache (latest available for Rnor_6.0 assembly). The original analysis used VEP v95 with cache v95.</w:t>
      </w:r>
    </w:p>
    <w:p>
      <w:pPr>
        <w:pStyle w:val="Compact"/>
        <w:numPr>
          <w:ilvl w:val="0"/>
          <w:numId w:val="1012"/>
        </w:numPr>
      </w:pPr>
      <w:r>
        <w:rPr>
          <w:b/>
          <w:bCs/>
        </w:rPr>
        <w:t xml:space="preserve">Determinism</w:t>
      </w:r>
      <w:r>
        <w:t xml:space="preserve">: VEP annotation and VEP parsing are deterministic. SigProfilerAssignment’s internal optimization may not be deterministic without explicit seed control. BioMart query results may vary across Ensembl releases.</w:t>
      </w:r>
    </w:p>
    <w:p>
      <w:pPr>
        <w:pStyle w:val="Compact"/>
        <w:numPr>
          <w:ilvl w:val="0"/>
          <w:numId w:val="1012"/>
        </w:numPr>
      </w:pPr>
      <w:r>
        <w:rPr>
          <w:b/>
          <w:bCs/>
        </w:rPr>
        <w:t xml:space="preserve">Completion markers</w:t>
      </w:r>
      <w:r>
        <w:t xml:space="preserve">: The pipeline wrote a</w:t>
      </w:r>
      <w:r>
        <w:t xml:space="preserve"> </w:t>
      </w:r>
      <w:r>
        <w:rPr>
          <w:rStyle w:val="VerbatimChar"/>
        </w:rPr>
        <w:t xml:space="preserve">.pipeline_markers/03_rat_wes.complete</w:t>
      </w:r>
      <w:r>
        <w:t xml:space="preserve"> </w:t>
      </w:r>
      <w:r>
        <w:t xml:space="preserve">file upon successful completion, enabling downstream dependency checks.</w:t>
      </w:r>
    </w:p>
    <w:p>
      <w:pPr>
        <w:pStyle w:val="Compact"/>
        <w:numPr>
          <w:ilvl w:val="0"/>
          <w:numId w:val="1012"/>
        </w:numPr>
      </w:pPr>
      <w:r>
        <w:rPr>
          <w:b/>
          <w:bCs/>
        </w:rPr>
        <w:t xml:space="preserve">Output formats</w:t>
      </w:r>
      <w:r>
        <w:t xml:space="preserve">: Figures were saved in both SVG (vector) and PNG (300 DPI raster). Intermediate data were saved as CSV.</w:t>
      </w:r>
    </w:p>
    <w:p>
      <w:r>
        <w:pict>
          <v:rect style="width:0;height:1.5pt" o:hralign="center" o:hrstd="t" o:hr="t"/>
        </w:pict>
      </w:r>
    </w:p>
    <w:bookmarkEnd w:id="80"/>
    <w:bookmarkStart w:id="81" w:name="main-text-summary-2"/>
    <w:p>
      <w:pPr>
        <w:pStyle w:val="Heading2"/>
      </w:pPr>
      <w:r>
        <w:t xml:space="preserve">Main Text Summary</w:t>
      </w:r>
    </w:p>
    <w:p>
      <w:pPr>
        <w:pStyle w:val="FirstParagraph"/>
      </w:pPr>
      <w:r>
        <w:t xml:space="preserve">Somatic variants from whole exome sequencing of six rat mammary tumors (three young, three old; matched spleen germline controls) were annotated using Ensembl VEP v114.2 (Rnor_6.0 assembly, cache v104) and filtered for HIGH or MODERATE impact consequences on Ensembl-annotated genes. Mutational signatures were decomposed against COSMIC v3.4 SBS references using SigProfilerAssignment with 96-trinucleotide context on the rn6 genome. For oncoplot visualization, rat genes were mapped to human orthologs via BioMart and filtered against a curated panel of 201 unique cancer-associated genes. When multiple variants affected the same gene in a sample, the highest-impact consequence was retained. Samples were grouped by age and ordered by descending numeric ID within each group.</w:t>
      </w:r>
      <w:r>
        <w:t xml:space="preserve"> </w:t>
      </w:r>
      <w:r>
        <w:t xml:space="preserve"># Computational Methods: Human Single-Cell RNA-seq Analysis (Section 04)</w:t>
      </w:r>
    </w:p>
    <w:bookmarkEnd w:id="81"/>
    <w:bookmarkStart w:id="82" w:name="data-acquisition-3"/>
    <w:p>
      <w:pPr>
        <w:pStyle w:val="Heading2"/>
      </w:pPr>
      <w:r>
        <w:t xml:space="preserve">1. Data Acquisition</w:t>
      </w:r>
    </w:p>
    <w:p>
      <w:pPr>
        <w:pStyle w:val="FirstParagraph"/>
      </w:pPr>
      <w:r>
        <w:t xml:space="preserve">Single-cell RNA-seq data were obtained from two sources. The primary dataset was the Xu et al. 2024 Primary Breast Tumor Atlas, comprising treatment-naive HR+ patients from 9 studies. Raw count matrices (</w:t>
      </w:r>
      <w:r>
        <w:rPr>
          <w:rStyle w:val="VerbatimChar"/>
        </w:rPr>
        <w:t xml:space="preserve">matrix.mtx</w:t>
      </w:r>
      <w:r>
        <w:t xml:space="preserve">), gene annotations (</w:t>
      </w:r>
      <w:r>
        <w:rPr>
          <w:rStyle w:val="VerbatimChar"/>
        </w:rPr>
        <w:t xml:space="preserve">genes.tsv</w:t>
      </w:r>
      <w:r>
        <w:t xml:space="preserve">), cell barcodes (</w:t>
      </w:r>
      <w:r>
        <w:rPr>
          <w:rStyle w:val="VerbatimChar"/>
        </w:rPr>
        <w:t xml:space="preserve">barcodes.tsv</w:t>
      </w:r>
      <w:r>
        <w:t xml:space="preserve">), and per-cell metadata (</w:t>
      </w:r>
      <w:r>
        <w:rPr>
          <w:rStyle w:val="VerbatimChar"/>
        </w:rPr>
        <w:t xml:space="preserve">metadata.csv</w:t>
      </w:r>
      <w:r>
        <w:t xml:space="preserve">) were loaded from a local institutional copy. An earlier version of the pipeline used Wu et al. (2021) data from GEO accession GSE176078 (10 ER+ patients, ~31,000 cells); script</w:t>
      </w:r>
      <w:r>
        <w:t xml:space="preserve"> </w:t>
      </w:r>
      <w:r>
        <w:rPr>
          <w:rStyle w:val="VerbatimChar"/>
        </w:rPr>
        <w:t xml:space="preserve">00a_download_geo.sh</w:t>
      </w:r>
      <w:r>
        <w:t xml:space="preserve"> </w:t>
      </w:r>
      <w:r>
        <w:t xml:space="preserve">downloads this archive via</w:t>
      </w:r>
      <w:r>
        <w:t xml:space="preserve"> </w:t>
      </w:r>
      <w:r>
        <w:rPr>
          <w:rStyle w:val="VerbatimChar"/>
        </w:rPr>
        <w:t xml:space="preserve">wget</w:t>
      </w:r>
      <w:r>
        <w:t xml:space="preserve"> </w:t>
      </w:r>
      <w:r>
        <w:t xml:space="preserve">from</w:t>
      </w:r>
      <w:r>
        <w:t xml:space="preserve"> </w:t>
      </w:r>
      <w:r>
        <w:rPr>
          <w:rStyle w:val="VerbatimChar"/>
        </w:rPr>
        <w:t xml:space="preserve">https://ftp.ncbi.nlm.nih.gov/geo/series/GSE176nnn/GSE176078/suppl/GSE176078_Wu_etal_2021_BRCA_scRNASeq.tar.gz</w:t>
      </w:r>
      <w:r>
        <w:t xml:space="preserve">. The final pipeline used the Xu et al. atlas exclusively.</w:t>
      </w:r>
    </w:p>
    <w:p>
      <w:pPr>
        <w:pStyle w:val="BodyText"/>
      </w:pPr>
      <w:r>
        <w:t xml:space="preserve">From the Xu atlas, cells were filtered to those annotated as</w:t>
      </w:r>
      <w:r>
        <w:t xml:space="preserve"> </w:t>
      </w:r>
      <w:r>
        <w:rPr>
          <w:rStyle w:val="VerbatimChar"/>
        </w:rPr>
        <w:t xml:space="preserve">Clinical_Subtype == "HR+"</w:t>
      </w:r>
      <w:r>
        <w:t xml:space="preserve"> </w:t>
      </w:r>
      <w:r>
        <w:t xml:space="preserve">and</w:t>
      </w:r>
      <w:r>
        <w:t xml:space="preserve"> </w:t>
      </w:r>
      <w:r>
        <w:rPr>
          <w:rStyle w:val="VerbatimChar"/>
        </w:rPr>
        <w:t xml:space="preserve">Treatment_Status == "Naive"</w:t>
      </w:r>
      <w:r>
        <w:t xml:space="preserve">, yielding approximately 36 patients and ~115,000 cells. Patient 0319 was subsequently excluded as ER-low/PR+ only (</w:t>
      </w:r>
      <w:r>
        <w:rPr>
          <w:rStyle w:val="VerbatimChar"/>
        </w:rPr>
        <w:t xml:space="preserve">01_load_subset_data.R</w:t>
      </w:r>
      <w:r>
        <w:t xml:space="preserve">, line 54).</w:t>
      </w:r>
    </w:p>
    <w:bookmarkEnd w:id="82"/>
    <w:bookmarkStart w:id="83" w:name="preprocessing-and-quality-control"/>
    <w:p>
      <w:pPr>
        <w:pStyle w:val="Heading2"/>
      </w:pPr>
      <w:r>
        <w:t xml:space="preserve">2. Preprocessing and Quality Control</w:t>
      </w:r>
    </w:p>
    <w:p>
      <w:pPr>
        <w:pStyle w:val="FirstParagraph"/>
      </w:pPr>
      <w:r>
        <w:t xml:space="preserve">A Seurat (v5.x) object was created from the sparse count matrix using</w:t>
      </w:r>
      <w:r>
        <w:t xml:space="preserve"> </w:t>
      </w:r>
      <w:r>
        <w:rPr>
          <w:rStyle w:val="VerbatimChar"/>
        </w:rPr>
        <w:t xml:space="preserve">CreateSeuratObject()</w:t>
      </w:r>
      <w:r>
        <w:t xml:space="preserve"> </w:t>
      </w:r>
      <w:r>
        <w:t xml:space="preserve">(</w:t>
      </w:r>
      <w:r>
        <w:rPr>
          <w:rStyle w:val="VerbatimChar"/>
        </w:rPr>
        <w:t xml:space="preserve">00b_preprocess_seurat.R</w:t>
      </w:r>
      <w:r>
        <w:t xml:space="preserve">). Gene names were deduplicated via</w:t>
      </w:r>
      <w:r>
        <w:t xml:space="preserve"> </w:t>
      </w:r>
      <w:r>
        <w:rPr>
          <w:rStyle w:val="VerbatimChar"/>
        </w:rPr>
        <w:t xml:space="preserve">make.unique()</w:t>
      </w:r>
      <w:r>
        <w:t xml:space="preserve">. Pre-computed</w:t>
      </w:r>
      <w:r>
        <w:t xml:space="preserve"> </w:t>
      </w:r>
      <w:r>
        <w:rPr>
          <w:rStyle w:val="VerbatimChar"/>
        </w:rPr>
        <w:t xml:space="preserve">nCount_RNA</w:t>
      </w:r>
      <w:r>
        <w:t xml:space="preserve"> </w:t>
      </w:r>
      <w:r>
        <w:t xml:space="preserve">and</w:t>
      </w:r>
      <w:r>
        <w:t xml:space="preserve"> </w:t>
      </w:r>
      <w:r>
        <w:rPr>
          <w:rStyle w:val="VerbatimChar"/>
        </w:rPr>
        <w:t xml:space="preserve">nFeature_RNA</w:t>
      </w:r>
      <w:r>
        <w:t xml:space="preserve"> </w:t>
      </w:r>
      <w:r>
        <w:t xml:space="preserve">values from the atlas metadata were discarded in favor of Seurat-recomputed values from raw integer counts (line 124).</w:t>
      </w:r>
    </w:p>
    <w:p>
      <w:pPr>
        <w:pStyle w:val="BodyText"/>
      </w:pPr>
      <w:r>
        <w:t xml:space="preserve">Quality control filtering applied the following thresholds:</w:t>
      </w:r>
      <w:r>
        <w:t xml:space="preserve"> </w:t>
      </w:r>
      <w:r>
        <w:t xml:space="preserve">- Minimum genes per cell (</w:t>
      </w:r>
      <w:r>
        <w:rPr>
          <w:rStyle w:val="VerbatimChar"/>
        </w:rPr>
        <w:t xml:space="preserve">nFeature_RNA</w:t>
      </w:r>
      <w:r>
        <w:t xml:space="preserve">): 200</w:t>
      </w:r>
      <w:r>
        <w:t xml:space="preserve"> </w:t>
      </w:r>
      <w:r>
        <w:t xml:space="preserve">- Maximum genes per cell (</w:t>
      </w:r>
      <w:r>
        <w:rPr>
          <w:rStyle w:val="VerbatimChar"/>
        </w:rPr>
        <w:t xml:space="preserve">nFeature_RNA</w:t>
      </w:r>
      <w:r>
        <w:t xml:space="preserve">): 6,000</w:t>
      </w:r>
      <w:r>
        <w:t xml:space="preserve"> </w:t>
      </w:r>
      <w:r>
        <w:t xml:space="preserve">- Minimum UMI counts per cell (</w:t>
      </w:r>
      <w:r>
        <w:rPr>
          <w:rStyle w:val="VerbatimChar"/>
        </w:rPr>
        <w:t xml:space="preserve">nCount_RNA</w:t>
      </w:r>
      <w:r>
        <w:t xml:space="preserve">): 400</w:t>
      </w:r>
      <w:r>
        <w:t xml:space="preserve"> </w:t>
      </w:r>
      <w:r>
        <w:t xml:space="preserve">- Maximum mitochondrial gene percentage (</w:t>
      </w:r>
      <w:r>
        <w:rPr>
          <w:rStyle w:val="VerbatimChar"/>
        </w:rPr>
        <w:t xml:space="preserve">percent.mito</w:t>
      </w:r>
      <w:r>
        <w:t xml:space="preserve">): 15%</w:t>
      </w:r>
    </w:p>
    <w:p>
      <w:pPr>
        <w:pStyle w:val="BodyText"/>
      </w:pPr>
      <w:r>
        <w:t xml:space="preserve">Mitochondrial content was computed using</w:t>
      </w:r>
      <w:r>
        <w:t xml:space="preserve"> </w:t>
      </w:r>
      <w:r>
        <w:rPr>
          <w:rStyle w:val="VerbatimChar"/>
        </w:rPr>
        <w:t xml:space="preserve">PercentageFeatureSet()</w:t>
      </w:r>
      <w:r>
        <w:t xml:space="preserve"> </w:t>
      </w:r>
      <w:r>
        <w:t xml:space="preserve">with the pattern</w:t>
      </w:r>
      <w:r>
        <w:t xml:space="preserve"> </w:t>
      </w:r>
      <w:r>
        <w:rPr>
          <w:rStyle w:val="VerbatimChar"/>
        </w:rPr>
        <w:t xml:space="preserve">^MT-</w:t>
      </w:r>
      <w:r>
        <w:t xml:space="preserve">.</w:t>
      </w:r>
    </w:p>
    <w:bookmarkEnd w:id="83"/>
    <w:bookmarkStart w:id="84" w:name="Xf4136d530c92c11e12d9dd9a828088602ec0d2b"/>
    <w:p>
      <w:pPr>
        <w:pStyle w:val="Heading2"/>
      </w:pPr>
      <w:r>
        <w:t xml:space="preserve">3. Normalization and Dimensionality Reduction</w:t>
      </w:r>
    </w:p>
    <w:p>
      <w:pPr>
        <w:pStyle w:val="FirstParagraph"/>
      </w:pPr>
      <w:r>
        <w:t xml:space="preserve">Normalization was performed using SCTransform (</w:t>
      </w:r>
      <w:r>
        <w:rPr>
          <w:rStyle w:val="VerbatimChar"/>
        </w:rPr>
        <w:t xml:space="preserve">SCTransform()</w:t>
      </w:r>
      <w:r>
        <w:t xml:space="preserve">) with the</w:t>
      </w:r>
      <w:r>
        <w:t xml:space="preserve"> </w:t>
      </w:r>
      <w:r>
        <w:rPr>
          <w:rStyle w:val="VerbatimChar"/>
        </w:rPr>
        <w:t xml:space="preserve">glmGamPoi</w:t>
      </w:r>
      <w:r>
        <w:t xml:space="preserve"> </w:t>
      </w:r>
      <w:r>
        <w:t xml:space="preserve">method for computational efficiency on the ~115K-cell dataset (</w:t>
      </w:r>
      <w:r>
        <w:rPr>
          <w:rStyle w:val="VerbatimChar"/>
        </w:rPr>
        <w:t xml:space="preserve">00b_preprocess_seurat.R</w:t>
      </w:r>
      <w:r>
        <w:t xml:space="preserve">, line 170). Principal component analysis (PCA) was computed on the top 30 components (</w:t>
      </w:r>
      <w:r>
        <w:rPr>
          <w:rStyle w:val="VerbatimChar"/>
        </w:rPr>
        <w:t xml:space="preserve">npcs = 30</w:t>
      </w:r>
      <w:r>
        <w:t xml:space="preserve">).</w:t>
      </w:r>
    </w:p>
    <w:p>
      <w:pPr>
        <w:pStyle w:val="BodyText"/>
      </w:pPr>
      <w:r>
        <w:t xml:space="preserve">Batch correction across the 9 contributing studies was performed using Harmony (</w:t>
      </w:r>
      <w:r>
        <w:rPr>
          <w:rStyle w:val="VerbatimChar"/>
        </w:rPr>
        <w:t xml:space="preserve">RunHarmony()</w:t>
      </w:r>
      <w:r>
        <w:t xml:space="preserve">,</w:t>
      </w:r>
      <w:r>
        <w:t xml:space="preserve"> </w:t>
      </w:r>
      <w:r>
        <w:rPr>
          <w:rStyle w:val="VerbatimChar"/>
        </w:rPr>
        <w:t xml:space="preserve">group.by.vars = "Dataset"</w:t>
      </w:r>
      <w:r>
        <w:t xml:space="preserve">,</w:t>
      </w:r>
      <w:r>
        <w:t xml:space="preserve"> </w:t>
      </w:r>
      <w:r>
        <w:rPr>
          <w:rStyle w:val="VerbatimChar"/>
        </w:rPr>
        <w:t xml:space="preserve">assay.use = "SCT"</w:t>
      </w:r>
      <w:r>
        <w:t xml:space="preserve">). UMAP embeddings were computed on the Harmony-corrected space using dimensions 1-30 (</w:t>
      </w:r>
      <w:r>
        <w:rPr>
          <w:rStyle w:val="VerbatimChar"/>
        </w:rPr>
        <w:t xml:space="preserve">RunUMAP()</w:t>
      </w:r>
      <w:r>
        <w:t xml:space="preserve">,</w:t>
      </w:r>
      <w:r>
        <w:t xml:space="preserve"> </w:t>
      </w:r>
      <w:r>
        <w:rPr>
          <w:rStyle w:val="VerbatimChar"/>
        </w:rPr>
        <w:t xml:space="preserve">reduction = "harmony"</w:t>
      </w:r>
      <w:r>
        <w:t xml:space="preserve">,</w:t>
      </w:r>
      <w:r>
        <w:t xml:space="preserve"> </w:t>
      </w:r>
      <w:r>
        <w:rPr>
          <w:rStyle w:val="VerbatimChar"/>
        </w:rPr>
        <w:t xml:space="preserve">dims = 1:30</w:t>
      </w:r>
      <w:r>
        <w:t xml:space="preserve">).</w:t>
      </w:r>
    </w:p>
    <w:p>
      <w:pPr>
        <w:pStyle w:val="BodyText"/>
      </w:pPr>
      <w:r>
        <w:t xml:space="preserve">For downstream analyses requiring log-normalized data (e.g., violin plots, FindMarkers),</w:t>
      </w:r>
      <w:r>
        <w:t xml:space="preserve"> </w:t>
      </w:r>
      <w:r>
        <w:rPr>
          <w:rStyle w:val="VerbatimChar"/>
        </w:rPr>
        <w:t xml:space="preserve">NormalizeData()</w:t>
      </w:r>
      <w:r>
        <w:t xml:space="preserve"> </w:t>
      </w:r>
      <w:r>
        <w:t xml:space="preserve">and</w:t>
      </w:r>
      <w:r>
        <w:t xml:space="preserve"> </w:t>
      </w:r>
      <w:r>
        <w:rPr>
          <w:rStyle w:val="VerbatimChar"/>
        </w:rPr>
        <w:t xml:space="preserve">ScaleData()</w:t>
      </w:r>
      <w:r>
        <w:t xml:space="preserve"> </w:t>
      </w:r>
      <w:r>
        <w:t xml:space="preserve">were run on the RNA assay.</w:t>
      </w:r>
      <w:r>
        <w:t xml:space="preserve"> </w:t>
      </w:r>
      <w:r>
        <w:rPr>
          <w:rStyle w:val="VerbatimChar"/>
        </w:rPr>
        <w:t xml:space="preserve">ScaleData()</w:t>
      </w:r>
      <w:r>
        <w:t xml:space="preserve"> </w:t>
      </w:r>
      <w:r>
        <w:t xml:space="preserve">was applied to variable features plus a curated set of key markers (CCL2, TGFB1, CD163, MRC1, EPCAM, KRT19, CD68, CD3D, MS4A1, PECAM1, CTLA4, PDCD1) rather than all genes, to avoid the ~50 GB memory requirement of a full 59K x 115K scale.data matrix (line 219-230).</w:t>
      </w:r>
    </w:p>
    <w:p>
      <w:pPr>
        <w:pStyle w:val="BodyText"/>
      </w:pPr>
      <w:r>
        <w:t xml:space="preserve">Random seed was set to 12345 in all primary analysis R scripts via</w:t>
      </w:r>
      <w:r>
        <w:t xml:space="preserve"> </w:t>
      </w:r>
      <w:r>
        <w:rPr>
          <w:rStyle w:val="VerbatimChar"/>
        </w:rPr>
        <w:t xml:space="preserve">set.seed(12345)</w:t>
      </w:r>
      <w:r>
        <w:t xml:space="preserve">.</w:t>
      </w:r>
    </w:p>
    <w:bookmarkEnd w:id="84"/>
    <w:bookmarkStart w:id="85" w:name="cell-type-annotation-1"/>
    <w:p>
      <w:pPr>
        <w:pStyle w:val="Heading2"/>
      </w:pPr>
      <w:r>
        <w:t xml:space="preserve">4. Cell Type Annotation</w:t>
      </w:r>
    </w:p>
    <w:p>
      <w:pPr>
        <w:pStyle w:val="FirstParagraph"/>
      </w:pPr>
      <w:r>
        <w:t xml:space="preserve">Cell type labels were transferred directly from the Xu et al. 2024 atlas metadata field</w:t>
      </w:r>
      <w:r>
        <w:t xml:space="preserve"> </w:t>
      </w:r>
      <w:r>
        <w:rPr>
          <w:rStyle w:val="VerbatimChar"/>
        </w:rPr>
        <w:t xml:space="preserve">Cell_Type_Annotation</w:t>
      </w:r>
      <w:r>
        <w:t xml:space="preserve"> </w:t>
      </w:r>
      <w:r>
        <w:t xml:space="preserve">and mapped to pipeline-standard names via a hardcoded dictionary (</w:t>
      </w:r>
      <w:r>
        <w:rPr>
          <w:rStyle w:val="VerbatimChar"/>
        </w:rPr>
        <w:t xml:space="preserve">03_cell_type_annotation.R</w:t>
      </w:r>
      <w:r>
        <w:t xml:space="preserve">, lines 43-62). The mapping included: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Xu Annotation</w:t>
            </w:r>
          </w:p>
        </w:tc>
        <w:tc>
          <w:tcPr/>
          <w:p>
            <w:pPr>
              <w:pStyle w:val="Compact"/>
            </w:pPr>
            <w:r>
              <w:t xml:space="preserve">Pipeline Name</w:t>
            </w:r>
          </w:p>
        </w:tc>
      </w:tr>
      <w:tr>
        <w:tc>
          <w:tcPr/>
          <w:p>
            <w:pPr>
              <w:pStyle w:val="Compact"/>
            </w:pPr>
            <w:r>
              <w:t xml:space="preserve">Cancer Epithelial Cells</w:t>
            </w:r>
          </w:p>
        </w:tc>
        <w:tc>
          <w:tcPr/>
          <w:p>
            <w:pPr>
              <w:pStyle w:val="Compact"/>
            </w:pPr>
            <w:r>
              <w:t xml:space="preserve">CancerEpithelial</w:t>
            </w:r>
          </w:p>
        </w:tc>
      </w:tr>
      <w:tr>
        <w:tc>
          <w:tcPr/>
          <w:p>
            <w:pPr>
              <w:pStyle w:val="Compact"/>
            </w:pPr>
            <w:r>
              <w:t xml:space="preserve">CD4+ T Cells</w:t>
            </w:r>
          </w:p>
        </w:tc>
        <w:tc>
          <w:tcPr/>
          <w:p>
            <w:pPr>
              <w:pStyle w:val="Compact"/>
            </w:pPr>
            <w:r>
              <w:t xml:space="preserve">TcellsCD4</w:t>
            </w:r>
          </w:p>
        </w:tc>
      </w:tr>
      <w:tr>
        <w:tc>
          <w:tcPr/>
          <w:p>
            <w:pPr>
              <w:pStyle w:val="Compact"/>
            </w:pPr>
            <w:r>
              <w:t xml:space="preserve">CD8+ T Cells</w:t>
            </w:r>
          </w:p>
        </w:tc>
        <w:tc>
          <w:tcPr/>
          <w:p>
            <w:pPr>
              <w:pStyle w:val="Compact"/>
            </w:pPr>
            <w:r>
              <w:t xml:space="preserve">TcellsCD8</w:t>
            </w:r>
          </w:p>
        </w:tc>
      </w:tr>
      <w:tr>
        <w:tc>
          <w:tcPr/>
          <w:p>
            <w:pPr>
              <w:pStyle w:val="Compact"/>
            </w:pPr>
            <w:r>
              <w:t xml:space="preserve">Regulatory T Cells</w:t>
            </w:r>
          </w:p>
        </w:tc>
        <w:tc>
          <w:tcPr/>
          <w:p>
            <w:pPr>
              <w:pStyle w:val="Compact"/>
            </w:pPr>
            <w:r>
              <w:t xml:space="preserve">Tregs</w:t>
            </w:r>
          </w:p>
        </w:tc>
      </w:tr>
      <w:tr>
        <w:tc>
          <w:tcPr/>
          <w:p>
            <w:pPr>
              <w:pStyle w:val="Compact"/>
            </w:pPr>
            <w:r>
              <w:t xml:space="preserve">NK Cells</w:t>
            </w:r>
          </w:p>
        </w:tc>
        <w:tc>
          <w:tcPr/>
          <w:p>
            <w:pPr>
              <w:pStyle w:val="Compact"/>
            </w:pPr>
            <w:r>
              <w:t xml:space="preserve">NKcells</w:t>
            </w:r>
          </w:p>
        </w:tc>
      </w:tr>
      <w:tr>
        <w:tc>
          <w:tcPr/>
          <w:p>
            <w:pPr>
              <w:pStyle w:val="Compact"/>
            </w:pPr>
            <w:r>
              <w:t xml:space="preserve">B Cells</w:t>
            </w:r>
          </w:p>
        </w:tc>
        <w:tc>
          <w:tcPr/>
          <w:p>
            <w:pPr>
              <w:pStyle w:val="Compact"/>
            </w:pPr>
            <w:r>
              <w:t xml:space="preserve">Bcells</w:t>
            </w:r>
          </w:p>
        </w:tc>
      </w:tr>
      <w:tr>
        <w:tc>
          <w:tcPr/>
          <w:p>
            <w:pPr>
              <w:pStyle w:val="Compact"/>
            </w:pPr>
            <w:r>
              <w:t xml:space="preserve">Plasma Cells</w:t>
            </w:r>
          </w:p>
        </w:tc>
        <w:tc>
          <w:tcPr/>
          <w:p>
            <w:pPr>
              <w:pStyle w:val="Compact"/>
            </w:pPr>
            <w:r>
              <w:t xml:space="preserve">Plasmablasts</w:t>
            </w:r>
          </w:p>
        </w:tc>
      </w:tr>
      <w:tr>
        <w:tc>
          <w:tcPr/>
          <w:p>
            <w:pPr>
              <w:pStyle w:val="Compact"/>
            </w:pPr>
            <w:r>
              <w:t xml:space="preserve">Macrophages</w:t>
            </w:r>
          </w:p>
        </w:tc>
        <w:tc>
          <w:tcPr/>
          <w:p>
            <w:pPr>
              <w:pStyle w:val="Compact"/>
            </w:pPr>
            <w:r>
              <w:t xml:space="preserve">Macrophage</w:t>
            </w:r>
          </w:p>
        </w:tc>
      </w:tr>
      <w:tr>
        <w:tc>
          <w:tcPr/>
          <w:p>
            <w:pPr>
              <w:pStyle w:val="Compact"/>
            </w:pPr>
            <w:r>
              <w:t xml:space="preserve">Monocytes</w:t>
            </w:r>
          </w:p>
        </w:tc>
        <w:tc>
          <w:tcPr/>
          <w:p>
            <w:pPr>
              <w:pStyle w:val="Compact"/>
            </w:pPr>
            <w:r>
              <w:t xml:space="preserve">Monocyte</w:t>
            </w:r>
          </w:p>
        </w:tc>
      </w:tr>
      <w:tr>
        <w:tc>
          <w:tcPr/>
          <w:p>
            <w:pPr>
              <w:pStyle w:val="Compact"/>
            </w:pPr>
            <w:r>
              <w:t xml:space="preserve">Dendritic Cells</w:t>
            </w:r>
          </w:p>
        </w:tc>
        <w:tc>
          <w:tcPr/>
          <w:p>
            <w:pPr>
              <w:pStyle w:val="Compact"/>
            </w:pPr>
            <w:r>
              <w:t xml:space="preserve">DCs</w:t>
            </w:r>
          </w:p>
        </w:tc>
      </w:tr>
      <w:tr>
        <w:tc>
          <w:tcPr/>
          <w:p>
            <w:pPr>
              <w:pStyle w:val="Compact"/>
            </w:pPr>
            <w:r>
              <w:t xml:space="preserve">Fibroblasts</w:t>
            </w:r>
          </w:p>
        </w:tc>
        <w:tc>
          <w:tcPr/>
          <w:p>
            <w:pPr>
              <w:pStyle w:val="Compact"/>
            </w:pPr>
            <w:r>
              <w:t xml:space="preserve">CAFs</w:t>
            </w:r>
          </w:p>
        </w:tc>
      </w:tr>
      <w:tr>
        <w:tc>
          <w:tcPr/>
          <w:p>
            <w:pPr>
              <w:pStyle w:val="Compact"/>
            </w:pPr>
            <w:r>
              <w:t xml:space="preserve">Endothelial Cells</w:t>
            </w:r>
          </w:p>
        </w:tc>
        <w:tc>
          <w:tcPr/>
          <w:p>
            <w:pPr>
              <w:pStyle w:val="Compact"/>
            </w:pPr>
            <w:r>
              <w:t xml:space="preserve">Endothelial</w:t>
            </w:r>
          </w:p>
        </w:tc>
      </w:tr>
      <w:tr>
        <w:tc>
          <w:tcPr/>
          <w:p>
            <w:pPr>
              <w:pStyle w:val="Compact"/>
            </w:pPr>
            <w:r>
              <w:t xml:space="preserve">Perivascular-like (PVL) Cells</w:t>
            </w:r>
          </w:p>
        </w:tc>
        <w:tc>
          <w:tcPr/>
          <w:p>
            <w:pPr>
              <w:pStyle w:val="Compact"/>
            </w:pPr>
            <w:r>
              <w:t xml:space="preserve">PVL</w:t>
            </w:r>
          </w:p>
        </w:tc>
      </w:tr>
      <w:tr>
        <w:tc>
          <w:tcPr/>
          <w:p>
            <w:pPr>
              <w:pStyle w:val="Compact"/>
            </w:pPr>
            <w:r>
              <w:t xml:space="preserve">Epithelial Cells</w:t>
            </w:r>
          </w:p>
        </w:tc>
        <w:tc>
          <w:tcPr/>
          <w:p>
            <w:pPr>
              <w:pStyle w:val="Compact"/>
            </w:pPr>
            <w:r>
              <w:t xml:space="preserve">NormalEpithelial</w:t>
            </w:r>
          </w:p>
        </w:tc>
      </w:tr>
      <w:tr>
        <w:tc>
          <w:tcPr/>
          <w:p>
            <w:pPr>
              <w:pStyle w:val="Compact"/>
            </w:pPr>
            <w:r>
              <w:t xml:space="preserve">Myoepithelial Cells</w:t>
            </w:r>
          </w:p>
        </w:tc>
        <w:tc>
          <w:tcPr/>
          <w:p>
            <w:pPr>
              <w:pStyle w:val="Compact"/>
            </w:pPr>
            <w:r>
              <w:t xml:space="preserve">Myoepithelial</w:t>
            </w:r>
          </w:p>
        </w:tc>
      </w:tr>
      <w:tr>
        <w:tc>
          <w:tcPr/>
          <w:p>
            <w:pPr>
              <w:pStyle w:val="Compact"/>
            </w:pPr>
            <w:r>
              <w:t xml:space="preserve">MDSCs</w:t>
            </w:r>
          </w:p>
        </w:tc>
        <w:tc>
          <w:tcPr/>
          <w:p>
            <w:pPr>
              <w:pStyle w:val="Compact"/>
            </w:pPr>
            <w:r>
              <w:t xml:space="preserve">MDSCs</w:t>
            </w:r>
          </w:p>
        </w:tc>
      </w:tr>
      <w:tr>
        <w:tc>
          <w:tcPr/>
          <w:p>
            <w:pPr>
              <w:pStyle w:val="Compact"/>
            </w:pPr>
            <w:r>
              <w:t xml:space="preserve">Mast Cells</w:t>
            </w:r>
          </w:p>
        </w:tc>
        <w:tc>
          <w:tcPr/>
          <w:p>
            <w:pPr>
              <w:pStyle w:val="Compact"/>
            </w:pPr>
            <w:r>
              <w:t xml:space="preserve">MastCells</w:t>
            </w:r>
          </w:p>
        </w:tc>
      </w:tr>
      <w:tr>
        <w:tc>
          <w:tcPr/>
          <w:p>
            <w:pPr>
              <w:pStyle w:val="Compact"/>
            </w:pPr>
            <w:r>
              <w:t xml:space="preserve">Neutrophils</w:t>
            </w:r>
          </w:p>
        </w:tc>
        <w:tc>
          <w:tcPr/>
          <w:p>
            <w:pPr>
              <w:pStyle w:val="Compact"/>
            </w:pPr>
            <w:r>
              <w:t xml:space="preserve">Neutrophils</w:t>
            </w:r>
          </w:p>
        </w:tc>
      </w:tr>
    </w:tbl>
    <w:p>
      <w:pPr>
        <w:pStyle w:val="BodyText"/>
      </w:pPr>
      <w:r>
        <w:t xml:space="preserve">Unmapped cell types were labeled</w:t>
      </w:r>
      <w:r>
        <w:t xml:space="preserve"> </w:t>
      </w:r>
      <w:r>
        <w:t xml:space="preserve">“Unknown”</w:t>
      </w:r>
      <w:r>
        <w:t xml:space="preserve">. No de novo clustering or marker-based annotation was performed; the atlas-provided labels were used as given.</w:t>
      </w:r>
    </w:p>
    <w:bookmarkEnd w:id="85"/>
    <w:bookmarkStart w:id="86" w:name="age-group-assignment"/>
    <w:p>
      <w:pPr>
        <w:pStyle w:val="Heading2"/>
      </w:pPr>
      <w:r>
        <w:t xml:space="preserve">5. Age Group Assignment</w:t>
      </w:r>
    </w:p>
    <w:p>
      <w:pPr>
        <w:pStyle w:val="FirstParagraph"/>
      </w:pPr>
      <w:r>
        <w:t xml:space="preserve">Patients were assigned to three age groups based on parsed ages from metadata (</w:t>
      </w:r>
      <w:r>
        <w:rPr>
          <w:rStyle w:val="VerbatimChar"/>
        </w:rPr>
        <w:t xml:space="preserve">01_load_subset_data.R</w:t>
      </w:r>
      <w:r>
        <w:t xml:space="preserve">):</w:t>
      </w:r>
      <w:r>
        <w:t xml:space="preserve"> </w:t>
      </w:r>
      <w:r>
        <w:t xml:space="preserve">-</w:t>
      </w:r>
      <w:r>
        <w:t xml:space="preserve"> </w:t>
      </w:r>
      <w:r>
        <w:rPr>
          <w:b/>
          <w:bCs/>
        </w:rPr>
        <w:t xml:space="preserve">Young</w:t>
      </w:r>
      <w:r>
        <w:t xml:space="preserve">: age &lt;= 50</w:t>
      </w:r>
      <w:r>
        <w:t xml:space="preserve"> </w:t>
      </w:r>
      <w:r>
        <w:t xml:space="preserve">-</w:t>
      </w:r>
      <w:r>
        <w:t xml:space="preserve"> </w:t>
      </w:r>
      <w:r>
        <w:rPr>
          <w:b/>
          <w:bCs/>
        </w:rPr>
        <w:t xml:space="preserve">MidAge</w:t>
      </w:r>
      <w:r>
        <w:t xml:space="preserve">: 51-80</w:t>
      </w:r>
      <w:r>
        <w:t xml:space="preserve"> </w:t>
      </w:r>
      <w:r>
        <w:t xml:space="preserve">-</w:t>
      </w:r>
      <w:r>
        <w:t xml:space="preserve"> </w:t>
      </w:r>
      <w:r>
        <w:rPr>
          <w:b/>
          <w:bCs/>
        </w:rPr>
        <w:t xml:space="preserve">Elderly</w:t>
      </w:r>
      <w:r>
        <w:t xml:space="preserve">: &gt; 80</w:t>
      </w:r>
    </w:p>
    <w:p>
      <w:pPr>
        <w:pStyle w:val="BodyText"/>
      </w:pPr>
      <w:r>
        <w:t xml:space="preserve">Age strings in range format (e.g.,</w:t>
      </w:r>
      <w:r>
        <w:t xml:space="preserve"> </w:t>
      </w:r>
      <w:r>
        <w:t xml:space="preserve">“60-65”</w:t>
      </w:r>
      <w:r>
        <w:t xml:space="preserve">) were converted to midpoints. Cells with unparseable or missing ages were excluded.</w:t>
      </w:r>
    </w:p>
    <w:bookmarkEnd w:id="86"/>
    <w:bookmarkStart w:id="87" w:name="cell-type-fraction-analysis"/>
    <w:p>
      <w:pPr>
        <w:pStyle w:val="Heading2"/>
      </w:pPr>
      <w:r>
        <w:t xml:space="preserve">6. Cell Type Fraction Analysis</w:t>
      </w:r>
    </w:p>
    <w:p>
      <w:pPr>
        <w:pStyle w:val="FirstParagraph"/>
      </w:pPr>
      <w:r>
        <w:t xml:space="preserve">Per-patient cell type proportions were computed by dividing cell counts per type by total cells per patient (</w:t>
      </w:r>
      <w:r>
        <w:rPr>
          <w:rStyle w:val="VerbatimChar"/>
        </w:rPr>
        <w:t xml:space="preserve">04_cell_fractions.R</w:t>
      </w:r>
      <w:r>
        <w:t xml:space="preserve">). Statistical comparison of Young vs Elderly fractions used the Wilcoxon rank-sum test (</w:t>
      </w:r>
      <w:r>
        <w:rPr>
          <w:rStyle w:val="VerbatimChar"/>
        </w:rPr>
        <w:t xml:space="preserve">wilcox.test()</w:t>
      </w:r>
      <w:r>
        <w:t xml:space="preserve">,</w:t>
      </w:r>
      <w:r>
        <w:t xml:space="preserve"> </w:t>
      </w:r>
      <w:r>
        <w:rPr>
          <w:rStyle w:val="VerbatimChar"/>
        </w:rPr>
        <w:t xml:space="preserve">exact = FALSE</w:t>
      </w:r>
      <w:r>
        <w:t xml:space="preserve">) for each cell type independently. P-values were adjusted across all cell types using the Benjamini-Hochberg (BH) FDR method (</w:t>
      </w:r>
      <w:r>
        <w:rPr>
          <w:rStyle w:val="VerbatimChar"/>
        </w:rPr>
        <w:t xml:space="preserve">p.adjust()</w:t>
      </w:r>
      <w:r>
        <w:t xml:space="preserve">,</w:t>
      </w:r>
      <w:r>
        <w:t xml:space="preserve"> </w:t>
      </w:r>
      <w:r>
        <w:rPr>
          <w:rStyle w:val="VerbatimChar"/>
        </w:rPr>
        <w:t xml:space="preserve">method = "BH"</w:t>
      </w:r>
      <w:r>
        <w:t xml:space="preserve">). Significance was determined at FDR &lt; 0.05.</w:t>
      </w:r>
    </w:p>
    <w:bookmarkEnd w:id="87"/>
    <w:bookmarkStart w:id="88" w:name="gene-expression-violin-plots"/>
    <w:p>
      <w:pPr>
        <w:pStyle w:val="Heading2"/>
      </w:pPr>
      <w:r>
        <w:t xml:space="preserve">7. Gene Expression Violin Plots</w:t>
      </w:r>
    </w:p>
    <w:p>
      <w:pPr>
        <w:pStyle w:val="FirstParagraph"/>
      </w:pPr>
      <w:r>
        <w:t xml:space="preserve">Violin plots were generated per cell type across age groups for five gene sets (</w:t>
      </w:r>
      <w:r>
        <w:rPr>
          <w:rStyle w:val="VerbatimChar"/>
        </w:rPr>
        <w:t xml:space="preserve">05_gene_expression_violin.R</w:t>
      </w:r>
      <w:r>
        <w:t xml:space="preserve">):</w:t>
      </w:r>
      <w:r>
        <w:t xml:space="preserve"> </w:t>
      </w:r>
      <w:r>
        <w:t xml:space="preserve">1.</w:t>
      </w:r>
      <w:r>
        <w:t xml:space="preserve"> </w:t>
      </w:r>
      <w:r>
        <w:rPr>
          <w:b/>
          <w:bCs/>
        </w:rPr>
        <w:t xml:space="preserve">Immune checkpoint genes</w:t>
      </w:r>
      <w:r>
        <w:t xml:space="preserve">: CTLA4, PDCD1, PDCD1LG2, CD274, LAG3, HAVCR2 (plotted from log-normalized</w:t>
      </w:r>
      <w:r>
        <w:t xml:space="preserve"> </w:t>
      </w:r>
      <w:r>
        <w:rPr>
          <w:rStyle w:val="VerbatimChar"/>
        </w:rPr>
        <w:t xml:space="preserve">data</w:t>
      </w:r>
      <w:r>
        <w:t xml:space="preserve"> </w:t>
      </w:r>
      <w:r>
        <w:t xml:space="preserve">slot)</w:t>
      </w:r>
      <w:r>
        <w:t xml:space="preserve"> </w:t>
      </w:r>
      <w:r>
        <w:t xml:space="preserve">2.</w:t>
      </w:r>
      <w:r>
        <w:t xml:space="preserve"> </w:t>
      </w:r>
      <w:r>
        <w:rPr>
          <w:b/>
          <w:bCs/>
        </w:rPr>
        <w:t xml:space="preserve">M2 macrophage markers</w:t>
      </w:r>
      <w:r>
        <w:t xml:space="preserve">: CCL2, CCL3, CCL4, TNF, TGFB1, CD163, MRC1 (plotted from z-scored</w:t>
      </w:r>
      <w:r>
        <w:t xml:space="preserve"> </w:t>
      </w:r>
      <w:r>
        <w:rPr>
          <w:rStyle w:val="VerbatimChar"/>
        </w:rPr>
        <w:t xml:space="preserve">scale.data</w:t>
      </w:r>
      <w:r>
        <w:t xml:space="preserve"> </w:t>
      </w:r>
      <w:r>
        <w:t xml:space="preserve">slot)</w:t>
      </w:r>
      <w:r>
        <w:t xml:space="preserve"> </w:t>
      </w:r>
      <w:r>
        <w:t xml:space="preserve">3.</w:t>
      </w:r>
      <w:r>
        <w:t xml:space="preserve"> </w:t>
      </w:r>
      <w:r>
        <w:rPr>
          <w:b/>
          <w:bCs/>
        </w:rPr>
        <w:t xml:space="preserve">CellPhoneDB interaction genes</w:t>
      </w:r>
      <w:r>
        <w:t xml:space="preserve">: CCR1, CCR3, CCR4, CD74, APP, CXCL10, DPP4, EGFR, AGER, GPR75, CCL5, IL2RG, IL15, S100A11 (log-normalized)</w:t>
      </w:r>
      <w:r>
        <w:t xml:space="preserve"> </w:t>
      </w:r>
      <w:r>
        <w:t xml:space="preserve">4.</w:t>
      </w:r>
      <w:r>
        <w:t xml:space="preserve"> </w:t>
      </w:r>
      <w:r>
        <w:rPr>
          <w:b/>
          <w:bCs/>
        </w:rPr>
        <w:t xml:space="preserve">Cytokines/chemokines</w:t>
      </w:r>
      <w:r>
        <w:t xml:space="preserve">: 28 genes including IL1A, IL1B, IL6, CXCL8, IL10, IFNG, CXCL1-3, and others (log-normalized)</w:t>
      </w:r>
      <w:r>
        <w:t xml:space="preserve"> </w:t>
      </w:r>
      <w:r>
        <w:t xml:space="preserve">5.</w:t>
      </w:r>
      <w:r>
        <w:t xml:space="preserve"> </w:t>
      </w:r>
      <w:r>
        <w:rPr>
          <w:b/>
          <w:bCs/>
        </w:rPr>
        <w:t xml:space="preserve">Hedgehog pathway genes</w:t>
      </w:r>
      <w:r>
        <w:t xml:space="preserve">: SHH, KLF4, GLI1, KIF7, SMO (log-normalized, grouped by cell type rather than age)</w:t>
      </w:r>
    </w:p>
    <w:p>
      <w:pPr>
        <w:pStyle w:val="BodyText"/>
      </w:pPr>
      <w:r>
        <w:t xml:space="preserve">A</w:t>
      </w:r>
      <w:r>
        <w:t xml:space="preserve"> </w:t>
      </w:r>
      <w:r>
        <w:rPr>
          <w:rStyle w:val="VerbatimChar"/>
        </w:rPr>
        <w:t xml:space="preserve">safe_vlnplot()</w:t>
      </w:r>
      <w:r>
        <w:t xml:space="preserve"> </w:t>
      </w:r>
      <w:r>
        <w:t xml:space="preserve">wrapper function was used to handle plot combination using</w:t>
      </w:r>
      <w:r>
        <w:t xml:space="preserve"> </w:t>
      </w:r>
      <w:r>
        <w:rPr>
          <w:rStyle w:val="VerbatimChar"/>
        </w:rPr>
        <w:t xml:space="preserve">wrap_plots()</w:t>
      </w:r>
      <w:r>
        <w:t xml:space="preserve">. Cell types with fewer than 10 cells were skipped. M2 markers were additionally plotted per patient (CaseID), with patients ordered by ascending age.</w:t>
      </w:r>
    </w:p>
    <w:bookmarkEnd w:id="88"/>
    <w:bookmarkStart w:id="89" w:name="gsva-pathway-analysis"/>
    <w:p>
      <w:pPr>
        <w:pStyle w:val="Heading2"/>
      </w:pPr>
      <w:r>
        <w:t xml:space="preserve">8. GSVA Pathway Analysis</w:t>
      </w:r>
    </w:p>
    <w:p>
      <w:pPr>
        <w:pStyle w:val="FirstParagraph"/>
      </w:pPr>
      <w:r>
        <w:t xml:space="preserve">Gene Set Variation Analysis (GSVA) was performed using pseudo-bulk aggregation (</w:t>
      </w:r>
      <w:r>
        <w:rPr>
          <w:rStyle w:val="VerbatimChar"/>
        </w:rPr>
        <w:t xml:space="preserve">06_run_gsva.R</w:t>
      </w:r>
      <w:r>
        <w:t xml:space="preserve">):</w:t>
      </w:r>
    </w:p>
    <w:p>
      <w:pPr>
        <w:pStyle w:val="BodyText"/>
      </w:pPr>
      <w:r>
        <w:rPr>
          <w:b/>
          <w:bCs/>
        </w:rPr>
        <w:t xml:space="preserve">Gene sets:</w:t>
      </w:r>
      <w:r>
        <w:t xml:space="preserve"> </w:t>
      </w:r>
      <w:r>
        <w:t xml:space="preserve">Estrogen-related pathways were assembled from MSigDB via the</w:t>
      </w:r>
      <w:r>
        <w:t xml:space="preserve"> </w:t>
      </w:r>
      <w:r>
        <w:rPr>
          <w:rStyle w:val="VerbatimChar"/>
        </w:rPr>
        <w:t xml:space="preserve">msigdbr</w:t>
      </w:r>
      <w:r>
        <w:t xml:space="preserve"> </w:t>
      </w:r>
      <w:r>
        <w:t xml:space="preserve">package (species =</w:t>
      </w:r>
      <w:r>
        <w:t xml:space="preserve"> </w:t>
      </w:r>
      <w:r>
        <w:t xml:space="preserve">“Homo sapiens”</w:t>
      </w:r>
      <w:r>
        <w:t xml:space="preserve">), spanning four collections:</w:t>
      </w:r>
      <w:r>
        <w:t xml:space="preserve"> </w:t>
      </w:r>
      <w:r>
        <w:t xml:space="preserve">- Hallmark: ESTROGEN_RESPONSE_EARLY, ESTROGEN_RESPONSE_LATE</w:t>
      </w:r>
      <w:r>
        <w:t xml:space="preserve"> </w:t>
      </w:r>
      <w:r>
        <w:t xml:space="preserve">- WikiPathways: ESTROGEN_METABOLISM_WP697, WP5276, ESTROGEN_SIGNALING</w:t>
      </w:r>
      <w:r>
        <w:t xml:space="preserve"> </w:t>
      </w:r>
      <w:r>
        <w:t xml:space="preserve">- Reactome: 6 estrogen-related sets (biosynthesis, dependent gene expression, dependent nuclear events, stimulated signaling PRKCZ, extra-nuclear signaling, RUNX1-regulated ER transcription)</w:t>
      </w:r>
      <w:r>
        <w:t xml:space="preserve"> </w:t>
      </w:r>
      <w:r>
        <w:t xml:space="preserve">- GO Biological Process: RESPONSE_TO_ESTROGEN, ESTROGEN_RECEPTOR_SIGNALING_PATHWAY, POSITIVE_REGULATION_OF_INTRACELLULAR_ESTROGEN, CELLULAR_RESPONSE_TO_ESTROGEN_STIMULUS</w:t>
      </w:r>
      <w:r>
        <w:t xml:space="preserve"> </w:t>
      </w:r>
      <w:r>
        <w:t xml:space="preserve">- LI EstroGene early/late E2 response up (loaded from local GMT files)</w:t>
      </w:r>
    </w:p>
    <w:p>
      <w:pPr>
        <w:pStyle w:val="BodyText"/>
      </w:pPr>
      <w:r>
        <w:rPr>
          <w:b/>
          <w:bCs/>
        </w:rPr>
        <w:t xml:space="preserve">Pseudo-bulk mode (executed):</w:t>
      </w:r>
      <w:r>
        <w:t xml:space="preserve"> </w:t>
      </w:r>
      <w:r>
        <w:t xml:space="preserve">Raw counts were aggregated per patient via</w:t>
      </w:r>
      <w:r>
        <w:t xml:space="preserve"> </w:t>
      </w:r>
      <w:r>
        <w:rPr>
          <w:rStyle w:val="VerbatimChar"/>
        </w:rPr>
        <w:t xml:space="preserve">rowSums()</w:t>
      </w:r>
      <w:r>
        <w:t xml:space="preserve">, converted to CPM, and log2-transformed (</w:t>
      </w:r>
      <w:r>
        <w:rPr>
          <w:rStyle w:val="VerbatimChar"/>
        </w:rPr>
        <w:t xml:space="preserve">log2(CPM + 1)</w:t>
      </w:r>
      <w:r>
        <w:t xml:space="preserve">). GSVA was run with</w:t>
      </w:r>
      <w:r>
        <w:t xml:space="preserve"> </w:t>
      </w:r>
      <w:r>
        <w:rPr>
          <w:rStyle w:val="VerbatimChar"/>
        </w:rPr>
        <w:t xml:space="preserve">gsvaParam()</w:t>
      </w:r>
      <w:r>
        <w:t xml:space="preserve"> </w:t>
      </w:r>
      <w:r>
        <w:t xml:space="preserve">using</w:t>
      </w:r>
      <w:r>
        <w:t xml:space="preserve"> </w:t>
      </w:r>
      <w:r>
        <w:rPr>
          <w:rStyle w:val="VerbatimChar"/>
        </w:rPr>
        <w:t xml:space="preserve">kcdf = "Gaussian"</w:t>
      </w:r>
      <w:r>
        <w:t xml:space="preserve"> </w:t>
      </w:r>
      <w:r>
        <w:t xml:space="preserve">and</w:t>
      </w:r>
      <w:r>
        <w:t xml:space="preserve"> </w:t>
      </w:r>
      <w:r>
        <w:rPr>
          <w:rStyle w:val="VerbatimChar"/>
        </w:rPr>
        <w:t xml:space="preserve">maxDiff = TRUE</w:t>
      </w:r>
      <w:r>
        <w:t xml:space="preserve">. Only pseudobulk mode was executed in the production pipeline; a single-cell mode was implemented in the script but not run because memory requirements exceeded 256 GB (</w:t>
      </w:r>
      <w:r>
        <w:rPr>
          <w:rStyle w:val="VerbatimChar"/>
        </w:rPr>
        <w:t xml:space="preserve">run_analysis.sbatch</w:t>
      </w:r>
      <w:r>
        <w:t xml:space="preserve"> </w:t>
      </w:r>
      <w:r>
        <w:t xml:space="preserve">passes</w:t>
      </w:r>
      <w:r>
        <w:t xml:space="preserve"> </w:t>
      </w:r>
      <w:r>
        <w:rPr>
          <w:rStyle w:val="VerbatimChar"/>
        </w:rPr>
        <w:t xml:space="preserve">--mode=pseudobulk</w:t>
      </w:r>
      <w:r>
        <w:t xml:space="preserve">).</w:t>
      </w:r>
    </w:p>
    <w:p>
      <w:pPr>
        <w:pStyle w:val="BodyText"/>
      </w:pPr>
      <w:r>
        <w:t xml:space="preserve">Pathway activity was stratified by HSD17B7 expression status (median split into HSD17B7+ and HSD17B7- groups). Heatmaps were generated using ComplexHeatmap with a diverging blue-white-red color scale, clipped to [-4, 4] then dynamically rescaled to the resulting data range.</w:t>
      </w:r>
    </w:p>
    <w:bookmarkEnd w:id="89"/>
    <w:bookmarkStart w:id="90" w:name="progeny-pathway-activity-1"/>
    <w:p>
      <w:pPr>
        <w:pStyle w:val="Heading2"/>
      </w:pPr>
      <w:r>
        <w:t xml:space="preserve">9. PROGENy Pathway Activity</w:t>
      </w:r>
    </w:p>
    <w:p>
      <w:pPr>
        <w:pStyle w:val="FirstParagraph"/>
      </w:pPr>
      <w:r>
        <w:t xml:space="preserve">PROGENy pathway activity scores were computed on pseudo-bulk profiles (</w:t>
      </w:r>
      <w:r>
        <w:rPr>
          <w:rStyle w:val="VerbatimChar"/>
        </w:rPr>
        <w:t xml:space="preserve">07_run_progeny.R</w:t>
      </w:r>
      <w:r>
        <w:t xml:space="preserve">). Per-patient pseudo-bulk was created by averaging log-normalized expression across cells per patient (</w:t>
      </w:r>
      <w:r>
        <w:rPr>
          <w:rStyle w:val="VerbatimChar"/>
        </w:rPr>
        <w:t xml:space="preserve">rowMeans()</w:t>
      </w:r>
      <w:r>
        <w:t xml:space="preserve"> </w:t>
      </w:r>
      <w:r>
        <w:t xml:space="preserve">of the</w:t>
      </w:r>
      <w:r>
        <w:t xml:space="preserve"> </w:t>
      </w:r>
      <w:r>
        <w:rPr>
          <w:rStyle w:val="VerbatimChar"/>
        </w:rPr>
        <w:t xml:space="preserve">data</w:t>
      </w:r>
      <w:r>
        <w:t xml:space="preserve"> </w:t>
      </w:r>
      <w:r>
        <w:t xml:space="preserve">slot). PROGENy was run with</w:t>
      </w:r>
      <w:r>
        <w:t xml:space="preserve"> </w:t>
      </w:r>
      <w:r>
        <w:rPr>
          <w:rStyle w:val="VerbatimChar"/>
        </w:rPr>
        <w:t xml:space="preserve">top = 100</w:t>
      </w:r>
      <w:r>
        <w:t xml:space="preserve"> </w:t>
      </w:r>
      <w:r>
        <w:t xml:space="preserve">footprint genes per pathway,</w:t>
      </w:r>
      <w:r>
        <w:t xml:space="preserve"> </w:t>
      </w:r>
      <w:r>
        <w:rPr>
          <w:rStyle w:val="VerbatimChar"/>
        </w:rPr>
        <w:t xml:space="preserve">perm = 1000</w:t>
      </w:r>
      <w:r>
        <w:t xml:space="preserve"> </w:t>
      </w:r>
      <w:r>
        <w:t xml:space="preserve">permutations,</w:t>
      </w:r>
      <w:r>
        <w:t xml:space="preserve"> </w:t>
      </w:r>
      <w:r>
        <w:rPr>
          <w:rStyle w:val="VerbatimChar"/>
        </w:rPr>
        <w:t xml:space="preserve">scale = FALSE</w:t>
      </w:r>
      <w:r>
        <w:t xml:space="preserve">, and</w:t>
      </w:r>
      <w:r>
        <w:t xml:space="preserve"> </w:t>
      </w:r>
      <w:r>
        <w:rPr>
          <w:rStyle w:val="VerbatimChar"/>
        </w:rPr>
        <w:t xml:space="preserve">organism = "Human"</w:t>
      </w:r>
      <w:r>
        <w:t xml:space="preserve">. Heatmaps were annotated by age group and visualized with</w:t>
      </w:r>
      <w:r>
        <w:t xml:space="preserve"> </w:t>
      </w:r>
      <w:r>
        <w:rPr>
          <w:rStyle w:val="VerbatimChar"/>
        </w:rPr>
        <w:t xml:space="preserve">pheatmap()</w:t>
      </w:r>
      <w:r>
        <w:t xml:space="preserve"> </w:t>
      </w:r>
      <w:r>
        <w:t xml:space="preserve">using column-wise z-scoring (</w:t>
      </w:r>
      <w:r>
        <w:rPr>
          <w:rStyle w:val="VerbatimChar"/>
        </w:rPr>
        <w:t xml:space="preserve">scale = "column"</w:t>
      </w:r>
      <w:r>
        <w:t xml:space="preserve">).</w:t>
      </w:r>
    </w:p>
    <w:bookmarkEnd w:id="90"/>
    <w:bookmarkStart w:id="91" w:name="wcsea-pathway-analysis"/>
    <w:p>
      <w:pPr>
        <w:pStyle w:val="Heading2"/>
      </w:pPr>
      <w:r>
        <w:t xml:space="preserve">10. WCSEA Pathway Analysis</w:t>
      </w:r>
    </w:p>
    <w:p>
      <w:pPr>
        <w:pStyle w:val="FirstParagraph"/>
      </w:pPr>
      <w:r>
        <w:t xml:space="preserve">Weighted Concept Signature Enrichment Analysis (WCSEA) was attempted using the</w:t>
      </w:r>
      <w:r>
        <w:t xml:space="preserve"> </w:t>
      </w:r>
      <w:r>
        <w:rPr>
          <w:rStyle w:val="VerbatimChar"/>
        </w:rPr>
        <w:t xml:space="preserve">indepthPathway</w:t>
      </w:r>
      <w:r>
        <w:t xml:space="preserve"> </w:t>
      </w:r>
      <w:r>
        <w:t xml:space="preserve">package (</w:t>
      </w:r>
      <w:r>
        <w:rPr>
          <w:rStyle w:val="VerbatimChar"/>
        </w:rPr>
        <w:t xml:space="preserve">08_run_wcsea.R</w:t>
      </w:r>
      <w:r>
        <w:t xml:space="preserve">). Differentially expressed genes between Elderly and Young (all cell types pooled) were identified using Seurat’s</w:t>
      </w:r>
      <w:r>
        <w:t xml:space="preserve"> </w:t>
      </w:r>
      <w:r>
        <w:rPr>
          <w:rStyle w:val="VerbatimChar"/>
        </w:rPr>
        <w:t xml:space="preserve">FindMarkers()</w:t>
      </w:r>
      <w:r>
        <w:t xml:space="preserve"> </w:t>
      </w:r>
      <w:r>
        <w:t xml:space="preserve">with</w:t>
      </w:r>
      <w:r>
        <w:t xml:space="preserve"> </w:t>
      </w:r>
      <w:r>
        <w:rPr>
          <w:rStyle w:val="VerbatimChar"/>
        </w:rPr>
        <w:t xml:space="preserve">min.pct = 0.1</w:t>
      </w:r>
      <w:r>
        <w:t xml:space="preserve"> </w:t>
      </w:r>
      <w:r>
        <w:t xml:space="preserve">and</w:t>
      </w:r>
      <w:r>
        <w:t xml:space="preserve"> </w:t>
      </w:r>
      <w:r>
        <w:rPr>
          <w:rStyle w:val="VerbatimChar"/>
        </w:rPr>
        <w:t xml:space="preserve">logfc.threshold = 0.25</w:t>
      </w:r>
      <w:r>
        <w:t xml:space="preserve">. FDR-adjusted p-values (Seurat’s</w:t>
      </w:r>
      <w:r>
        <w:t xml:space="preserve"> </w:t>
      </w:r>
      <w:r>
        <w:rPr>
          <w:rStyle w:val="VerbatimChar"/>
        </w:rPr>
        <w:t xml:space="preserve">p_val_adj</w:t>
      </w:r>
      <w:r>
        <w:t xml:space="preserve">) were used at a threshold of 0.05. If the</w:t>
      </w:r>
      <w:r>
        <w:t xml:space="preserve"> </w:t>
      </w:r>
      <w:r>
        <w:rPr>
          <w:rStyle w:val="VerbatimChar"/>
        </w:rPr>
        <w:t xml:space="preserve">indepthPathway</w:t>
      </w:r>
      <w:r>
        <w:t xml:space="preserve"> </w:t>
      </w:r>
      <w:r>
        <w:t xml:space="preserve">package was available, WCSEA was run with</w:t>
      </w:r>
      <w:r>
        <w:t xml:space="preserve"> </w:t>
      </w:r>
      <w:r>
        <w:rPr>
          <w:rStyle w:val="VerbatimChar"/>
        </w:rPr>
        <w:t xml:space="preserve">pathway_db = "GO_BP"</w:t>
      </w:r>
      <w:r>
        <w:t xml:space="preserve">,</w:t>
      </w:r>
      <w:r>
        <w:t xml:space="preserve"> </w:t>
      </w:r>
      <w:r>
        <w:rPr>
          <w:rStyle w:val="VerbatimChar"/>
        </w:rPr>
        <w:t xml:space="preserve">min_genes = 10</w:t>
      </w:r>
      <w:r>
        <w:t xml:space="preserve">, and</w:t>
      </w:r>
      <w:r>
        <w:t xml:space="preserve"> </w:t>
      </w:r>
      <w:r>
        <w:rPr>
          <w:rStyle w:val="VerbatimChar"/>
        </w:rPr>
        <w:t xml:space="preserve">max_genes = 500</w:t>
      </w:r>
      <w:r>
        <w:t xml:space="preserve">, with BH-FDR correction applied to output p-values. If unavailable, significant marker genes were saved for manual analysis.</w:t>
      </w:r>
    </w:p>
    <w:bookmarkEnd w:id="91"/>
    <w:bookmarkStart w:id="92" w:name="cellphonedb-input-preparation"/>
    <w:p>
      <w:pPr>
        <w:pStyle w:val="Heading2"/>
      </w:pPr>
      <w:r>
        <w:t xml:space="preserve">11. CellPhoneDB Input Preparation</w:t>
      </w:r>
    </w:p>
    <w:p>
      <w:pPr>
        <w:pStyle w:val="FirstParagraph"/>
      </w:pPr>
      <w:r>
        <w:t xml:space="preserve">Input files for CellPhoneDB were prepared in</w:t>
      </w:r>
      <w:r>
        <w:t xml:space="preserve"> </w:t>
      </w:r>
      <w:r>
        <w:rPr>
          <w:rStyle w:val="VerbatimChar"/>
        </w:rPr>
        <w:t xml:space="preserve">09_cellphonedb_prep.R</w:t>
      </w:r>
      <w:r>
        <w:t xml:space="preserve"> </w:t>
      </w:r>
      <w:r>
        <w:t xml:space="preserve">using three filtering strategies:</w:t>
      </w:r>
    </w:p>
    <w:p>
      <w:pPr>
        <w:pStyle w:val="BodyText"/>
      </w:pPr>
      <w:r>
        <w:rPr>
          <w:b/>
          <w:bCs/>
        </w:rPr>
        <w:t xml:space="preserve">Young/Elderly subsets:</w:t>
      </w:r>
      <w:r>
        <w:t xml:space="preserve"> </w:t>
      </w:r>
      <w:r>
        <w:t xml:space="preserve">Genes with</w:t>
      </w:r>
      <w:r>
        <w:t xml:space="preserve"> </w:t>
      </w:r>
      <w:r>
        <w:rPr>
          <w:rStyle w:val="VerbatimChar"/>
        </w:rPr>
        <w:t xml:space="preserve">rowSums &gt; 20</w:t>
      </w:r>
      <w:r>
        <w:t xml:space="preserve"> </w:t>
      </w:r>
      <w:r>
        <w:t xml:space="preserve">were retained. Hyphens in cell barcodes were replaced with underscores. Special characters in cell type names were stripped.</w:t>
      </w:r>
    </w:p>
    <w:p>
      <w:pPr>
        <w:pStyle w:val="BodyText"/>
      </w:pPr>
      <w:r>
        <w:rPr>
          <w:b/>
          <w:bCs/>
        </w:rPr>
        <w:t xml:space="preserve">Whole cohort:</w:t>
      </w:r>
      <w:r>
        <w:t xml:space="preserve"> </w:t>
      </w:r>
      <w:r>
        <w:t xml:space="preserve">A three-step filter matching the original code was applied: (1)</w:t>
      </w:r>
      <w:r>
        <w:t xml:space="preserve"> </w:t>
      </w:r>
      <w:r>
        <w:rPr>
          <w:rStyle w:val="VerbatimChar"/>
        </w:rPr>
        <w:t xml:space="preserve">rowSums &gt; 10</w:t>
      </w:r>
      <w:r>
        <w:t xml:space="preserve">, (2) removal of genes containing</w:t>
      </w:r>
      <w:r>
        <w:t xml:space="preserve"> </w:t>
      </w:r>
      <w:r>
        <w:t xml:space="preserve">“.”</w:t>
      </w:r>
      <w:r>
        <w:t xml:space="preserve"> </w:t>
      </w:r>
      <w:r>
        <w:t xml:space="preserve">in name, (3) cells with</w:t>
      </w:r>
      <w:r>
        <w:t xml:space="preserve"> </w:t>
      </w:r>
      <w:r>
        <w:rPr>
          <w:rStyle w:val="VerbatimChar"/>
        </w:rPr>
        <w:t xml:space="preserve">colSums &gt; 1000</w:t>
      </w:r>
      <w:r>
        <w:t xml:space="preserve">. This targeted ~18,063 genes x ~28,732 cells.</w:t>
      </w:r>
    </w:p>
    <w:p>
      <w:pPr>
        <w:pStyle w:val="BodyText"/>
      </w:pPr>
      <w:r>
        <w:t xml:space="preserve">Output files consisted of tab-separated count matrices (gene x cell) and metadata tables (Cell, cell_type) for each group.</w:t>
      </w:r>
    </w:p>
    <w:bookmarkEnd w:id="92"/>
    <w:bookmarkStart w:id="93" w:name="macrophage-subsetting"/>
    <w:p>
      <w:pPr>
        <w:pStyle w:val="Heading2"/>
      </w:pPr>
      <w:r>
        <w:t xml:space="preserve">12. Macrophage Subsetting</w:t>
      </w:r>
    </w:p>
    <w:p>
      <w:pPr>
        <w:pStyle w:val="FirstParagraph"/>
      </w:pPr>
      <w:r>
        <w:t xml:space="preserve">Macrophage and monocyte cells were extracted from the full annotated Seurat object by filtering on</w:t>
      </w:r>
      <w:r>
        <w:t xml:space="preserve"> </w:t>
      </w:r>
      <w:r>
        <w:rPr>
          <w:rStyle w:val="VerbatimChar"/>
        </w:rPr>
        <w:t xml:space="preserve">CellTypeAnnotSH %in% c("Macrophage", "Monocyte")</w:t>
      </w:r>
      <w:r>
        <w:t xml:space="preserve"> </w:t>
      </w:r>
      <w:r>
        <w:t xml:space="preserve">(</w:t>
      </w:r>
      <w:r>
        <w:rPr>
          <w:rStyle w:val="VerbatimChar"/>
        </w:rPr>
        <w:t xml:space="preserve">10_load_macrophage_seurat.R</w:t>
      </w:r>
      <w:r>
        <w:t xml:space="preserve">, line 92). The resulting object was saved as</w:t>
      </w:r>
      <w:r>
        <w:t xml:space="preserve"> </w:t>
      </w:r>
      <w:r>
        <w:rPr>
          <w:rStyle w:val="VerbatimChar"/>
        </w:rPr>
        <w:t xml:space="preserve">macrophage_seurat.rds</w:t>
      </w:r>
      <w:r>
        <w:t xml:space="preserve">.</w:t>
      </w:r>
    </w:p>
    <w:bookmarkEnd w:id="93"/>
    <w:bookmarkStart w:id="94" w:name="X33c299223ac5d6f36d129efb44e3fc42e775224"/>
    <w:p>
      <w:pPr>
        <w:pStyle w:val="Heading2"/>
      </w:pPr>
      <w:r>
        <w:t xml:space="preserve">13. Macrophage Pseudobulk Differential Expression</w:t>
      </w:r>
    </w:p>
    <w:p>
      <w:pPr>
        <w:pStyle w:val="FirstParagraph"/>
      </w:pPr>
      <w:r>
        <w:t xml:space="preserve">Differential gene expression between elderly and young macrophages was performed using a pseudobulk DESeq2 approach to avoid single-cell pseudoreplication (</w:t>
      </w:r>
      <w:r>
        <w:rPr>
          <w:rStyle w:val="VerbatimChar"/>
        </w:rPr>
        <w:t xml:space="preserve">11_macrophage_deg_analysis.R</w:t>
      </w:r>
      <w:r>
        <w:t xml:space="preserve">). Cells annotated as</w:t>
      </w:r>
      <w:r>
        <w:t xml:space="preserve"> </w:t>
      </w:r>
      <w:r>
        <w:rPr>
          <w:rStyle w:val="VerbatimChar"/>
        </w:rPr>
        <w:t xml:space="preserve">CellTypeAnnotSH == "Macrophage"</w:t>
      </w:r>
      <w:r>
        <w:t xml:space="preserve"> </w:t>
      </w:r>
      <w:r>
        <w:t xml:space="preserve">were subset to Elderly and Young age groups. Patients with fewer than 10 macrophages were excluded (</w:t>
      </w:r>
      <w:r>
        <w:rPr>
          <w:rStyle w:val="VerbatimChar"/>
        </w:rPr>
        <w:t xml:space="preserve">MIN_CELLS_PER_PSEUDOBULK = 10</w:t>
      </w:r>
      <w:r>
        <w:t xml:space="preserve">).</w:t>
      </w:r>
    </w:p>
    <w:p>
      <w:pPr>
        <w:pStyle w:val="BodyText"/>
      </w:pPr>
      <w:r>
        <w:t xml:space="preserve">Raw counts were aggregated per patient using</w:t>
      </w:r>
      <w:r>
        <w:t xml:space="preserve"> </w:t>
      </w:r>
      <w:r>
        <w:rPr>
          <w:rStyle w:val="VerbatimChar"/>
        </w:rPr>
        <w:t xml:space="preserve">AggregateExpression()</w:t>
      </w:r>
      <w:r>
        <w:t xml:space="preserve"> </w:t>
      </w:r>
      <w:r>
        <w:t xml:space="preserve">(Seurat). Low-count genes were filtered, requiring &gt;= 10 counts in &gt;= 3 patients. DESeq2 was run with the design formula</w:t>
      </w:r>
      <w:r>
        <w:t xml:space="preserve"> </w:t>
      </w:r>
      <w:r>
        <w:rPr>
          <w:rStyle w:val="VerbatimChar"/>
        </w:rPr>
        <w:t xml:space="preserve">~ AgeGroup</w:t>
      </w:r>
      <w:r>
        <w:t xml:space="preserve"> </w:t>
      </w:r>
      <w:r>
        <w:t xml:space="preserve">and results extracted with</w:t>
      </w:r>
      <w:r>
        <w:t xml:space="preserve"> </w:t>
      </w:r>
      <w:r>
        <w:rPr>
          <w:rStyle w:val="VerbatimChar"/>
        </w:rPr>
        <w:t xml:space="preserve">contrast = c("AgeGroup", "Elderly", "Young")</w:t>
      </w:r>
      <w:r>
        <w:t xml:space="preserve"> </w:t>
      </w:r>
      <w:r>
        <w:t xml:space="preserve">at</w:t>
      </w:r>
      <w:r>
        <w:t xml:space="preserve"> </w:t>
      </w:r>
      <w:r>
        <w:rPr>
          <w:rStyle w:val="VerbatimChar"/>
        </w:rPr>
        <w:t xml:space="preserve">alpha = 0.05</w:t>
      </w:r>
      <w:r>
        <w:t xml:space="preserve">. DEGs were defined at FDR &lt; 0.05. Volcano plots used thresholds of |log2FoldChange| &gt; 0.5 and FDR &lt; 0.05 for coloring.</w:t>
      </w:r>
    </w:p>
    <w:p>
      <w:pPr>
        <w:pStyle w:val="BodyText"/>
      </w:pPr>
      <w:r>
        <w:rPr>
          <w:b/>
          <w:bCs/>
        </w:rPr>
        <w:t xml:space="preserve">Output column names:</w:t>
      </w:r>
      <w:r>
        <w:t xml:space="preserve"> </w:t>
      </w:r>
      <w:r>
        <w:rPr>
          <w:rStyle w:val="VerbatimChar"/>
        </w:rPr>
        <w:t xml:space="preserve">gene</w:t>
      </w:r>
      <w:r>
        <w:t xml:space="preserve">,</w:t>
      </w:r>
      <w:r>
        <w:t xml:space="preserve"> </w:t>
      </w:r>
      <w:r>
        <w:rPr>
          <w:rStyle w:val="VerbatimChar"/>
        </w:rPr>
        <w:t xml:space="preserve">baseMean</w:t>
      </w:r>
      <w:r>
        <w:t xml:space="preserve">,</w:t>
      </w:r>
      <w:r>
        <w:t xml:space="preserve"> </w:t>
      </w:r>
      <w:r>
        <w:rPr>
          <w:rStyle w:val="VerbatimChar"/>
        </w:rPr>
        <w:t xml:space="preserve">log2FoldChange</w:t>
      </w:r>
      <w:r>
        <w:t xml:space="preserve">,</w:t>
      </w:r>
      <w:r>
        <w:t xml:space="preserve"> </w:t>
      </w:r>
      <w:r>
        <w:rPr>
          <w:rStyle w:val="VerbatimChar"/>
        </w:rPr>
        <w:t xml:space="preserve">lfcSE</w:t>
      </w:r>
      <w:r>
        <w:t xml:space="preserve">,</w:t>
      </w:r>
      <w:r>
        <w:t xml:space="preserve"> </w:t>
      </w:r>
      <w:r>
        <w:rPr>
          <w:rStyle w:val="VerbatimChar"/>
        </w:rPr>
        <w:t xml:space="preserve">stat</w:t>
      </w:r>
      <w:r>
        <w:t xml:space="preserve">,</w:t>
      </w:r>
      <w:r>
        <w:t xml:space="preserve"> </w:t>
      </w:r>
      <w:r>
        <w:rPr>
          <w:rStyle w:val="VerbatimChar"/>
        </w:rPr>
        <w:t xml:space="preserve">pvalue</w:t>
      </w:r>
      <w:r>
        <w:t xml:space="preserve">,</w:t>
      </w:r>
      <w:r>
        <w:t xml:space="preserve"> </w:t>
      </w:r>
      <w:r>
        <w:rPr>
          <w:rStyle w:val="VerbatimChar"/>
        </w:rPr>
        <w:t xml:space="preserve">padj</w:t>
      </w:r>
      <w:r>
        <w:t xml:space="preserve"> </w:t>
      </w:r>
      <w:r>
        <w:t xml:space="preserve">(DESeq2 convention).</w:t>
      </w:r>
    </w:p>
    <w:bookmarkEnd w:id="94"/>
    <w:bookmarkStart w:id="95" w:name="macrophage-pathway-enrichment"/>
    <w:p>
      <w:pPr>
        <w:pStyle w:val="Heading2"/>
      </w:pPr>
      <w:r>
        <w:t xml:space="preserve">14. Macrophage Pathway Enrichment</w:t>
      </w:r>
    </w:p>
    <w:p>
      <w:pPr>
        <w:pStyle w:val="FirstParagraph"/>
      </w:pPr>
      <w:r>
        <w:t xml:space="preserve">Pathway enrichment on macrophage DEGs was performed using a hypergeometric test (one-sided Fisher’s exact test) (</w:t>
      </w:r>
      <w:r>
        <w:rPr>
          <w:rStyle w:val="VerbatimChar"/>
        </w:rPr>
        <w:t xml:space="preserve">12_macrophage_pathway_enrichment.R</w:t>
      </w:r>
      <w:r>
        <w:t xml:space="preserve">). Gene set collections included MSigDB Hallmark (50 pathways) and BioCarta (</w:t>
      </w:r>
      <w:r>
        <w:rPr>
          <w:rStyle w:val="VerbatimChar"/>
        </w:rPr>
        <w:t xml:space="preserve">category = "C2"</w:t>
      </w:r>
      <w:r>
        <w:t xml:space="preserve">,</w:t>
      </w:r>
      <w:r>
        <w:t xml:space="preserve"> </w:t>
      </w:r>
      <w:r>
        <w:rPr>
          <w:rStyle w:val="VerbatimChar"/>
        </w:rPr>
        <w:t xml:space="preserve">subcategory = "CP:BIOCARTA"</w:t>
      </w:r>
      <w:r>
        <w:t xml:space="preserve">). Enrichment was run separately for upregulated and downregulated gene sets. P-values were adjusted using BH-FDR. Pathways were considered significant at FDR &lt; 0.05 (with a relaxed display threshold of FDR &lt; 0.1 for visualization).</w:t>
      </w:r>
    </w:p>
    <w:p>
      <w:pPr>
        <w:pStyle w:val="BodyText"/>
      </w:pPr>
      <w:r>
        <w:t xml:space="preserve">This script uses DESeq2-style column names (</w:t>
      </w:r>
      <w:r>
        <w:rPr>
          <w:rStyle w:val="VerbatimChar"/>
        </w:rPr>
        <w:t xml:space="preserve">log2FoldChange</w:t>
      </w:r>
      <w:r>
        <w:t xml:space="preserve">,</w:t>
      </w:r>
      <w:r>
        <w:t xml:space="preserve"> </w:t>
      </w:r>
      <w:r>
        <w:rPr>
          <w:rStyle w:val="VerbatimChar"/>
        </w:rPr>
        <w:t xml:space="preserve">padj</w:t>
      </w:r>
      <w:r>
        <w:t xml:space="preserve">) from the DEG input file produced by</w:t>
      </w:r>
      <w:r>
        <w:t xml:space="preserve"> </w:t>
      </w:r>
      <w:r>
        <w:rPr>
          <w:rStyle w:val="VerbatimChar"/>
        </w:rPr>
        <w:t xml:space="preserve">11_macrophage_deg_analysis.R</w:t>
      </w:r>
      <w:r>
        <w:t xml:space="preserve">.</w:t>
      </w:r>
    </w:p>
    <w:bookmarkEnd w:id="95"/>
    <w:bookmarkStart w:id="96" w:name="enrichr-pathway-analysis"/>
    <w:p>
      <w:pPr>
        <w:pStyle w:val="Heading2"/>
      </w:pPr>
      <w:r>
        <w:t xml:space="preserve">15. ENRICHR Pathway Analysis</w:t>
      </w:r>
    </w:p>
    <w:p>
      <w:pPr>
        <w:pStyle w:val="FirstParagraph"/>
      </w:pPr>
      <w:r>
        <w:t xml:space="preserve">ENRICHR pathway analysis was performed via the GSEApy Python package (</w:t>
      </w:r>
      <w:r>
        <w:rPr>
          <w:rStyle w:val="VerbatimChar"/>
        </w:rPr>
        <w:t xml:space="preserve">12_enrichr_pathway_analysis.py</w:t>
      </w:r>
      <w:r>
        <w:t xml:space="preserve">). Six ENRICHR libraries were queried per gene list:</w:t>
      </w:r>
      <w:r>
        <w:t xml:space="preserve"> </w:t>
      </w:r>
      <w:r>
        <w:t xml:space="preserve">- MSigDB_Hallmark_2020</w:t>
      </w:r>
      <w:r>
        <w:t xml:space="preserve"> </w:t>
      </w:r>
      <w:r>
        <w:t xml:space="preserve">- KEGG_2021_Human</w:t>
      </w:r>
      <w:r>
        <w:t xml:space="preserve"> </w:t>
      </w:r>
      <w:r>
        <w:t xml:space="preserve">- Reactome_Pathways_2024</w:t>
      </w:r>
      <w:r>
        <w:t xml:space="preserve"> </w:t>
      </w:r>
      <w:r>
        <w:t xml:space="preserve">- GO_Biological_Process_2023</w:t>
      </w:r>
      <w:r>
        <w:t xml:space="preserve"> </w:t>
      </w:r>
      <w:r>
        <w:t xml:space="preserve">- WikiPathway_2023_Human</w:t>
      </w:r>
      <w:r>
        <w:t xml:space="preserve"> </w:t>
      </w:r>
      <w:r>
        <w:t xml:space="preserve">- BioCarta_2016</w:t>
      </w:r>
    </w:p>
    <w:p>
      <w:pPr>
        <w:pStyle w:val="BodyText"/>
      </w:pPr>
      <w:r>
        <w:t xml:space="preserve">Each library was queried independently to ensure adjusted p-values were computed within each library rather than across all libraries combined. Analyses were run on per-cell-type pseudobulk DEGs from script 14 and macrophage-specific DEGs from script 11. For macrophage-specific DEGs, a relaxed nominal p-value threshold (p &lt; 0.01) was used as a fallback when no genes passed FDR &lt; 0.05.</w:t>
      </w:r>
    </w:p>
    <w:p>
      <w:pPr>
        <w:pStyle w:val="BodyText"/>
      </w:pPr>
      <w:r>
        <w:t xml:space="preserve">Heatmaps of signed -log10(FDR) scores were generated across cell types, with significance markers (* FDR &lt; 0.05, ** FDR &lt; 0.01). Row clustering used Ward’s method with Euclidean distance. A maximum of 30 pathways were displayed per heatmap, selected by balanced representation of upregulated and downregulated pathways.</w:t>
      </w:r>
    </w:p>
    <w:bookmarkEnd w:id="96"/>
    <w:bookmarkStart w:id="97" w:name="Xc76f558b56127e45473fed298de2081e312c4a1"/>
    <w:p>
      <w:pPr>
        <w:pStyle w:val="Heading2"/>
      </w:pPr>
      <w:r>
        <w:t xml:space="preserve">16. Macrophage Cell-Cell Communication Visualization</w:t>
      </w:r>
    </w:p>
    <w:p>
      <w:pPr>
        <w:pStyle w:val="FirstParagraph"/>
      </w:pPr>
      <w:r>
        <w:t xml:space="preserve">Script</w:t>
      </w:r>
      <w:r>
        <w:t xml:space="preserve"> </w:t>
      </w:r>
      <w:r>
        <w:rPr>
          <w:rStyle w:val="VerbatimChar"/>
        </w:rPr>
        <w:t xml:space="preserve">13_macrophage_cellphonedb.R</w:t>
      </w:r>
      <w:r>
        <w:t xml:space="preserve"> </w:t>
      </w:r>
      <w:r>
        <w:t xml:space="preserve">generated a bar chart visualization of communication-related DEGs from the macrophage pseudobulk DE results, filtering for genes matching chemokine (CCL, CXCL), cytokine (IL, TNF, TGF, IFNG), and immune checkpoint (CD80, CD86, PDCD1, CD274, CTLA4, LAG3) patterns. This is a DEG-based visualization, not a CellPhoneDB or CellChat interaction analysis. The script loaded the full annotated Seurat object (</w:t>
      </w:r>
      <w:r>
        <w:rPr>
          <w:rStyle w:val="VerbatimChar"/>
        </w:rPr>
        <w:t xml:space="preserve">seurat_annotated.rds</w:t>
      </w:r>
      <w:r>
        <w:t xml:space="preserve">) as a fallback but primarily operated on</w:t>
      </w:r>
      <w:r>
        <w:t xml:space="preserve"> </w:t>
      </w:r>
      <w:r>
        <w:rPr>
          <w:rStyle w:val="VerbatimChar"/>
        </w:rPr>
        <w:t xml:space="preserve">macrophage_seurat.rds</w:t>
      </w:r>
      <w:r>
        <w:t xml:space="preserve">.</w:t>
      </w:r>
    </w:p>
    <w:p>
      <w:pPr>
        <w:pStyle w:val="BodyText"/>
      </w:pPr>
      <w:r>
        <w:t xml:space="preserve">This script uses DESeq2-style column names (</w:t>
      </w:r>
      <w:r>
        <w:rPr>
          <w:rStyle w:val="VerbatimChar"/>
        </w:rPr>
        <w:t xml:space="preserve">log2FoldChange</w:t>
      </w:r>
      <w:r>
        <w:t xml:space="preserve">,</w:t>
      </w:r>
      <w:r>
        <w:t xml:space="preserve"> </w:t>
      </w:r>
      <w:r>
        <w:rPr>
          <w:rStyle w:val="VerbatimChar"/>
        </w:rPr>
        <w:t xml:space="preserve">padj</w:t>
      </w:r>
      <w:r>
        <w:t xml:space="preserve">) from the DEG input file.</w:t>
      </w:r>
    </w:p>
    <w:bookmarkEnd w:id="97"/>
    <w:bookmarkStart w:id="98" w:name="X02367cf83ec37e92edda49cb06f0053dee6d836"/>
    <w:p>
      <w:pPr>
        <w:pStyle w:val="Heading2"/>
      </w:pPr>
      <w:r>
        <w:t xml:space="preserve">17. Multi-Cell-Type Pseudobulk Differential Expression</w:t>
      </w:r>
    </w:p>
    <w:p>
      <w:pPr>
        <w:pStyle w:val="FirstParagraph"/>
      </w:pPr>
      <w:r>
        <w:t xml:space="preserve">Pseudobulk DEG analysis was performed for each cell type independently (</w:t>
      </w:r>
      <w:r>
        <w:rPr>
          <w:rStyle w:val="VerbatimChar"/>
        </w:rPr>
        <w:t xml:space="preserve">14_multicelltype_deg.R</w:t>
      </w:r>
      <w:r>
        <w:t xml:space="preserve">). For each cell type, cells from Elderly and Young patients were aggregated per patient using</w:t>
      </w:r>
      <w:r>
        <w:t xml:space="preserve"> </w:t>
      </w:r>
      <w:r>
        <w:rPr>
          <w:rStyle w:val="VerbatimChar"/>
        </w:rPr>
        <w:t xml:space="preserve">AggregateExpression()</w:t>
      </w:r>
      <w:r>
        <w:t xml:space="preserve">. Patients required &gt;= 10 cells per cell type (</w:t>
      </w:r>
      <w:r>
        <w:rPr>
          <w:rStyle w:val="VerbatimChar"/>
        </w:rPr>
        <w:t xml:space="preserve">MIN_CELLS_PER_PSEUDOBULK = 10</w:t>
      </w:r>
      <w:r>
        <w:t xml:space="preserve">) and &gt;= 3 patients per age group (</w:t>
      </w:r>
      <w:r>
        <w:rPr>
          <w:rStyle w:val="VerbatimChar"/>
        </w:rPr>
        <w:t xml:space="preserve">MIN_PATIENTS_PER_GROUP = 3</w:t>
      </w:r>
      <w:r>
        <w:t xml:space="preserve">). Gene filtering required &gt;= 10 counts in &gt;= 3 patients. DESeq2 was run with</w:t>
      </w:r>
      <w:r>
        <w:t xml:space="preserve"> </w:t>
      </w:r>
      <w:r>
        <w:rPr>
          <w:rStyle w:val="VerbatimChar"/>
        </w:rPr>
        <w:t xml:space="preserve">design = ~ AgeGroup</w:t>
      </w:r>
      <w:r>
        <w:t xml:space="preserve"> </w:t>
      </w:r>
      <w:r>
        <w:t xml:space="preserve">and</w:t>
      </w:r>
      <w:r>
        <w:t xml:space="preserve"> </w:t>
      </w:r>
      <w:r>
        <w:rPr>
          <w:rStyle w:val="VerbatimChar"/>
        </w:rPr>
        <w:t xml:space="preserve">contrast = c("AgeGroup", "Elderly", "Young")</w:t>
      </w:r>
      <w:r>
        <w:t xml:space="preserve"> </w:t>
      </w:r>
      <w:r>
        <w:t xml:space="preserve">at</w:t>
      </w:r>
      <w:r>
        <w:t xml:space="preserve"> </w:t>
      </w:r>
      <w:r>
        <w:rPr>
          <w:rStyle w:val="VerbatimChar"/>
        </w:rPr>
        <w:t xml:space="preserve">alpha = 0.05</w:t>
      </w:r>
      <w:r>
        <w:t xml:space="preserve">. Per-cell-type DEG tables were saved with DESeq2-style column names (</w:t>
      </w:r>
      <w:r>
        <w:rPr>
          <w:rStyle w:val="VerbatimChar"/>
        </w:rPr>
        <w:t xml:space="preserve">gene</w:t>
      </w:r>
      <w:r>
        <w:t xml:space="preserve">,</w:t>
      </w:r>
      <w:r>
        <w:t xml:space="preserve"> </w:t>
      </w:r>
      <w:r>
        <w:rPr>
          <w:rStyle w:val="VerbatimChar"/>
        </w:rPr>
        <w:t xml:space="preserve">log2FoldChange</w:t>
      </w:r>
      <w:r>
        <w:t xml:space="preserve">,</w:t>
      </w:r>
      <w:r>
        <w:t xml:space="preserve"> </w:t>
      </w:r>
      <w:r>
        <w:rPr>
          <w:rStyle w:val="VerbatimChar"/>
        </w:rPr>
        <w:t xml:space="preserve">padj</w:t>
      </w:r>
      <w:r>
        <w:t xml:space="preserve">).</w:t>
      </w:r>
    </w:p>
    <w:bookmarkEnd w:id="98"/>
    <w:bookmarkStart w:id="99" w:name="multi-cell-type-pathway-enrichment"/>
    <w:p>
      <w:pPr>
        <w:pStyle w:val="Heading2"/>
      </w:pPr>
      <w:r>
        <w:t xml:space="preserve">18. Multi-Cell-Type Pathway Enrichment</w:t>
      </w:r>
    </w:p>
    <w:p>
      <w:pPr>
        <w:pStyle w:val="FirstParagraph"/>
      </w:pPr>
      <w:r>
        <w:t xml:space="preserve">Per-patient pseudo-bulk GSVA was performed within each cell type, followed by statistical comparison of pathway activity between age groups (</w:t>
      </w:r>
      <w:r>
        <w:rPr>
          <w:rStyle w:val="VerbatimChar"/>
        </w:rPr>
        <w:t xml:space="preserve">15_multicelltype_pathway.R</w:t>
      </w:r>
      <w:r>
        <w:t xml:space="preserve">). Two modes were available:</w:t>
      </w:r>
      <w:r>
        <w:t xml:space="preserve"> </w:t>
      </w:r>
      <w:r>
        <w:t xml:space="preserve">“curated”</w:t>
      </w:r>
      <w:r>
        <w:t xml:space="preserve"> </w:t>
      </w:r>
      <w:r>
        <w:t xml:space="preserve">(default, using 25 pre-selected Hallmark + BioCarta pathways) and</w:t>
      </w:r>
      <w:r>
        <w:t xml:space="preserve"> </w:t>
      </w:r>
      <w:r>
        <w:t xml:space="preserve">“divergent”</w:t>
      </w:r>
      <w:r>
        <w:t xml:space="preserve"> </w:t>
      </w:r>
      <w:r>
        <w:t xml:space="preserve">(data-driven selection of most divergent pathways).</w:t>
      </w:r>
    </w:p>
    <w:p>
      <w:pPr>
        <w:pStyle w:val="BodyText"/>
      </w:pPr>
      <w:r>
        <w:rPr>
          <w:b/>
          <w:bCs/>
        </w:rPr>
        <w:t xml:space="preserve">Input data:</w:t>
      </w:r>
      <w:r>
        <w:t xml:space="preserve"> </w:t>
      </w:r>
      <w:r>
        <w:t xml:space="preserve">Full annotated Seurat object (</w:t>
      </w:r>
      <w:r>
        <w:rPr>
          <w:rStyle w:val="VerbatimChar"/>
        </w:rPr>
        <w:t xml:space="preserve">seurat_annotated.rds</w:t>
      </w:r>
      <w:r>
        <w:t xml:space="preserve">) containing all cell types, enabling proper cross-cell-type pathway analysis.</w:t>
      </w:r>
    </w:p>
    <w:p>
      <w:pPr>
        <w:pStyle w:val="BodyText"/>
      </w:pPr>
      <w:r>
        <w:rPr>
          <w:b/>
          <w:bCs/>
        </w:rPr>
        <w:t xml:space="preserve">Pseudo-bulk construction:</w:t>
      </w:r>
      <w:r>
        <w:t xml:space="preserve"> </w:t>
      </w:r>
      <w:r>
        <w:t xml:space="preserve">For each cell type present in the object, per-patient expression profiles were created by summing SCTransform corrected counts (</w:t>
      </w:r>
      <w:r>
        <w:rPr>
          <w:rStyle w:val="VerbatimChar"/>
        </w:rPr>
        <w:t xml:space="preserve">GetAssayData()</w:t>
      </w:r>
      <w:r>
        <w:t xml:space="preserve">, layer =</w:t>
      </w:r>
      <w:r>
        <w:t xml:space="preserve"> </w:t>
      </w:r>
      <w:r>
        <w:t xml:space="preserve">“counts”</w:t>
      </w:r>
      <w:r>
        <w:t xml:space="preserve">), then normalizing to CPM and log2-transforming (</w:t>
      </w:r>
      <w:r>
        <w:rPr>
          <w:rStyle w:val="VerbatimChar"/>
        </w:rPr>
        <w:t xml:space="preserve">log2(CPM + 1)</w:t>
      </w:r>
      <w:r>
        <w:t xml:space="preserve">), requiring &gt;= 10 cells per patient per cell type (</w:t>
      </w:r>
      <w:r>
        <w:rPr>
          <w:rStyle w:val="VerbatimChar"/>
        </w:rPr>
        <w:t xml:space="preserve">min_patients_per_group = 3</w:t>
      </w:r>
      <w:r>
        <w:t xml:space="preserve">). If the SCT assay was unavailable, RNA counts were normalized to CPM + log2.</w:t>
      </w:r>
    </w:p>
    <w:p>
      <w:pPr>
        <w:pStyle w:val="BodyText"/>
      </w:pPr>
      <w:r>
        <w:rPr>
          <w:b/>
          <w:bCs/>
        </w:rPr>
        <w:t xml:space="preserve">GSVA parameters:</w:t>
      </w:r>
      <w:r>
        <w:t xml:space="preserve"> </w:t>
      </w:r>
      <w:r>
        <w:rPr>
          <w:rStyle w:val="VerbatimChar"/>
        </w:rPr>
        <w:t xml:space="preserve">gsvaParam()</w:t>
      </w:r>
      <w:r>
        <w:t xml:space="preserve"> </w:t>
      </w:r>
      <w:r>
        <w:t xml:space="preserve">with</w:t>
      </w:r>
      <w:r>
        <w:t xml:space="preserve"> </w:t>
      </w:r>
      <w:r>
        <w:rPr>
          <w:rStyle w:val="VerbatimChar"/>
        </w:rPr>
        <w:t xml:space="preserve">kcdf = "Gaussian"</w:t>
      </w:r>
      <w:r>
        <w:t xml:space="preserve"> </w:t>
      </w:r>
      <w:r>
        <w:t xml:space="preserve">and</w:t>
      </w:r>
      <w:r>
        <w:t xml:space="preserve"> </w:t>
      </w:r>
      <w:r>
        <w:rPr>
          <w:rStyle w:val="VerbatimChar"/>
        </w:rPr>
        <w:t xml:space="preserve">maxDiff = TRUE</w:t>
      </w:r>
      <w:r>
        <w:t xml:space="preserve">. Gene sets included all MSigDB Hallmark pathways, BioCarta (subcategory</w:t>
      </w:r>
      <w:r>
        <w:t xml:space="preserve"> </w:t>
      </w:r>
      <w:r>
        <w:t xml:space="preserve">“CP:BIOCARTA”</w:t>
      </w:r>
      <w:r>
        <w:t xml:space="preserve">), and LI_ESTROGENE early/late E2 response gene sets from local GMT files.</w:t>
      </w:r>
    </w:p>
    <w:p>
      <w:pPr>
        <w:pStyle w:val="BodyText"/>
      </w:pPr>
      <w:r>
        <w:rPr>
          <w:b/>
          <w:bCs/>
        </w:rPr>
        <w:t xml:space="preserve">Statistical testing:</w:t>
      </w:r>
      <w:r>
        <w:t xml:space="preserve"> </w:t>
      </w:r>
      <w:r>
        <w:t xml:space="preserve">For each pathway within each cell type, Elderly vs Young patient GSVA scores were compared using a Welch t-test (</w:t>
      </w:r>
      <w:r>
        <w:rPr>
          <w:rStyle w:val="VerbatimChar"/>
        </w:rPr>
        <w:t xml:space="preserve">t.test(..., var.equal = FALSE)</w:t>
      </w:r>
      <w:r>
        <w:t xml:space="preserve">). MidAge patients were included in the GSVA computation (all age groups present in the pseudobulk profiles) but only the Young vs Elderly contrast was tested. FDR correction was applied using two strategies: (1) across all pathway-cell type combinations (</w:t>
      </w:r>
      <w:r>
        <w:rPr>
          <w:rStyle w:val="VerbatimChar"/>
        </w:rPr>
        <w:t xml:space="preserve">padj_all</w:t>
      </w:r>
      <w:r>
        <w:t xml:space="preserve">), and (2) per cell type restricted to curated pathways only (</w:t>
      </w:r>
      <w:r>
        <w:rPr>
          <w:rStyle w:val="VerbatimChar"/>
        </w:rPr>
        <w:t xml:space="preserve">padj</w:t>
      </w:r>
      <w:r>
        <w:t xml:space="preserve">, reducing multiple testing burden). Significance was determined at FDR &lt; 0.05.</w:t>
      </w:r>
    </w:p>
    <w:p>
      <w:pPr>
        <w:pStyle w:val="BodyText"/>
      </w:pPr>
      <w:r>
        <w:rPr>
          <w:b/>
          <w:bCs/>
        </w:rPr>
        <w:t xml:space="preserve">Curated pathway set (Hallmark):</w:t>
      </w:r>
      <w:r>
        <w:t xml:space="preserve"> </w:t>
      </w:r>
      <w:r>
        <w:t xml:space="preserve">ESTROGEN_RESPONSE_EARLY, ESTROGEN_RESPONSE_LATE, INFLAMMATORY_RESPONSE, TNFA_SIGNALING_VIA_NFKB, TGF_BETA_SIGNALING, IL6_JAK_STAT3_SIGNALING, IL2_STAT5_SIGNALING, INTERFERON_GAMMA_RESPONSE, INTERFERON_ALPHA_RESPONSE, EPITHELIAL_MESENCHYMAL_TRANSITION, ANGIOGENESIS, HYPOXIA, APOPTOSIS, plus LI_ESTROGENE_EARLY_E2_RESPONSE_UP and LI_ESTROGENE_LATE_E2_RESPONSE_UP. The unified set includes IL2_STAT5, IFN_ALPHA, and EMT; COMPLEMENT is excluded.</w:t>
      </w:r>
    </w:p>
    <w:p>
      <w:pPr>
        <w:pStyle w:val="BodyText"/>
      </w:pPr>
      <w:r>
        <w:rPr>
          <w:b/>
          <w:bCs/>
        </w:rPr>
        <w:t xml:space="preserve">Curated pathway set (BioCarta):</w:t>
      </w:r>
      <w:r>
        <w:t xml:space="preserve"> </w:t>
      </w:r>
      <w:r>
        <w:t xml:space="preserve">INFLAM_PATHWAY, IL6_PATHWAY, IL2_PATHWAY, NFKB_PATHWAY, TNFR1_PATHWAY, DEATH_PATHWAY, FAS_PATHWAY, CASPASE_PATHWAY, P53_PATHWAY, CELLCYCLE_PATHWAY, G1_PATHWAY, G2_PATHWAY.</w:t>
      </w:r>
    </w:p>
    <w:p>
      <w:pPr>
        <w:pStyle w:val="BodyText"/>
      </w:pPr>
      <w:r>
        <w:rPr>
          <w:b/>
          <w:bCs/>
        </w:rPr>
        <w:t xml:space="preserve">Visualization:</w:t>
      </w:r>
      <w:r>
        <w:t xml:space="preserve"> </w:t>
      </w:r>
      <w:r>
        <w:t xml:space="preserve">Dual heatmaps (Hallmark and BioCarta) were generated using ComplexHeatmap. GSVA scores were z-scored per pathway across all cell type-age group combinations. Rows were grouped by cell lineage category (Lymphocyte, Myeloid, Epithelial, Stromal). Columns were hierarchically clustered. Significance stars (* FDR &lt; 0.05, ** FDR &lt; 0.01) were overlaid. Color scale: blue-white-orange-red diverging palette (Hallmark: [-3, 3]; BioCarta: [-4, 4]).</w:t>
      </w:r>
    </w:p>
    <w:bookmarkEnd w:id="99"/>
    <w:bookmarkStart w:id="100" w:name="gsva-polarity-diagnostic"/>
    <w:p>
      <w:pPr>
        <w:pStyle w:val="Heading2"/>
      </w:pPr>
      <w:r>
        <w:t xml:space="preserve">19. GSVA Polarity Diagnostic</w:t>
      </w:r>
    </w:p>
    <w:p>
      <w:pPr>
        <w:pStyle w:val="FirstParagraph"/>
      </w:pPr>
      <w:r>
        <w:t xml:space="preserve">A diagnostic script (</w:t>
      </w:r>
      <w:r>
        <w:rPr>
          <w:rStyle w:val="VerbatimChar"/>
        </w:rPr>
        <w:t xml:space="preserve">15b_pathway_polarity_diagnostic.R</w:t>
      </w:r>
      <w:r>
        <w:t xml:space="preserve">) was implemented to investigate potential GSVA score polarity reversals between normalization methods. This script compared GSVA scores computed from CPM + log2-normalized pseudo-bulk versus SCTransform-normalized data for five key Hallmark pathways (ESTROGEN_RESPONSE_EARLY, ESTROGEN_RESPONSE_LATE, INFLAMMATORY_RESPONSE, INTERFERON_GAMMA_RESPONSE, TNFA_SIGNALING_VIA_NFKB). Z-score normalization effects on polarity were also assessed.</w:t>
      </w:r>
    </w:p>
    <w:bookmarkEnd w:id="100"/>
    <w:bookmarkStart w:id="101" w:name="Xad46c05a5e97f47cc334de11e1f6a55bab42e54"/>
    <w:p>
      <w:pPr>
        <w:pStyle w:val="Heading2"/>
      </w:pPr>
      <w:r>
        <w:t xml:space="preserve">20. CellChat Cell-Cell Communication Analysis</w:t>
      </w:r>
    </w:p>
    <w:p>
      <w:pPr>
        <w:pStyle w:val="FirstParagraph"/>
      </w:pPr>
      <w:r>
        <w:t xml:space="preserve">CellChat analysis was performed to infer cell-cell communication between age groups (</w:t>
      </w:r>
      <w:r>
        <w:rPr>
          <w:rStyle w:val="VerbatimChar"/>
        </w:rPr>
        <w:t xml:space="preserve">16_cellchat_analysis.R</w:t>
      </w:r>
      <w:r>
        <w:t xml:space="preserve">). CellChat objects were created separately for Elderly and Young subsets from the full annotated Seurat object (</w:t>
      </w:r>
      <w:r>
        <w:rPr>
          <w:rStyle w:val="VerbatimChar"/>
        </w:rPr>
        <w:t xml:space="preserve">seurat_annotated.rds</w:t>
      </w:r>
      <w:r>
        <w:t xml:space="preserve">). The CellChatDB.human database was used, subset to</w:t>
      </w:r>
      <w:r>
        <w:t xml:space="preserve"> </w:t>
      </w:r>
      <w:r>
        <w:t xml:space="preserve">“Secreted Signaling”</w:t>
      </w:r>
      <w:r>
        <w:t xml:space="preserve"> </w:t>
      </w:r>
      <w:r>
        <w:t xml:space="preserve">interactions.</w:t>
      </w:r>
    </w:p>
    <w:p>
      <w:pPr>
        <w:pStyle w:val="BodyText"/>
      </w:pPr>
      <w:r>
        <w:t xml:space="preserve">CellChat preprocessing steps included:</w:t>
      </w:r>
      <w:r>
        <w:t xml:space="preserve"> </w:t>
      </w:r>
      <w:r>
        <w:t xml:space="preserve">1.</w:t>
      </w:r>
      <w:r>
        <w:t xml:space="preserve"> </w:t>
      </w:r>
      <w:r>
        <w:rPr>
          <w:rStyle w:val="VerbatimChar"/>
        </w:rPr>
        <w:t xml:space="preserve">subsetData()</w:t>
      </w:r>
      <w:r>
        <w:t xml:space="preserve"> </w:t>
      </w:r>
      <w:r>
        <w:t xml:space="preserve">- subset to signaling genes</w:t>
      </w:r>
      <w:r>
        <w:t xml:space="preserve"> </w:t>
      </w:r>
      <w:r>
        <w:t xml:space="preserve">2.</w:t>
      </w:r>
      <w:r>
        <w:t xml:space="preserve"> </w:t>
      </w:r>
      <w:r>
        <w:rPr>
          <w:rStyle w:val="VerbatimChar"/>
        </w:rPr>
        <w:t xml:space="preserve">identifyOverExpressedGenes()</w:t>
      </w:r>
      <w:r>
        <w:t xml:space="preserve"> </w:t>
      </w:r>
      <w:r>
        <w:t xml:space="preserve">- identify overexpressed ligands/receptors</w:t>
      </w:r>
      <w:r>
        <w:t xml:space="preserve"> </w:t>
      </w:r>
      <w:r>
        <w:t xml:space="preserve">3.</w:t>
      </w:r>
      <w:r>
        <w:t xml:space="preserve"> </w:t>
      </w:r>
      <w:r>
        <w:rPr>
          <w:rStyle w:val="VerbatimChar"/>
        </w:rPr>
        <w:t xml:space="preserve">identifyOverExpressedInteractions()</w:t>
      </w:r>
      <w:r>
        <w:t xml:space="preserve"> </w:t>
      </w:r>
      <w:r>
        <w:t xml:space="preserve">- identify overexpressed L-R pairs</w:t>
      </w:r>
      <w:r>
        <w:t xml:space="preserve"> </w:t>
      </w:r>
      <w:r>
        <w:t xml:space="preserve">4.</w:t>
      </w:r>
      <w:r>
        <w:t xml:space="preserve"> </w:t>
      </w:r>
      <w:r>
        <w:rPr>
          <w:rStyle w:val="VerbatimChar"/>
        </w:rPr>
        <w:t xml:space="preserve">computeCommunProb()</w:t>
      </w:r>
      <w:r>
        <w:t xml:space="preserve"> </w:t>
      </w:r>
      <w:r>
        <w:t xml:space="preserve">with</w:t>
      </w:r>
      <w:r>
        <w:t xml:space="preserve"> </w:t>
      </w:r>
      <w:r>
        <w:rPr>
          <w:rStyle w:val="VerbatimChar"/>
        </w:rPr>
        <w:t xml:space="preserve">type = "triMean"</w:t>
      </w:r>
      <w:r>
        <w:t xml:space="preserve"> </w:t>
      </w:r>
      <w:r>
        <w:t xml:space="preserve">(truncated mean)</w:t>
      </w:r>
      <w:r>
        <w:t xml:space="preserve"> </w:t>
      </w:r>
      <w:r>
        <w:t xml:space="preserve">5.</w:t>
      </w:r>
      <w:r>
        <w:t xml:space="preserve"> </w:t>
      </w:r>
      <w:r>
        <w:rPr>
          <w:rStyle w:val="VerbatimChar"/>
        </w:rPr>
        <w:t xml:space="preserve">filterCommunication()</w:t>
      </w:r>
      <w:r>
        <w:t xml:space="preserve"> </w:t>
      </w:r>
      <w:r>
        <w:t xml:space="preserve">with</w:t>
      </w:r>
      <w:r>
        <w:t xml:space="preserve"> </w:t>
      </w:r>
      <w:r>
        <w:rPr>
          <w:rStyle w:val="VerbatimChar"/>
        </w:rPr>
        <w:t xml:space="preserve">min.cells = 10</w:t>
      </w:r>
      <w:r>
        <w:t xml:space="preserve"> </w:t>
      </w:r>
      <w:r>
        <w:t xml:space="preserve">6.</w:t>
      </w:r>
      <w:r>
        <w:t xml:space="preserve"> </w:t>
      </w:r>
      <w:r>
        <w:rPr>
          <w:rStyle w:val="VerbatimChar"/>
        </w:rPr>
        <w:t xml:space="preserve">computeCommunProbPathway()</w:t>
      </w:r>
      <w:r>
        <w:t xml:space="preserve"> </w:t>
      </w:r>
      <w:r>
        <w:t xml:space="preserve">- aggregate to pathway level</w:t>
      </w:r>
      <w:r>
        <w:t xml:space="preserve"> </w:t>
      </w:r>
      <w:r>
        <w:t xml:space="preserve">7.</w:t>
      </w:r>
      <w:r>
        <w:t xml:space="preserve"> </w:t>
      </w:r>
      <w:r>
        <w:rPr>
          <w:rStyle w:val="VerbatimChar"/>
        </w:rPr>
        <w:t xml:space="preserve">aggregateNet()</w:t>
      </w:r>
      <w:r>
        <w:t xml:space="preserve"> </w:t>
      </w:r>
      <w:r>
        <w:t xml:space="preserve">- aggregate communication network</w:t>
      </w:r>
    </w:p>
    <w:p>
      <w:pPr>
        <w:pStyle w:val="BodyText"/>
      </w:pPr>
      <w:r>
        <w:t xml:space="preserve">Young and Elderly CellChat objects were merged using</w:t>
      </w:r>
      <w:r>
        <w:t xml:space="preserve"> </w:t>
      </w:r>
      <w:r>
        <w:rPr>
          <w:rStyle w:val="VerbatimChar"/>
        </w:rPr>
        <w:t xml:space="preserve">mergeCellChat()</w:t>
      </w:r>
      <w:r>
        <w:t xml:space="preserve"> </w:t>
      </w:r>
      <w:r>
        <w:t xml:space="preserve">for comparative visualization. Bubble plots were generated using</w:t>
      </w:r>
      <w:r>
        <w:t xml:space="preserve"> </w:t>
      </w:r>
      <w:r>
        <w:rPr>
          <w:rStyle w:val="VerbatimChar"/>
        </w:rPr>
        <w:t xml:space="preserve">netVisual_bubble()</w:t>
      </w:r>
      <w:r>
        <w:t xml:space="preserve"> </w:t>
      </w:r>
      <w:r>
        <w:t xml:space="preserve">with</w:t>
      </w:r>
      <w:r>
        <w:t xml:space="preserve"> </w:t>
      </w:r>
      <w:r>
        <w:rPr>
          <w:rStyle w:val="VerbatimChar"/>
        </w:rPr>
        <w:t xml:space="preserve">color.heatmap = "Spectral"</w:t>
      </w:r>
      <w:r>
        <w:t xml:space="preserve">.</w:t>
      </w:r>
    </w:p>
    <w:bookmarkEnd w:id="101"/>
    <w:bookmarkStart w:id="102" w:name="cellphonedb-statistical-analysis"/>
    <w:p>
      <w:pPr>
        <w:pStyle w:val="Heading2"/>
      </w:pPr>
      <w:r>
        <w:t xml:space="preserve">21. CellPhoneDB Statistical Analysis</w:t>
      </w:r>
    </w:p>
    <w:p>
      <w:pPr>
        <w:pStyle w:val="FirstParagraph"/>
      </w:pPr>
      <w:r>
        <w:t xml:space="preserve">CellPhoneDB was run via the Python API in two versions:</w:t>
      </w:r>
    </w:p>
    <w:p>
      <w:pPr>
        <w:pStyle w:val="BodyText"/>
      </w:pPr>
      <w:r>
        <w:rPr>
          <w:b/>
          <w:bCs/>
        </w:rPr>
        <w:t xml:space="preserve">CellPhoneDB v5</w:t>
      </w:r>
      <w:r>
        <w:t xml:space="preserve"> </w:t>
      </w:r>
      <w:r>
        <w:t xml:space="preserve">(</w:t>
      </w:r>
      <w:r>
        <w:rPr>
          <w:rStyle w:val="VerbatimChar"/>
        </w:rPr>
        <w:t xml:space="preserve">16_run_cellphonedb.py</w:t>
      </w:r>
      <w:r>
        <w:t xml:space="preserve">): Used</w:t>
      </w:r>
      <w:r>
        <w:t xml:space="preserve"> </w:t>
      </w:r>
      <w:r>
        <w:rPr>
          <w:rStyle w:val="VerbatimChar"/>
        </w:rPr>
        <w:t xml:space="preserve">cpdb_statistical_analysis_method.call()</w:t>
      </w:r>
      <w:r>
        <w:t xml:space="preserve"> </w:t>
      </w:r>
      <w:r>
        <w:t xml:space="preserve">with parameters:</w:t>
      </w:r>
      <w:r>
        <w:t xml:space="preserve"> </w:t>
      </w:r>
      <w:r>
        <w:rPr>
          <w:rStyle w:val="VerbatimChar"/>
        </w:rPr>
        <w:t xml:space="preserve">counts_data = "gene_name"</w:t>
      </w:r>
      <w:r>
        <w:t xml:space="preserve">,</w:t>
      </w:r>
      <w:r>
        <w:t xml:space="preserve"> </w:t>
      </w:r>
      <w:r>
        <w:rPr>
          <w:rStyle w:val="VerbatimChar"/>
        </w:rPr>
        <w:t xml:space="preserve">threshold = 0.1</w:t>
      </w:r>
      <w:r>
        <w:t xml:space="preserve"> </w:t>
      </w:r>
      <w:r>
        <w:t xml:space="preserve">(minimum fraction of cells expressing a gene),</w:t>
      </w:r>
      <w:r>
        <w:t xml:space="preserve"> </w:t>
      </w:r>
      <w:r>
        <w:rPr>
          <w:rStyle w:val="VerbatimChar"/>
        </w:rPr>
        <w:t xml:space="preserve">iterations = 1000</w:t>
      </w:r>
      <w:r>
        <w:t xml:space="preserve"> </w:t>
      </w:r>
      <w:r>
        <w:t xml:space="preserve">(permutations),</w:t>
      </w:r>
      <w:r>
        <w:t xml:space="preserve"> </w:t>
      </w:r>
      <w:r>
        <w:rPr>
          <w:rStyle w:val="VerbatimChar"/>
        </w:rPr>
        <w:t xml:space="preserve">threads = 4</w:t>
      </w:r>
      <w:r>
        <w:t xml:space="preserve">,</w:t>
      </w:r>
      <w:r>
        <w:t xml:space="preserve"> </w:t>
      </w:r>
      <w:r>
        <w:rPr>
          <w:rStyle w:val="VerbatimChar"/>
        </w:rPr>
        <w:t xml:space="preserve">debug_seed = 42</w:t>
      </w:r>
      <w:r>
        <w:t xml:space="preserve">.</w:t>
      </w:r>
    </w:p>
    <w:p>
      <w:pPr>
        <w:pStyle w:val="BodyText"/>
      </w:pPr>
      <w:r>
        <w:rPr>
          <w:b/>
          <w:bCs/>
        </w:rPr>
        <w:t xml:space="preserve">CellPhoneDB v4</w:t>
      </w:r>
      <w:r>
        <w:t xml:space="preserve"> </w:t>
      </w:r>
      <w:r>
        <w:t xml:space="preserve">(</w:t>
      </w:r>
      <w:r>
        <w:rPr>
          <w:rStyle w:val="VerbatimChar"/>
        </w:rPr>
        <w:t xml:space="preserve">16b_run_cellphonedb_v4.py</w:t>
      </w:r>
      <w:r>
        <w:t xml:space="preserve">): Used the same API with</w:t>
      </w:r>
      <w:r>
        <w:t xml:space="preserve"> </w:t>
      </w:r>
      <w:r>
        <w:rPr>
          <w:rStyle w:val="VerbatimChar"/>
        </w:rPr>
        <w:t xml:space="preserve">counts_data = "hgnc_symbol"</w:t>
      </w:r>
      <w:r>
        <w:t xml:space="preserve">,</w:t>
      </w:r>
      <w:r>
        <w:t xml:space="preserve"> </w:t>
      </w:r>
      <w:r>
        <w:rPr>
          <w:rStyle w:val="VerbatimChar"/>
        </w:rPr>
        <w:t xml:space="preserve">threshold = 0.1</w:t>
      </w:r>
      <w:r>
        <w:t xml:space="preserve">,</w:t>
      </w:r>
      <w:r>
        <w:t xml:space="preserve"> </w:t>
      </w:r>
      <w:r>
        <w:rPr>
          <w:rStyle w:val="VerbatimChar"/>
        </w:rPr>
        <w:t xml:space="preserve">threads = 4</w:t>
      </w:r>
      <w:r>
        <w:t xml:space="preserve">,</w:t>
      </w:r>
      <w:r>
        <w:t xml:space="preserve"> </w:t>
      </w:r>
      <w:r>
        <w:rPr>
          <w:rStyle w:val="VerbatimChar"/>
        </w:rPr>
        <w:t xml:space="preserve">debug_seed = 42</w:t>
      </w:r>
      <w:r>
        <w:t xml:space="preserve">,</w:t>
      </w:r>
      <w:r>
        <w:t xml:space="preserve"> </w:t>
      </w:r>
      <w:r>
        <w:rPr>
          <w:rStyle w:val="VerbatimChar"/>
        </w:rPr>
        <w:t xml:space="preserve">result_precision = 3</w:t>
      </w:r>
      <w:r>
        <w:t xml:space="preserve">. No</w:t>
      </w:r>
      <w:r>
        <w:t xml:space="preserve"> </w:t>
      </w:r>
      <w:r>
        <w:rPr>
          <w:rStyle w:val="VerbatimChar"/>
        </w:rPr>
        <w:t xml:space="preserve">iterations</w:t>
      </w:r>
      <w:r>
        <w:t xml:space="preserve"> </w:t>
      </w:r>
      <w:r>
        <w:t xml:space="preserve">argument was passed; the CellPhoneDB default of 1,000 permutations was used.</w:t>
      </w:r>
    </w:p>
    <w:p>
      <w:pPr>
        <w:pStyle w:val="BodyText"/>
      </w:pPr>
      <w:r>
        <w:t xml:space="preserve">Both versions were run separately for Elderly and Young age groups using pre-prepared count matrices and metadata files from script 09.</w:t>
      </w:r>
    </w:p>
    <w:bookmarkEnd w:id="102"/>
    <w:bookmarkStart w:id="103" w:name="cellphonedb-dot-plot-visualization"/>
    <w:p>
      <w:pPr>
        <w:pStyle w:val="Heading2"/>
      </w:pPr>
      <w:r>
        <w:t xml:space="preserve">22. CellPhoneDB Dot Plot Visualization</w:t>
      </w:r>
    </w:p>
    <w:p>
      <w:pPr>
        <w:pStyle w:val="FirstParagraph"/>
      </w:pPr>
      <w:r>
        <w:t xml:space="preserve">A comparative dot plot of CellPhoneDB results was generated in R (</w:t>
      </w:r>
      <w:r>
        <w:rPr>
          <w:rStyle w:val="VerbatimChar"/>
        </w:rPr>
        <w:t xml:space="preserve">17_cellphonedb_dotplot.R</w:t>
      </w:r>
      <w:r>
        <w:t xml:space="preserve">). Two modes were available:</w:t>
      </w:r>
      <w:r>
        <w:t xml:space="preserve"> </w:t>
      </w:r>
      <w:r>
        <w:t xml:space="preserve">-</w:t>
      </w:r>
      <w:r>
        <w:t xml:space="preserve"> </w:t>
      </w:r>
      <w:r>
        <w:rPr>
          <w:b/>
          <w:bCs/>
        </w:rPr>
        <w:t xml:space="preserve">top50</w:t>
      </w:r>
      <w:r>
        <w:t xml:space="preserve"> </w:t>
      </w:r>
      <w:r>
        <w:t xml:space="preserve">(default): Despite the mode name, selects the top 40 ligand-receptor pairs (via</w:t>
      </w:r>
      <w:r>
        <w:t xml:space="preserve"> </w:t>
      </w:r>
      <w:r>
        <w:rPr>
          <w:rStyle w:val="VerbatimChar"/>
        </w:rPr>
        <w:t xml:space="preserve">head(40)</w:t>
      </w:r>
      <w:r>
        <w:t xml:space="preserve">) by minimum p-value across all macrophage-immune cell interactions</w:t>
      </w:r>
      <w:r>
        <w:t xml:space="preserve"> </w:t>
      </w:r>
      <w:r>
        <w:t xml:space="preserve">-</w:t>
      </w:r>
      <w:r>
        <w:t xml:space="preserve"> </w:t>
      </w:r>
      <w:r>
        <w:rPr>
          <w:b/>
          <w:bCs/>
        </w:rPr>
        <w:t xml:space="preserve">curated</w:t>
      </w:r>
      <w:r>
        <w:t xml:space="preserve">: A predefined list of L-R pairs with normalized name matching to handle ordering differences between CellPhoneDB versions</w:t>
      </w:r>
    </w:p>
    <w:p>
      <w:pPr>
        <w:pStyle w:val="BodyText"/>
      </w:pPr>
      <w:r>
        <w:t xml:space="preserve">The plot focused on Macrophage-as-sender interactions with six target cell types: B cells, Cycling T cells, NK cells, NKT cells, CD4+ T cells, and CD8+ T cells. Dot size encoded</w:t>
      </w:r>
      <w:r>
        <w:t xml:space="preserve"> </w:t>
      </w:r>
      <w:r>
        <w:rPr>
          <w:rStyle w:val="VerbatimChar"/>
        </w:rPr>
        <w:t xml:space="preserve">-log10(p-value)</w:t>
      </w:r>
      <w:r>
        <w:t xml:space="preserve"> </w:t>
      </w:r>
      <w:r>
        <w:t xml:space="preserve">(capped at 3), and dot color encoded</w:t>
      </w:r>
      <w:r>
        <w:t xml:space="preserve"> </w:t>
      </w:r>
      <w:r>
        <w:rPr>
          <w:rStyle w:val="VerbatimChar"/>
        </w:rPr>
        <w:t xml:space="preserve">log2(mean expression + 1)</w:t>
      </w:r>
      <w:r>
        <w:t xml:space="preserve"> </w:t>
      </w:r>
      <w:r>
        <w:t xml:space="preserve">using a custom five-color gradient (blue</w:t>
      </w:r>
      <w:r>
        <w:t xml:space="preserve"> </w:t>
      </w:r>
      <w:r>
        <w:rPr>
          <w:rStyle w:val="VerbatimChar"/>
        </w:rPr>
        <w:t xml:space="preserve">#0072B2</w:t>
      </w:r>
      <w:r>
        <w:t xml:space="preserve"> </w:t>
      </w:r>
      <w:r>
        <w:t xml:space="preserve">→ light blue</w:t>
      </w:r>
      <w:r>
        <w:t xml:space="preserve"> </w:t>
      </w:r>
      <w:r>
        <w:rPr>
          <w:rStyle w:val="VerbatimChar"/>
        </w:rPr>
        <w:t xml:space="preserve">#56B4E9</w:t>
      </w:r>
      <w:r>
        <w:t xml:space="preserve"> </w:t>
      </w:r>
      <w:r>
        <w:t xml:space="preserve">→ yellow</w:t>
      </w:r>
      <w:r>
        <w:t xml:space="preserve"> </w:t>
      </w:r>
      <w:r>
        <w:rPr>
          <w:rStyle w:val="VerbatimChar"/>
        </w:rPr>
        <w:t xml:space="preserve">#F0E442</w:t>
      </w:r>
      <w:r>
        <w:t xml:space="preserve"> </w:t>
      </w:r>
      <w:r>
        <w:t xml:space="preserve">→ orange</w:t>
      </w:r>
      <w:r>
        <w:t xml:space="preserve"> </w:t>
      </w:r>
      <w:r>
        <w:rPr>
          <w:rStyle w:val="VerbatimChar"/>
        </w:rPr>
        <w:t xml:space="preserve">#E69F00</w:t>
      </w:r>
      <w:r>
        <w:t xml:space="preserve"> </w:t>
      </w:r>
      <w:r>
        <w:t xml:space="preserve">→ red-orange</w:t>
      </w:r>
      <w:r>
        <w:t xml:space="preserve"> </w:t>
      </w:r>
      <w:r>
        <w:rPr>
          <w:rStyle w:val="VerbatimChar"/>
        </w:rPr>
        <w:t xml:space="preserve">#D55E00</w:t>
      </w:r>
      <w:r>
        <w:t xml:space="preserve">, range: -10 to +5). In</w:t>
      </w:r>
      <w:r>
        <w:t xml:space="preserve"> </w:t>
      </w:r>
      <w:r>
        <w:rPr>
          <w:rStyle w:val="VerbatimChar"/>
        </w:rPr>
        <w:t xml:space="preserve">top50</w:t>
      </w:r>
      <w:r>
        <w:t xml:space="preserve"> </w:t>
      </w:r>
      <w:r>
        <w:t xml:space="preserve">mode, only interactions with BH-FDR corrected p &lt; 0.05 were displayed; in</w:t>
      </w:r>
      <w:r>
        <w:t xml:space="preserve"> </w:t>
      </w:r>
      <w:r>
        <w:rPr>
          <w:rStyle w:val="VerbatimChar"/>
        </w:rPr>
        <w:t xml:space="preserve">curated</w:t>
      </w:r>
      <w:r>
        <w:t xml:space="preserve"> </w:t>
      </w:r>
      <w:r>
        <w:t xml:space="preserve">mode, all predefined pairs were plotted regardless of FDR significance. X-axis labels were placed on top (manuscript convention). Age groups were labeled</w:t>
      </w:r>
      <w:r>
        <w:t xml:space="preserve"> </w:t>
      </w:r>
      <w:r>
        <w:t xml:space="preserve">“Younger”</w:t>
      </w:r>
      <w:r>
        <w:t xml:space="preserve"> </w:t>
      </w:r>
      <w:r>
        <w:t xml:space="preserve">and</w:t>
      </w:r>
      <w:r>
        <w:t xml:space="preserve"> </w:t>
      </w:r>
      <w:r>
        <w:t xml:space="preserve">“Older”</w:t>
      </w:r>
      <w:r>
        <w:t xml:space="preserve">.</w:t>
      </w:r>
    </w:p>
    <w:bookmarkEnd w:id="103"/>
    <w:bookmarkStart w:id="104" w:name="software-versions-3"/>
    <w:p>
      <w:pPr>
        <w:pStyle w:val="Heading2"/>
      </w:pPr>
      <w:r>
        <w:t xml:space="preserve">23. Software Versions</w:t>
      </w:r>
    </w:p>
    <w:p>
      <w:pPr>
        <w:pStyle w:val="FirstParagraph"/>
      </w:pPr>
      <w:r>
        <w:t xml:space="preserve">From</w:t>
      </w:r>
      <w:r>
        <w:t xml:space="preserve"> </w:t>
      </w:r>
      <w:r>
        <w:rPr>
          <w:rStyle w:val="VerbatimChar"/>
        </w:rPr>
        <w:t xml:space="preserve">environment.yml</w:t>
      </w:r>
      <w:r>
        <w:t xml:space="preserve"> </w:t>
      </w:r>
      <w:r>
        <w:t xml:space="preserve">(conda environment</w:t>
      </w:r>
      <w:r>
        <w:t xml:space="preserve"> </w:t>
      </w:r>
      <w:r>
        <w:rPr>
          <w:rStyle w:val="VerbatimChar"/>
        </w:rPr>
        <w:t xml:space="preserve">erp_brca_aging</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Software</w:t>
            </w:r>
          </w:p>
        </w:tc>
        <w:tc>
          <w:tcPr/>
          <w:p>
            <w:pPr>
              <w:pStyle w:val="Compact"/>
            </w:pPr>
            <w:r>
              <w:t xml:space="preserve">Version</w:t>
            </w:r>
          </w:p>
        </w:tc>
      </w:tr>
      <w:tr>
        <w:tc>
          <w:tcPr/>
          <w:p>
            <w:pPr>
              <w:pStyle w:val="Compact"/>
            </w:pPr>
            <w:r>
              <w:t xml:space="preserve">R</w:t>
            </w:r>
          </w:p>
        </w:tc>
        <w:tc>
          <w:tcPr/>
          <w:p>
            <w:pPr>
              <w:pStyle w:val="Compact"/>
            </w:pPr>
            <w:r>
              <w:t xml:space="preserve">4.3.3</w:t>
            </w:r>
          </w:p>
        </w:tc>
      </w:tr>
      <w:tr>
        <w:tc>
          <w:tcPr/>
          <w:p>
            <w:pPr>
              <w:pStyle w:val="Compact"/>
            </w:pPr>
            <w:r>
              <w:t xml:space="preserve">Seurat</w:t>
            </w:r>
          </w:p>
        </w:tc>
        <w:tc>
          <w:tcPr/>
          <w:p>
            <w:pPr>
              <w:pStyle w:val="Compact"/>
            </w:pPr>
            <w:r>
              <w:t xml:space="preserve">&gt;= 5.0</w:t>
            </w:r>
          </w:p>
        </w:tc>
      </w:tr>
      <w:tr>
        <w:tc>
          <w:tcPr/>
          <w:p>
            <w:pPr>
              <w:pStyle w:val="Compact"/>
            </w:pPr>
            <w:r>
              <w:t xml:space="preserve">Harmony</w:t>
            </w:r>
          </w:p>
        </w:tc>
        <w:tc>
          <w:tcPr/>
          <w:p>
            <w:pPr>
              <w:pStyle w:val="Compact"/>
            </w:pPr>
            <w:r>
              <w:t xml:space="preserve">(via conda)</w:t>
            </w:r>
          </w:p>
        </w:tc>
      </w:tr>
      <w:tr>
        <w:tc>
          <w:tcPr/>
          <w:p>
            <w:pPr>
              <w:pStyle w:val="Compact"/>
            </w:pPr>
            <w:r>
              <w:t xml:space="preserve">glmGamPoi</w:t>
            </w:r>
          </w:p>
        </w:tc>
        <w:tc>
          <w:tcPr/>
          <w:p>
            <w:pPr>
              <w:pStyle w:val="Compact"/>
            </w:pPr>
            <w:r>
              <w:t xml:space="preserve">(Bioconductor)</w:t>
            </w:r>
          </w:p>
        </w:tc>
      </w:tr>
      <w:tr>
        <w:tc>
          <w:tcPr/>
          <w:p>
            <w:pPr>
              <w:pStyle w:val="Compact"/>
            </w:pPr>
            <w:r>
              <w:t xml:space="preserve">DESeq2</w:t>
            </w:r>
          </w:p>
        </w:tc>
        <w:tc>
          <w:tcPr/>
          <w:p>
            <w:pPr>
              <w:pStyle w:val="Compact"/>
            </w:pPr>
            <w:r>
              <w:t xml:space="preserve">(Bioconductor)</w:t>
            </w:r>
          </w:p>
        </w:tc>
      </w:tr>
      <w:tr>
        <w:tc>
          <w:tcPr/>
          <w:p>
            <w:pPr>
              <w:pStyle w:val="Compact"/>
            </w:pPr>
            <w:r>
              <w:t xml:space="preserve">GSVA</w:t>
            </w:r>
          </w:p>
        </w:tc>
        <w:tc>
          <w:tcPr/>
          <w:p>
            <w:pPr>
              <w:pStyle w:val="Compact"/>
            </w:pPr>
            <w:r>
              <w:t xml:space="preserve">(Bioconductor)</w:t>
            </w:r>
          </w:p>
        </w:tc>
      </w:tr>
      <w:tr>
        <w:tc>
          <w:tcPr/>
          <w:p>
            <w:pPr>
              <w:pStyle w:val="Compact"/>
            </w:pPr>
            <w:r>
              <w:t xml:space="preserve">PROGENy</w:t>
            </w:r>
          </w:p>
        </w:tc>
        <w:tc>
          <w:tcPr/>
          <w:p>
            <w:pPr>
              <w:pStyle w:val="Compact"/>
            </w:pPr>
            <w:r>
              <w:t xml:space="preserve">(Bioconductor)</w:t>
            </w:r>
          </w:p>
        </w:tc>
      </w:tr>
      <w:tr>
        <w:tc>
          <w:tcPr/>
          <w:p>
            <w:pPr>
              <w:pStyle w:val="Compact"/>
            </w:pPr>
            <w:r>
              <w:t xml:space="preserve">msigdbr</w:t>
            </w:r>
          </w:p>
        </w:tc>
        <w:tc>
          <w:tcPr/>
          <w:p>
            <w:pPr>
              <w:pStyle w:val="Compact"/>
            </w:pPr>
            <w:r>
              <w:t xml:space="preserve">(Bioconductor)</w:t>
            </w:r>
          </w:p>
        </w:tc>
      </w:tr>
      <w:tr>
        <w:tc>
          <w:tcPr/>
          <w:p>
            <w:pPr>
              <w:pStyle w:val="Compact"/>
            </w:pPr>
            <w:r>
              <w:t xml:space="preserve">ComplexHeatmap</w:t>
            </w:r>
          </w:p>
        </w:tc>
        <w:tc>
          <w:tcPr/>
          <w:p>
            <w:pPr>
              <w:pStyle w:val="Compact"/>
            </w:pPr>
            <w:r>
              <w:t xml:space="preserve">(Bioconductor, not pinned in environment.yml)</w:t>
            </w:r>
          </w:p>
        </w:tc>
      </w:tr>
      <w:tr>
        <w:tc>
          <w:tcPr/>
          <w:p>
            <w:pPr>
              <w:pStyle w:val="Compact"/>
            </w:pPr>
            <w:r>
              <w:t xml:space="preserve">pheatmap</w:t>
            </w:r>
          </w:p>
        </w:tc>
        <w:tc>
          <w:tcPr/>
          <w:p>
            <w:pPr>
              <w:pStyle w:val="Compact"/>
            </w:pPr>
            <w:r>
              <w:t xml:space="preserve">(via R)</w:t>
            </w:r>
          </w:p>
        </w:tc>
      </w:tr>
      <w:tr>
        <w:tc>
          <w:tcPr/>
          <w:p>
            <w:pPr>
              <w:pStyle w:val="Compact"/>
            </w:pPr>
            <w:r>
              <w:t xml:space="preserve">CellChat</w:t>
            </w:r>
          </w:p>
        </w:tc>
        <w:tc>
          <w:tcPr/>
          <w:p>
            <w:pPr>
              <w:pStyle w:val="Compact"/>
            </w:pPr>
            <w:r>
              <w:t xml:space="preserve">(pre-installed, version not pinned in environment.yml)</w:t>
            </w:r>
          </w:p>
        </w:tc>
      </w:tr>
      <w:tr>
        <w:tc>
          <w:tcPr/>
          <w:p>
            <w:pPr>
              <w:pStyle w:val="Compact"/>
            </w:pPr>
            <w:r>
              <w:t xml:space="preserve">indepthPathway</w:t>
            </w:r>
          </w:p>
        </w:tc>
        <w:tc>
          <w:tcPr/>
          <w:p>
            <w:pPr>
              <w:pStyle w:val="Compact"/>
            </w:pPr>
            <w:r>
              <w:t xml:space="preserve">(optional, may not be installed)</w:t>
            </w:r>
          </w:p>
        </w:tc>
      </w:tr>
      <w:tr>
        <w:tc>
          <w:tcPr/>
          <w:p>
            <w:pPr>
              <w:pStyle w:val="Compact"/>
            </w:pPr>
            <w:r>
              <w:t xml:space="preserve">Python</w:t>
            </w:r>
          </w:p>
        </w:tc>
        <w:tc>
          <w:tcPr/>
          <w:p>
            <w:pPr>
              <w:pStyle w:val="Compact"/>
            </w:pPr>
            <w:r>
              <w:t xml:space="preserve">3.10</w:t>
            </w:r>
          </w:p>
        </w:tc>
      </w:tr>
      <w:tr>
        <w:tc>
          <w:tcPr/>
          <w:p>
            <w:pPr>
              <w:pStyle w:val="Compact"/>
            </w:pPr>
            <w:r>
              <w:t xml:space="preserve">GSEApy</w:t>
            </w:r>
          </w:p>
        </w:tc>
        <w:tc>
          <w:tcPr/>
          <w:p>
            <w:pPr>
              <w:pStyle w:val="Compact"/>
            </w:pPr>
            <w:r>
              <w:t xml:space="preserve">(via pip, version not pinned)</w:t>
            </w:r>
          </w:p>
        </w:tc>
      </w:tr>
      <w:tr>
        <w:tc>
          <w:tcPr/>
          <w:p>
            <w:pPr>
              <w:pStyle w:val="Compact"/>
            </w:pPr>
            <w:r>
              <w:t xml:space="preserve">CellPhoneDB</w:t>
            </w:r>
          </w:p>
        </w:tc>
        <w:tc>
          <w:tcPr/>
          <w:p>
            <w:pPr>
              <w:pStyle w:val="Compact"/>
            </w:pPr>
            <w:r>
              <w:t xml:space="preserve">v4/v5 (version not pinned in environment.yml)</w:t>
            </w:r>
          </w:p>
        </w:tc>
      </w:tr>
      <w:tr>
        <w:tc>
          <w:tcPr/>
          <w:p>
            <w:pPr>
              <w:pStyle w:val="Compact"/>
            </w:pPr>
            <w:r>
              <w:t xml:space="preserve">SingleR</w:t>
            </w:r>
          </w:p>
        </w:tc>
        <w:tc>
          <w:tcPr/>
          <w:p>
            <w:pPr>
              <w:pStyle w:val="Compact"/>
            </w:pPr>
            <w:r>
              <w:t xml:space="preserve">(Bioconductor, available in environment.yml but not loaded or used in current scripts)</w:t>
            </w:r>
          </w:p>
        </w:tc>
      </w:tr>
      <w:tr>
        <w:tc>
          <w:tcPr/>
          <w:p>
            <w:pPr>
              <w:pStyle w:val="Compact"/>
            </w:pPr>
            <w:r>
              <w:t xml:space="preserve">speckle</w:t>
            </w:r>
          </w:p>
        </w:tc>
        <w:tc>
          <w:tcPr/>
          <w:p>
            <w:pPr>
              <w:pStyle w:val="Compact"/>
            </w:pPr>
            <w:r>
              <w:t xml:space="preserve">(for compositional analysis, available in environment.yml but not loaded or used in current scripts)</w:t>
            </w:r>
          </w:p>
        </w:tc>
      </w:tr>
      <w:tr>
        <w:tc>
          <w:tcPr/>
          <w:p>
            <w:pPr>
              <w:pStyle w:val="Compact"/>
            </w:pPr>
            <w:r>
              <w:t xml:space="preserve">pandas</w:t>
            </w:r>
          </w:p>
        </w:tc>
        <w:tc>
          <w:tcPr/>
          <w:p>
            <w:pPr>
              <w:pStyle w:val="Compact"/>
            </w:pPr>
            <w:r>
              <w:t xml:space="preserve">(via conda)</w:t>
            </w:r>
          </w:p>
        </w:tc>
      </w:tr>
      <w:tr>
        <w:tc>
          <w:tcPr/>
          <w:p>
            <w:pPr>
              <w:pStyle w:val="Compact"/>
            </w:pPr>
            <w:r>
              <w:t xml:space="preserve">numpy</w:t>
            </w:r>
          </w:p>
        </w:tc>
        <w:tc>
          <w:tcPr/>
          <w:p>
            <w:pPr>
              <w:pStyle w:val="Compact"/>
            </w:pPr>
            <w:r>
              <w:t xml:space="preserve">(via conda)</w:t>
            </w:r>
          </w:p>
        </w:tc>
      </w:tr>
      <w:tr>
        <w:tc>
          <w:tcPr/>
          <w:p>
            <w:pPr>
              <w:pStyle w:val="Compact"/>
            </w:pPr>
            <w:r>
              <w:t xml:space="preserve">matplotlib</w:t>
            </w:r>
          </w:p>
        </w:tc>
        <w:tc>
          <w:tcPr/>
          <w:p>
            <w:pPr>
              <w:pStyle w:val="Compact"/>
            </w:pPr>
            <w:r>
              <w:t xml:space="preserve">(via conda)</w:t>
            </w:r>
          </w:p>
        </w:tc>
      </w:tr>
      <w:tr>
        <w:tc>
          <w:tcPr/>
          <w:p>
            <w:pPr>
              <w:pStyle w:val="Compact"/>
            </w:pPr>
            <w:r>
              <w:t xml:space="preserve">seaborn</w:t>
            </w:r>
          </w:p>
        </w:tc>
        <w:tc>
          <w:tcPr/>
          <w:p>
            <w:pPr>
              <w:pStyle w:val="Compact"/>
            </w:pPr>
            <w:r>
              <w:t xml:space="preserve">(via conda)</w:t>
            </w:r>
          </w:p>
        </w:tc>
      </w:tr>
      <w:tr>
        <w:tc>
          <w:tcPr/>
          <w:p>
            <w:pPr>
              <w:pStyle w:val="Compact"/>
            </w:pPr>
            <w:r>
              <w:t xml:space="preserve">scipy</w:t>
            </w:r>
          </w:p>
        </w:tc>
        <w:tc>
          <w:tcPr/>
          <w:p>
            <w:pPr>
              <w:pStyle w:val="Compact"/>
            </w:pPr>
            <w:r>
              <w:t xml:space="preserve">(used for hierarchical clustering in ENRICHR heatmaps, not pinned in environment.yml)</w:t>
            </w:r>
          </w:p>
        </w:tc>
      </w:tr>
    </w:tbl>
    <w:bookmarkEnd w:id="104"/>
    <w:bookmarkStart w:id="105" w:name="reproducibility-notes-3"/>
    <w:p>
      <w:pPr>
        <w:pStyle w:val="Heading2"/>
      </w:pPr>
      <w:r>
        <w:t xml:space="preserve">24. Reproducibility Notes</w:t>
      </w:r>
    </w:p>
    <w:p>
      <w:pPr>
        <w:pStyle w:val="Compact"/>
        <w:numPr>
          <w:ilvl w:val="0"/>
          <w:numId w:val="1013"/>
        </w:numPr>
      </w:pPr>
      <w:r>
        <w:t xml:space="preserve">All primary analysis R scripts set</w:t>
      </w:r>
      <w:r>
        <w:t xml:space="preserve"> </w:t>
      </w:r>
      <w:r>
        <w:rPr>
          <w:rStyle w:val="VerbatimChar"/>
        </w:rPr>
        <w:t xml:space="preserve">set.seed(12345)</w:t>
      </w:r>
      <w:r>
        <w:t xml:space="preserve"> </w:t>
      </w:r>
      <w:r>
        <w:t xml:space="preserve">for reproducibility of stochastic operations (PCA, UMAP, permutation tests). Auxiliary scripts (e.g.,</w:t>
      </w:r>
      <w:r>
        <w:t xml:space="preserve"> </w:t>
      </w:r>
      <w:r>
        <w:rPr>
          <w:rStyle w:val="VerbatimChar"/>
        </w:rPr>
        <w:t xml:space="preserve">regenerate_fig7bc_fonts.R</w:t>
      </w:r>
      <w:r>
        <w:t xml:space="preserve">) may omit the seed when no stochastic operations are performed.</w:t>
      </w:r>
    </w:p>
    <w:p>
      <w:pPr>
        <w:pStyle w:val="Compact"/>
        <w:numPr>
          <w:ilvl w:val="0"/>
          <w:numId w:val="1013"/>
        </w:numPr>
      </w:pPr>
      <w:r>
        <w:rPr>
          <w:rStyle w:val="VerbatimChar"/>
        </w:rPr>
        <w:t xml:space="preserve">12_enrichr_pathway_analysis.py</w:t>
      </w:r>
      <w:r>
        <w:t xml:space="preserve"> </w:t>
      </w:r>
      <w:r>
        <w:t xml:space="preserve">sets</w:t>
      </w:r>
      <w:r>
        <w:t xml:space="preserve"> </w:t>
      </w:r>
      <w:r>
        <w:rPr>
          <w:rStyle w:val="VerbatimChar"/>
        </w:rPr>
        <w:t xml:space="preserve">np.random.seed(12345)</w:t>
      </w:r>
      <w:r>
        <w:t xml:space="preserve">, though ENRICHR API calls are inherently server-side and non-deterministic.</w:t>
      </w:r>
    </w:p>
    <w:p>
      <w:pPr>
        <w:pStyle w:val="Compact"/>
        <w:numPr>
          <w:ilvl w:val="0"/>
          <w:numId w:val="1013"/>
        </w:numPr>
      </w:pPr>
      <w:r>
        <w:t xml:space="preserve">Both</w:t>
      </w:r>
      <w:r>
        <w:t xml:space="preserve"> </w:t>
      </w:r>
      <w:r>
        <w:rPr>
          <w:rStyle w:val="VerbatimChar"/>
        </w:rPr>
        <w:t xml:space="preserve">16_run_cellphonedb.py</w:t>
      </w:r>
      <w:r>
        <w:t xml:space="preserve"> </w:t>
      </w:r>
      <w:r>
        <w:t xml:space="preserve">and</w:t>
      </w:r>
      <w:r>
        <w:t xml:space="preserve"> </w:t>
      </w:r>
      <w:r>
        <w:rPr>
          <w:rStyle w:val="VerbatimChar"/>
        </w:rPr>
        <w:t xml:space="preserve">16b_run_cellphonedb_v4.py</w:t>
      </w:r>
      <w:r>
        <w:t xml:space="preserve"> </w:t>
      </w:r>
      <w:r>
        <w:t xml:space="preserve">set</w:t>
      </w:r>
      <w:r>
        <w:t xml:space="preserve"> </w:t>
      </w:r>
      <w:r>
        <w:rPr>
          <w:rStyle w:val="VerbatimChar"/>
        </w:rPr>
        <w:t xml:space="preserve">debug_seed=42</w:t>
      </w:r>
      <w:r>
        <w:t xml:space="preserve">.</w:t>
      </w:r>
    </w:p>
    <w:p>
      <w:pPr>
        <w:pStyle w:val="Compact"/>
        <w:numPr>
          <w:ilvl w:val="0"/>
          <w:numId w:val="1013"/>
        </w:numPr>
      </w:pPr>
      <w:r>
        <w:t xml:space="preserve">Seurat 5.x column name mangling (prepending</w:t>
      </w:r>
      <w:r>
        <w:t xml:space="preserve"> </w:t>
      </w:r>
      <w:r>
        <w:t xml:space="preserve">“g”</w:t>
      </w:r>
      <w:r>
        <w:t xml:space="preserve"> </w:t>
      </w:r>
      <w:r>
        <w:t xml:space="preserve">to numeric IDs, replacing “_” with</w:t>
      </w:r>
      <w:r>
        <w:t xml:space="preserve"> </w:t>
      </w:r>
      <w:r>
        <w:t xml:space="preserve">“-”</w:t>
      </w:r>
      <w:r>
        <w:t xml:space="preserve">) was explicitly handled in pseudobulk aggregation scripts (11, 14) via a reverse-mapping function.</w:t>
      </w:r>
    </w:p>
    <w:p>
      <w:pPr>
        <w:pStyle w:val="Compact"/>
        <w:numPr>
          <w:ilvl w:val="0"/>
          <w:numId w:val="1013"/>
        </w:numPr>
      </w:pPr>
      <w:r>
        <w:t xml:space="preserve">Intermediate Seurat objects were saved as RDS checkpoints at each major processing step (preprocessing, annotation, macrophage subset) to enable re-entry without recomputation.</w:t>
      </w:r>
    </w:p>
    <w:p>
      <w:pPr>
        <w:pStyle w:val="Compact"/>
        <w:numPr>
          <w:ilvl w:val="0"/>
          <w:numId w:val="1013"/>
        </w:numPr>
      </w:pPr>
      <w:r>
        <w:t xml:space="preserve">Figures were saved as PNG (300 DPI) across all scripts. Most scripts also saved PDF and/or SVG vector formats; some scripts (e.g.,</w:t>
      </w:r>
      <w:r>
        <w:t xml:space="preserve"> </w:t>
      </w:r>
      <w:r>
        <w:rPr>
          <w:rStyle w:val="VerbatimChar"/>
        </w:rPr>
        <w:t xml:space="preserve">15_multicelltype_pathway.R</w:t>
      </w:r>
      <w:r>
        <w:t xml:space="preserve">,</w:t>
      </w:r>
      <w:r>
        <w:t xml:space="preserve"> </w:t>
      </w:r>
      <w:r>
        <w:rPr>
          <w:rStyle w:val="VerbatimChar"/>
        </w:rPr>
        <w:t xml:space="preserve">regenerate_fig7bc_fonts.R</w:t>
      </w:r>
      <w:r>
        <w:t xml:space="preserve">) saved PNG + SVG without PDF.</w:t>
      </w:r>
    </w:p>
    <w:p>
      <w:pPr>
        <w:pStyle w:val="Compact"/>
        <w:numPr>
          <w:ilvl w:val="0"/>
          <w:numId w:val="1013"/>
        </w:numPr>
      </w:pPr>
      <w:r>
        <w:t xml:space="preserve">The pipeline was executed on an HPC cluster via SLURM batch scripts with varying resource allocations (8 GB for downloads up to 64+ GB for GSVA on full matrices).</w:t>
      </w:r>
    </w:p>
    <w:p>
      <w:r>
        <w:pict>
          <v:rect style="width:0;height:1.5pt" o:hralign="center" o:hrstd="t" o:hr="t"/>
        </w:pict>
      </w:r>
    </w:p>
    <w:bookmarkEnd w:id="105"/>
    <w:bookmarkStart w:id="106" w:name="main-text-summary-3"/>
    <w:p>
      <w:pPr>
        <w:pStyle w:val="Heading2"/>
      </w:pPr>
      <w:r>
        <w:t xml:space="preserve">Main Text Summary</w:t>
      </w:r>
    </w:p>
    <w:p>
      <w:pPr>
        <w:pStyle w:val="FirstParagraph"/>
      </w:pPr>
      <w:r>
        <w:t xml:space="preserve">Single-cell RNA-seq data from the Xu et al. (2024) Primary Breast Tumor Atlas were analyzed to characterize age-dependent transcriptional changes in hormone receptor-positive breast cancer. Treatment-naive HR+ patients (n ~ 36) were stratified into Young (age &lt;= 50), MidAge (51-80), and Elderly (&gt; 80) groups. Following quality control (200-6,000 genes, &gt;= 400 UMIs, &lt; 15% mitochondrial), SCTransform normalization, Harmony batch correction across 9 source studies, and atlas-derived cell type annotation (18 cell types), the dataset comprised approximately 115,000 cells. Cell type proportions were compared across age groups using Wilcoxon rank-sum tests with BH-FDR correction. GSVA pathway activity analysis was performed on estrogen-related gene sets from Hallmark, Reactome, WikiPathways, and GO collections, using pseudo-bulk aggregation (CPM + log2, Gaussian kernel). PROGENy footprint-based pathway activity and WCSEA enrichment supplemented GSVA findings. Macrophage-focused pseudobulk differential expression (DESeq2) identified age-associated genes, with downstream pathway enrichment (hypergeometric test, Hallmark/BioCarta) and ENRICHR analysis (6 databases, per-library FDR correction). Cell-cell communication was assessed using both CellPhoneDB (v4/v5, 1,000-iteration permutation test) and CellChat (Secreted Signaling database, truncated mean method), comparing macrophage-immune cell interactions between age groups. Multi-cell-type GSVA with Welch t-tests on per-patient pseudo-bulk scores (curated-pathway FDR correction) identified age-differential pathway activity patterns across immune, epithelial, and stromal compartments.</w:t>
      </w:r>
      <w:r>
        <w:t xml:space="preserve"> </w:t>
      </w:r>
      <w:r>
        <w:t xml:space="preserve"># Methods: Rat Bulk RNA-seq Analysis (Section 05)</w:t>
      </w:r>
    </w:p>
    <w:bookmarkEnd w:id="106"/>
    <w:bookmarkStart w:id="107" w:name="data-acquisition-4"/>
    <w:p>
      <w:pPr>
        <w:pStyle w:val="Heading2"/>
      </w:pPr>
      <w:r>
        <w:t xml:space="preserve">1. Data Acquisition</w:t>
      </w:r>
    </w:p>
    <w:p>
      <w:pPr>
        <w:pStyle w:val="FirstParagraph"/>
      </w:pPr>
      <w:r>
        <w:t xml:space="preserve">Paired-end bulk RNA-seq data were generated from rat mammary tumors (GEO accession GSE276757). Raw FASTQ files were obtained from six tumor samples (102-FF-Tumor, 107-L4t2-Tumor, 116-R4-Tumor, 157-R2-Tumor, 158-L2-Tumor, 167-L2-Tumor) stored at</w:t>
      </w:r>
      <w:r>
        <w:t xml:space="preserve"> </w:t>
      </w:r>
      <w:r>
        <w:rPr>
          <w:rStyle w:val="VerbatimChar"/>
        </w:rPr>
        <w:t xml:space="preserve">/ix1/alee/LO_LAB/General/Lab_Data/20240622_Neil_Rahul_RNASeqRat</w:t>
      </w:r>
      <w:r>
        <w:t xml:space="preserve">. Sample phenotype assignments (CONTROL vs TEST) were defined in a metadata file (</w:t>
      </w:r>
      <w:r>
        <w:rPr>
          <w:rStyle w:val="VerbatimChar"/>
        </w:rPr>
        <w:t xml:space="preserve">data/rat_bulk_rnaseq/sample_metadata.csv</w:t>
      </w:r>
      <w:r>
        <w:t xml:space="preserve">), with TYPE encoded as a two-level factor (reference level: CONTROL).</w:t>
      </w:r>
    </w:p>
    <w:bookmarkEnd w:id="107"/>
    <w:bookmarkStart w:id="108" w:name="read-trimming"/>
    <w:p>
      <w:pPr>
        <w:pStyle w:val="Heading2"/>
      </w:pPr>
      <w:r>
        <w:t xml:space="preserve">2. Read Trimming</w:t>
      </w:r>
    </w:p>
    <w:p>
      <w:pPr>
        <w:pStyle w:val="FirstParagraph"/>
      </w:pPr>
      <w:r>
        <w:t xml:space="preserve">Raw paired-end reads were adapter-trimmed and quality-filtered using fastp v0.23.4 (</w:t>
      </w:r>
      <w:r>
        <w:rPr>
          <w:rStyle w:val="VerbatimChar"/>
        </w:rPr>
        <w:t xml:space="preserve">00_fastp_trim.sh</w:t>
      </w:r>
      <w:r>
        <w:t xml:space="preserve">). Adapter sequences were auto-detected for paired-end reads (</w:t>
      </w:r>
      <w:r>
        <w:rPr>
          <w:rStyle w:val="VerbatimChar"/>
        </w:rPr>
        <w:t xml:space="preserve">--detect_adapter_for_pe</w:t>
      </w:r>
      <w:r>
        <w:t xml:space="preserve">). Bases with Phred quality scores below 20 were trimmed (</w:t>
      </w:r>
      <w:r>
        <w:rPr>
          <w:rStyle w:val="VerbatimChar"/>
        </w:rPr>
        <w:t xml:space="preserve">--qualified_quality_phred 20</w:t>
      </w:r>
      <w:r>
        <w:t xml:space="preserve">), and reads shorter than 36 bp after trimming were discarded (</w:t>
      </w:r>
      <w:r>
        <w:rPr>
          <w:rStyle w:val="VerbatimChar"/>
        </w:rPr>
        <w:t xml:space="preserve">--length_required 36</w:t>
      </w:r>
      <w:r>
        <w:t xml:space="preserve">). Processing used 8 threads per sample. Per-sample HTML and JSON quality reports were generated.</w:t>
      </w:r>
    </w:p>
    <w:bookmarkEnd w:id="108"/>
    <w:bookmarkStart w:id="109" w:name="read-alignment"/>
    <w:p>
      <w:pPr>
        <w:pStyle w:val="Heading2"/>
      </w:pPr>
      <w:r>
        <w:t xml:space="preserve">3. Read Alignment</w:t>
      </w:r>
    </w:p>
    <w:p>
      <w:pPr>
        <w:pStyle w:val="FirstParagraph"/>
      </w:pPr>
      <w:r>
        <w:t xml:space="preserve">Trimmed reads were aligned to the rat genome (Rattus norvegicus, mRatBN7.2 assembly) using STAR v2.7.11b (</w:t>
      </w:r>
      <w:r>
        <w:rPr>
          <w:rStyle w:val="VerbatimChar"/>
        </w:rPr>
        <w:t xml:space="preserve">01_alignment.sh</w:t>
      </w:r>
      <w:r>
        <w:t xml:space="preserve">). A pre-built STAR genome index located at</w:t>
      </w:r>
      <w:r>
        <w:t xml:space="preserve"> </w:t>
      </w:r>
      <w:r>
        <w:rPr>
          <w:rStyle w:val="VerbatimChar"/>
        </w:rPr>
        <w:t xml:space="preserve">/ix1/alee/LO_LAB/Personal/Rahul/Reference_genome/Rat</w:t>
      </w:r>
      <w:r>
        <w:t xml:space="preserve"> </w:t>
      </w:r>
      <w:r>
        <w:t xml:space="preserve">was used. STAR alignment used binary version 2.7.11b against a genome index generated with version 2.7.4a. While Ensembl recommends version-matched indices, STAR maintains backward compatibility for minor version differences and no alignment errors were reported. Alignment was performed with 64 threads (</w:t>
      </w:r>
      <w:r>
        <w:rPr>
          <w:rStyle w:val="VerbatimChar"/>
        </w:rPr>
        <w:t xml:space="preserve">--runThreadN 64</w:t>
      </w:r>
      <w:r>
        <w:t xml:space="preserve">), compressed input handling via</w:t>
      </w:r>
      <w:r>
        <w:t xml:space="preserve"> </w:t>
      </w:r>
      <w:r>
        <w:rPr>
          <w:rStyle w:val="VerbatimChar"/>
        </w:rPr>
        <w:t xml:space="preserve">zcat</w:t>
      </w:r>
      <w:r>
        <w:t xml:space="preserve"> </w:t>
      </w:r>
      <w:r>
        <w:t xml:space="preserve">(</w:t>
      </w:r>
      <w:r>
        <w:rPr>
          <w:rStyle w:val="VerbatimChar"/>
        </w:rPr>
        <w:t xml:space="preserve">--readFilesCommand zcat</w:t>
      </w:r>
      <w:r>
        <w:t xml:space="preserve">), and output as coordinate-sorted BAM files (</w:t>
      </w:r>
      <w:r>
        <w:rPr>
          <w:rStyle w:val="VerbatimChar"/>
        </w:rPr>
        <w:t xml:space="preserve">--outSAMtype BAM SortedByCoordinate</w:t>
      </w:r>
      <w:r>
        <w:t xml:space="preserve">). BAM sorting used 8 threads (</w:t>
      </w:r>
      <w:r>
        <w:rPr>
          <w:rStyle w:val="VerbatimChar"/>
        </w:rPr>
        <w:t xml:space="preserve">--outBAMsortingThreadN 8</w:t>
      </w:r>
      <w:r>
        <w:t xml:space="preserve">). Quantification was performed in both transcriptome-level and gene-level modes (</w:t>
      </w:r>
      <w:r>
        <w:rPr>
          <w:rStyle w:val="VerbatimChar"/>
        </w:rPr>
        <w:t xml:space="preserve">--quantMode TranscriptomeSAM GeneCounts</w:t>
      </w:r>
      <w:r>
        <w:t xml:space="preserve">).</w:t>
      </w:r>
    </w:p>
    <w:bookmarkEnd w:id="109"/>
    <w:bookmarkStart w:id="110" w:name="gene-level-quantification"/>
    <w:p>
      <w:pPr>
        <w:pStyle w:val="Heading2"/>
      </w:pPr>
      <w:r>
        <w:t xml:space="preserve">4. Gene-Level Quantification</w:t>
      </w:r>
    </w:p>
    <w:p>
      <w:pPr>
        <w:pStyle w:val="FirstParagraph"/>
      </w:pPr>
      <w:r>
        <w:t xml:space="preserve">Gene-level read counts were generated from sorted BAM files using htseq-count v0.13.5 (</w:t>
      </w:r>
      <w:r>
        <w:rPr>
          <w:rStyle w:val="VerbatimChar"/>
        </w:rPr>
        <w:t xml:space="preserve">02_htseq_count.sh</w:t>
      </w:r>
      <w:r>
        <w:t xml:space="preserve">). Reads were counted against the Ensembl rat gene annotation (Rattus_norvegicus.mRatBN7.2.112.gtf). Parameters were: BAM format input (</w:t>
      </w:r>
      <w:r>
        <w:rPr>
          <w:rStyle w:val="VerbatimChar"/>
        </w:rPr>
        <w:t xml:space="preserve">-f bam</w:t>
      </w:r>
      <w:r>
        <w:t xml:space="preserve">), position-sorted reads (</w:t>
      </w:r>
      <w:r>
        <w:rPr>
          <w:rStyle w:val="VerbatimChar"/>
        </w:rPr>
        <w:t xml:space="preserve">-r pos</w:t>
      </w:r>
      <w:r>
        <w:t xml:space="preserve">), reverse-stranded library protocol (</w:t>
      </w:r>
      <w:r>
        <w:rPr>
          <w:rStyle w:val="VerbatimChar"/>
        </w:rPr>
        <w:t xml:space="preserve">-s reverse</w:t>
      </w:r>
      <w:r>
        <w:t xml:space="preserve">), feature type exon (</w:t>
      </w:r>
      <w:r>
        <w:rPr>
          <w:rStyle w:val="VerbatimChar"/>
        </w:rPr>
        <w:t xml:space="preserve">-t exon</w:t>
      </w:r>
      <w:r>
        <w:t xml:space="preserve">), and gene identifier attribute</w:t>
      </w:r>
      <w:r>
        <w:t xml:space="preserve"> </w:t>
      </w:r>
      <w:r>
        <w:rPr>
          <w:rStyle w:val="VerbatimChar"/>
        </w:rPr>
        <w:t xml:space="preserve">gene_id</w:t>
      </w:r>
      <w:r>
        <w:t xml:space="preserve"> </w:t>
      </w:r>
      <w:r>
        <w:t xml:space="preserve">(</w:t>
      </w:r>
      <w:r>
        <w:rPr>
          <w:rStyle w:val="VerbatimChar"/>
        </w:rPr>
        <w:t xml:space="preserve">-i gene_id</w:t>
      </w:r>
      <w:r>
        <w:t xml:space="preserve">). HTSeq-count was run in reverse-stranded mode, consistent with the dUTP-based library preparation protocol used for these samples. HTSeq summary lines (prefixed with</w:t>
      </w:r>
      <w:r>
        <w:t xml:space="preserve"> </w:t>
      </w:r>
      <w:r>
        <w:rPr>
          <w:rStyle w:val="VerbatimChar"/>
        </w:rPr>
        <w:t xml:space="preserve">__</w:t>
      </w:r>
      <w:r>
        <w:t xml:space="preserve">) were excluded from downstream analyses.</w:t>
      </w:r>
    </w:p>
    <w:bookmarkEnd w:id="110"/>
    <w:bookmarkStart w:id="111" w:name="differential-expression-analysis"/>
    <w:p>
      <w:pPr>
        <w:pStyle w:val="Heading2"/>
      </w:pPr>
      <w:r>
        <w:t xml:space="preserve">5. Differential Expression Analysis</w:t>
      </w:r>
    </w:p>
    <w:p>
      <w:pPr>
        <w:pStyle w:val="FirstParagraph"/>
      </w:pPr>
      <w:r>
        <w:t xml:space="preserve">Differential expression analysis was performed using DESeq2 (</w:t>
      </w:r>
      <w:r>
        <w:rPr>
          <w:rStyle w:val="VerbatimChar"/>
        </w:rPr>
        <w:t xml:space="preserve">03_deseq2.R</w:t>
      </w:r>
      <w:r>
        <w:t xml:space="preserve">) with a random seed of 12345. Individual HTSeq count files were loaded, parsed with</w:t>
      </w:r>
      <w:r>
        <w:t xml:space="preserve"> </w:t>
      </w:r>
      <w:r>
        <w:rPr>
          <w:rStyle w:val="VerbatimChar"/>
        </w:rPr>
        <w:t xml:space="preserve">data.table::fread()</w:t>
      </w:r>
      <w:r>
        <w:t xml:space="preserve">, and assembled into a gene-by-sample count matrix. HTSeq summary rows (lines beginning with</w:t>
      </w:r>
      <w:r>
        <w:t xml:space="preserve"> </w:t>
      </w:r>
      <w:r>
        <w:rPr>
          <w:rStyle w:val="VerbatimChar"/>
        </w:rPr>
        <w:t xml:space="preserve">__</w:t>
      </w:r>
      <w:r>
        <w:t xml:space="preserve">) were removed.</w:t>
      </w:r>
    </w:p>
    <w:p>
      <w:pPr>
        <w:pStyle w:val="BodyText"/>
      </w:pPr>
      <w:r>
        <w:t xml:space="preserve">A</w:t>
      </w:r>
      <w:r>
        <w:t xml:space="preserve"> </w:t>
      </w:r>
      <w:r>
        <w:rPr>
          <w:rStyle w:val="VerbatimChar"/>
        </w:rPr>
        <w:t xml:space="preserve">DESeqDataSet</w:t>
      </w:r>
      <w:r>
        <w:t xml:space="preserve"> </w:t>
      </w:r>
      <w:r>
        <w:t xml:space="preserve">was constructed from the count matrix and sample metadata using the design formula</w:t>
      </w:r>
      <w:r>
        <w:t xml:space="preserve"> </w:t>
      </w:r>
      <w:r>
        <w:rPr>
          <w:rStyle w:val="VerbatimChar"/>
        </w:rPr>
        <w:t xml:space="preserve">~ TYPE</w:t>
      </w:r>
      <w:r>
        <w:t xml:space="preserve">. The DESeq2 pipeline was executed via the default</w:t>
      </w:r>
      <w:r>
        <w:t xml:space="preserve"> </w:t>
      </w:r>
      <w:r>
        <w:rPr>
          <w:rStyle w:val="VerbatimChar"/>
        </w:rPr>
        <w:t xml:space="preserve">DESeq()</w:t>
      </w:r>
      <w:r>
        <w:t xml:space="preserve"> </w:t>
      </w:r>
      <w:r>
        <w:t xml:space="preserve">call, which internally performed size factor estimation (median-of-ratios method), dispersion estimation (shrinkage), and negative binomial Wald tests. Results were extracted for the contrast TEST vs CONTROL (</w:t>
      </w:r>
      <w:r>
        <w:rPr>
          <w:rStyle w:val="VerbatimChar"/>
        </w:rPr>
        <w:t xml:space="preserve">results(dds, contrast = c("TYPE", "TEST", "CONTROL"))</w:t>
      </w:r>
      <w:r>
        <w:t xml:space="preserve">).</w:t>
      </w:r>
    </w:p>
    <w:p>
      <w:pPr>
        <w:pStyle w:val="BodyText"/>
      </w:pPr>
      <w:r>
        <w:t xml:space="preserve">Gene symbols were annotated by querying the Ensembl BioMart database (</w:t>
      </w:r>
      <w:r>
        <w:rPr>
          <w:rStyle w:val="VerbatimChar"/>
        </w:rPr>
        <w:t xml:space="preserve">rnorvegicus_gene_ensembl</w:t>
      </w:r>
      <w:r>
        <w:t xml:space="preserve"> </w:t>
      </w:r>
      <w:r>
        <w:t xml:space="preserve">dataset) for</w:t>
      </w:r>
      <w:r>
        <w:t xml:space="preserve"> </w:t>
      </w:r>
      <w:r>
        <w:rPr>
          <w:rStyle w:val="VerbatimChar"/>
        </w:rPr>
        <w:t xml:space="preserve">external_gene_name</w:t>
      </w:r>
      <w:r>
        <w:t xml:space="preserve"> </w:t>
      </w:r>
      <w:r>
        <w:t xml:space="preserve">attributes using the</w:t>
      </w:r>
      <w:r>
        <w:t xml:space="preserve"> </w:t>
      </w:r>
      <w:r>
        <w:rPr>
          <w:rStyle w:val="VerbatimChar"/>
        </w:rPr>
        <w:t xml:space="preserve">biomaRt</w:t>
      </w:r>
      <w:r>
        <w:t xml:space="preserve"> </w:t>
      </w:r>
      <w:r>
        <w:t xml:space="preserve">package. This query was wrapped in</w:t>
      </w:r>
      <w:r>
        <w:t xml:space="preserve"> </w:t>
      </w:r>
      <w:r>
        <w:rPr>
          <w:rStyle w:val="VerbatimChar"/>
        </w:rPr>
        <w:t xml:space="preserve">tryCatch()</w:t>
      </w:r>
      <w:r>
        <w:t xml:space="preserve"> </w:t>
      </w:r>
      <w:r>
        <w:t xml:space="preserve">to handle network failures gracefully.</w:t>
      </w:r>
    </w:p>
    <w:p>
      <w:pPr>
        <w:pStyle w:val="BodyText"/>
      </w:pPr>
      <w:r>
        <w:t xml:space="preserve">Significantly differentially expressed genes were defined as those with Benjamini-Hochberg adjusted p-value (FDR) &lt; 0.05. Results were saved as both the full result table (</w:t>
      </w:r>
      <w:r>
        <w:rPr>
          <w:rStyle w:val="VerbatimChar"/>
        </w:rPr>
        <w:t xml:space="preserve">deseq2_results.csv</w:t>
      </w:r>
      <w:r>
        <w:t xml:space="preserve">) and the FDR-filtered subset sorted by ascending adjusted p-value (</w:t>
      </w:r>
      <w:r>
        <w:rPr>
          <w:rStyle w:val="VerbatimChar"/>
        </w:rPr>
        <w:t xml:space="preserve">deseq2_results_significant.csv</w:t>
      </w:r>
      <w:r>
        <w:t xml:space="preserve">).</w:t>
      </w:r>
    </w:p>
    <w:p>
      <w:pPr>
        <w:pStyle w:val="BodyText"/>
      </w:pPr>
      <w:r>
        <w:t xml:space="preserve">DESeq2 size-factor-normalized counts were also exported. These normalized counts were rescaled to a per-million basis via</w:t>
      </w:r>
      <w:r>
        <w:t xml:space="preserve"> </w:t>
      </w:r>
      <w:r>
        <w:rPr>
          <w:rStyle w:val="VerbatimChar"/>
        </w:rPr>
        <w:t xml:space="preserve">sweep(norm_counts, 2, colSums(norm_counts), "/") * 1e6</w:t>
      </w:r>
      <w:r>
        <w:t xml:space="preserve"> </w:t>
      </w:r>
      <w:r>
        <w:t xml:space="preserve">and saved as</w:t>
      </w:r>
      <w:r>
        <w:t xml:space="preserve"> </w:t>
      </w:r>
      <w:r>
        <w:rPr>
          <w:rStyle w:val="VerbatimChar"/>
        </w:rPr>
        <w:t xml:space="preserve">normalized_cpm.csv</w:t>
      </w:r>
      <w:r>
        <w:t xml:space="preserve"> </w:t>
      </w:r>
      <w:r>
        <w:t xml:space="preserve">for use in PAM50 subtyping. Note: these are DESeq2 size-factor-normalized counts rescaled to counts-per-million (CPM), not true TPM (which requires gene-length normalization). The PAM50 script explicitly transforms these values to log2(CPM + 1) and median-centers each gene across samples before passing the matrix to</w:t>
      </w:r>
      <w:r>
        <w:t xml:space="preserve"> </w:t>
      </w:r>
      <w:r>
        <w:rPr>
          <w:rStyle w:val="VerbatimChar"/>
        </w:rPr>
        <w:t xml:space="preserve">genefu::molecular.subtyping()</w:t>
      </w:r>
      <w:r>
        <w:t xml:space="preserve"> </w:t>
      </w:r>
      <w:r>
        <w:t xml:space="preserve">(see Section 6.2), which partially compensates for the lack of gene-length normalization.</w:t>
      </w:r>
    </w:p>
    <w:bookmarkEnd w:id="111"/>
    <w:bookmarkStart w:id="116" w:name="pam50-molecular-subtyping"/>
    <w:p>
      <w:pPr>
        <w:pStyle w:val="Heading2"/>
      </w:pPr>
      <w:r>
        <w:t xml:space="preserve">6. PAM50 Molecular Subtyping</w:t>
      </w:r>
    </w:p>
    <w:p>
      <w:pPr>
        <w:pStyle w:val="FirstParagraph"/>
      </w:pPr>
      <w:r>
        <w:t xml:space="preserve">PAM50 intrinsic subtype classification was performed using the genefu R package (</w:t>
      </w:r>
      <w:r>
        <w:rPr>
          <w:rStyle w:val="VerbatimChar"/>
        </w:rPr>
        <w:t xml:space="preserve">04_pam50_subtyping.R</w:t>
      </w:r>
      <w:r>
        <w:t xml:space="preserve">) with a random seed of 12345. The PAM50 centroids and robust model were loaded via</w:t>
      </w:r>
      <w:r>
        <w:t xml:space="preserve"> </w:t>
      </w:r>
      <w:r>
        <w:rPr>
          <w:rStyle w:val="VerbatimChar"/>
        </w:rPr>
        <w:t xml:space="preserve">data("pam50")</w:t>
      </w:r>
      <w:r>
        <w:t xml:space="preserve"> </w:t>
      </w:r>
      <w:r>
        <w:t xml:space="preserve">and</w:t>
      </w:r>
      <w:r>
        <w:t xml:space="preserve"> </w:t>
      </w:r>
      <w:r>
        <w:rPr>
          <w:rStyle w:val="VerbatimChar"/>
        </w:rPr>
        <w:t xml:space="preserve">data("pam50.robust")</w:t>
      </w:r>
      <w:r>
        <w:t xml:space="preserve">.</w:t>
      </w:r>
    </w:p>
    <w:bookmarkStart w:id="112" w:name="ortholog-mapping"/>
    <w:p>
      <w:pPr>
        <w:pStyle w:val="Heading3"/>
      </w:pPr>
      <w:r>
        <w:t xml:space="preserve">6.1 Ortholog Mapping</w:t>
      </w:r>
    </w:p>
    <w:p>
      <w:pPr>
        <w:pStyle w:val="FirstParagraph"/>
      </w:pPr>
      <w:r>
        <w:t xml:space="preserve">A hardcoded human-to-rat gene symbol mapping was defined for all 50 PAM50 genes (e.g.,</w:t>
      </w:r>
      <w:r>
        <w:t xml:space="preserve"> </w:t>
      </w:r>
      <w:r>
        <w:rPr>
          <w:rStyle w:val="VerbatimChar"/>
        </w:rPr>
        <w:t xml:space="preserve">"ACTR3B" = "Actr3b"</w:t>
      </w:r>
      <w:r>
        <w:t xml:space="preserve">,</w:t>
      </w:r>
      <w:r>
        <w:t xml:space="preserve"> </w:t>
      </w:r>
      <w:r>
        <w:rPr>
          <w:rStyle w:val="VerbatimChar"/>
        </w:rPr>
        <w:t xml:space="preserve">"ESR1" = "Esr1"</w:t>
      </w:r>
      <w:r>
        <w:t xml:space="preserve">). This mapping included alternative gene names (</w:t>
      </w:r>
      <w:r>
        <w:rPr>
          <w:rStyle w:val="VerbatimChar"/>
        </w:rPr>
        <w:t xml:space="preserve">"CDCA1" = "Nuf2"</w:t>
      </w:r>
      <w:r>
        <w:t xml:space="preserve">,</w:t>
      </w:r>
      <w:r>
        <w:t xml:space="preserve"> </w:t>
      </w:r>
      <w:r>
        <w:rPr>
          <w:rStyle w:val="VerbatimChar"/>
        </w:rPr>
        <w:t xml:space="preserve">"KNTC2" = "Ndc80"</w:t>
      </w:r>
      <w:r>
        <w:t xml:space="preserve">,</w:t>
      </w:r>
      <w:r>
        <w:t xml:space="preserve"> </w:t>
      </w:r>
      <w:r>
        <w:rPr>
          <w:rStyle w:val="VerbatimChar"/>
        </w:rPr>
        <w:t xml:space="preserve">"ORC6L" = "Orc6"</w:t>
      </w:r>
      <w:r>
        <w:t xml:space="preserve">). Gene coverage was assessed post-mapping, with a warning threshold of fewer than 40 of 50 genes present.</w:t>
      </w:r>
    </w:p>
    <w:bookmarkEnd w:id="112"/>
    <w:bookmarkStart w:id="113" w:name="expression-data-preparation"/>
    <w:p>
      <w:pPr>
        <w:pStyle w:val="Heading3"/>
      </w:pPr>
      <w:r>
        <w:t xml:space="preserve">6.2 Expression Data Preparation</w:t>
      </w:r>
    </w:p>
    <w:p>
      <w:pPr>
        <w:pStyle w:val="FirstParagraph"/>
      </w:pPr>
      <w:r>
        <w:t xml:space="preserve">The CPM-normalized expression matrix (</w:t>
      </w:r>
      <w:r>
        <w:rPr>
          <w:rStyle w:val="VerbatimChar"/>
        </w:rPr>
        <w:t xml:space="preserve">normalized_cpm.csv</w:t>
      </w:r>
      <w:r>
        <w:t xml:space="preserve">) was loaded. Ensembl gene IDs (detected by the</w:t>
      </w:r>
      <w:r>
        <w:t xml:space="preserve"> </w:t>
      </w:r>
      <w:r>
        <w:rPr>
          <w:rStyle w:val="VerbatimChar"/>
        </w:rPr>
        <w:t xml:space="preserve">ENSRNOG</w:t>
      </w:r>
      <w:r>
        <w:t xml:space="preserve"> </w:t>
      </w:r>
      <w:r>
        <w:t xml:space="preserve">prefix) were converted to gene symbols via BioMart query (</w:t>
      </w:r>
      <w:r>
        <w:rPr>
          <w:rStyle w:val="VerbatimChar"/>
        </w:rPr>
        <w:t xml:space="preserve">rnorvegicus_gene_ensembl</w:t>
      </w:r>
      <w:r>
        <w:t xml:space="preserve"> </w:t>
      </w:r>
      <w:r>
        <w:t xml:space="preserve">dataset). For duplicated gene symbols, the row with the highest mean expression across samples was retained. The expression matrix was then subset to available PAM50 ortholog genes, transformed to log2(CPM + 1), and median-centered per gene across samples (i.e., each gene’s median expression was subtracted). The centered matrix was transposed to samples-by-genes orientation. Column names were remapped to human gene symbols for compatibility with genefu centroids.</w:t>
      </w:r>
    </w:p>
    <w:bookmarkEnd w:id="113"/>
    <w:bookmarkStart w:id="114" w:name="classification"/>
    <w:p>
      <w:pPr>
        <w:pStyle w:val="Heading3"/>
      </w:pPr>
      <w:r>
        <w:t xml:space="preserve">6.3 Classification</w:t>
      </w:r>
    </w:p>
    <w:p>
      <w:pPr>
        <w:pStyle w:val="FirstParagraph"/>
      </w:pPr>
      <w:r>
        <w:t xml:space="preserve">Subtype classification was performed via</w:t>
      </w:r>
      <w:r>
        <w:t xml:space="preserve"> </w:t>
      </w:r>
      <w:r>
        <w:rPr>
          <w:rStyle w:val="VerbatimChar"/>
        </w:rPr>
        <w:t xml:space="preserve">molecular.subtyping(sbt.model = "pam50", data = pam50_tpm, annot = annot_df, do.mapping = FALSE)</w:t>
      </w:r>
      <w:r>
        <w:t xml:space="preserve">. A minimal annotation data frame was constructed with</w:t>
      </w:r>
      <w:r>
        <w:t xml:space="preserve"> </w:t>
      </w:r>
      <w:r>
        <w:rPr>
          <w:rStyle w:val="VerbatimChar"/>
        </w:rPr>
        <w:t xml:space="preserve">probe</w:t>
      </w:r>
      <w:r>
        <w:t xml:space="preserve"> </w:t>
      </w:r>
      <w:r>
        <w:t xml:space="preserve">and</w:t>
      </w:r>
      <w:r>
        <w:t xml:space="preserve"> </w:t>
      </w:r>
      <w:r>
        <w:rPr>
          <w:rStyle w:val="VerbatimChar"/>
        </w:rPr>
        <w:t xml:space="preserve">Gene.Symbol</w:t>
      </w:r>
      <w:r>
        <w:t xml:space="preserve"> </w:t>
      </w:r>
      <w:r>
        <w:t xml:space="preserve">columns set to the human gene symbols, and</w:t>
      </w:r>
      <w:r>
        <w:t xml:space="preserve"> </w:t>
      </w:r>
      <w:r>
        <w:rPr>
          <w:rStyle w:val="VerbatimChar"/>
        </w:rPr>
        <w:t xml:space="preserve">EntrezGene.ID</w:t>
      </w:r>
      <w:r>
        <w:t xml:space="preserve"> </w:t>
      </w:r>
      <w:r>
        <w:t xml:space="preserve">set to</w:t>
      </w:r>
      <w:r>
        <w:t xml:space="preserve"> </w:t>
      </w:r>
      <w:r>
        <w:rPr>
          <w:rStyle w:val="VerbatimChar"/>
        </w:rPr>
        <w:t xml:space="preserve">NA</w:t>
      </w:r>
      <w:r>
        <w:t xml:space="preserve">. The</w:t>
      </w:r>
      <w:r>
        <w:t xml:space="preserve"> </w:t>
      </w:r>
      <w:r>
        <w:rPr>
          <w:rStyle w:val="VerbatimChar"/>
        </w:rPr>
        <w:t xml:space="preserve">do.mapping = FALSE</w:t>
      </w:r>
      <w:r>
        <w:t xml:space="preserve"> </w:t>
      </w:r>
      <w:r>
        <w:t xml:space="preserve">flag was used since gene names were pre-mapped to match the PAM50 centroid row names.</w:t>
      </w:r>
    </w:p>
    <w:bookmarkEnd w:id="114"/>
    <w:bookmarkStart w:id="115" w:name="outputs"/>
    <w:p>
      <w:pPr>
        <w:pStyle w:val="Heading3"/>
      </w:pPr>
      <w:r>
        <w:t xml:space="preserve">6.4 Outputs</w:t>
      </w:r>
    </w:p>
    <w:p>
      <w:pPr>
        <w:pStyle w:val="FirstParagraph"/>
      </w:pPr>
      <w:r>
        <w:t xml:space="preserve">Per-sample subtype assignments and subtype posterior probabilities were saved to</w:t>
      </w:r>
      <w:r>
        <w:t xml:space="preserve"> </w:t>
      </w:r>
      <w:r>
        <w:rPr>
          <w:rStyle w:val="VerbatimChar"/>
        </w:rPr>
        <w:t xml:space="preserve">pam50_subtypes.csv</w:t>
      </w:r>
      <w:r>
        <w:t xml:space="preserve">. Two heatmaps were generated as PDF files:</w:t>
      </w:r>
      <w:r>
        <w:t xml:space="preserve"> </w:t>
      </w:r>
      <w:r>
        <w:t xml:space="preserve">-</w:t>
      </w:r>
      <w:r>
        <w:t xml:space="preserve"> </w:t>
      </w:r>
      <w:r>
        <w:rPr>
          <w:rStyle w:val="VerbatimChar"/>
        </w:rPr>
        <w:t xml:space="preserve">pam50_heatmap.pdf</w:t>
      </w:r>
      <w:r>
        <w:t xml:space="preserve"> </w:t>
      </w:r>
      <w:r>
        <w:t xml:space="preserve">(12 x 15 inches): Z-score-normalized (row-scaled via</w:t>
      </w:r>
      <w:r>
        <w:t xml:space="preserve"> </w:t>
      </w:r>
      <w:r>
        <w:rPr>
          <w:rStyle w:val="VerbatimChar"/>
        </w:rPr>
        <w:t xml:space="preserve">scale()</w:t>
      </w:r>
      <w:r>
        <w:t xml:space="preserve">) PAM50 gene expression, annotated by predicted subtype, with column clustering disabled (</w:t>
      </w:r>
      <w:r>
        <w:rPr>
          <w:rStyle w:val="VerbatimChar"/>
        </w:rPr>
        <w:t xml:space="preserve">cluster_cols = FALSE</w:t>
      </w:r>
      <w:r>
        <w:t xml:space="preserve">).</w:t>
      </w:r>
      <w:r>
        <w:t xml:space="preserve"> </w:t>
      </w:r>
      <w:r>
        <w:t xml:space="preserve">-</w:t>
      </w:r>
      <w:r>
        <w:t xml:space="preserve"> </w:t>
      </w:r>
      <w:r>
        <w:rPr>
          <w:rStyle w:val="VerbatimChar"/>
        </w:rPr>
        <w:t xml:space="preserve">pam50_probabilities_heatmap.pdf</w:t>
      </w:r>
      <w:r>
        <w:t xml:space="preserve"> </w:t>
      </w:r>
      <w:r>
        <w:t xml:space="preserve">(12 x 8 inches): Transposed subtype probability matrix with both row and column clustering disabled.</w:t>
      </w:r>
    </w:p>
    <w:p>
      <w:pPr>
        <w:pStyle w:val="BodyText"/>
      </w:pPr>
      <w:r>
        <w:t xml:space="preserve">Both heatmaps were rendered using</w:t>
      </w:r>
      <w:r>
        <w:t xml:space="preserve"> </w:t>
      </w:r>
      <w:r>
        <w:rPr>
          <w:rStyle w:val="VerbatimChar"/>
        </w:rPr>
        <w:t xml:space="preserve">pheatmap</w:t>
      </w:r>
      <w:r>
        <w:t xml:space="preserve">.</w:t>
      </w:r>
    </w:p>
    <w:bookmarkEnd w:id="115"/>
    <w:bookmarkEnd w:id="116"/>
    <w:bookmarkStart w:id="120" w:name="validation-against-original-analysis"/>
    <w:p>
      <w:pPr>
        <w:pStyle w:val="Heading2"/>
      </w:pPr>
      <w:r>
        <w:t xml:space="preserve">7. Validation Against Original Analysis</w:t>
      </w:r>
    </w:p>
    <w:p>
      <w:pPr>
        <w:pStyle w:val="FirstParagraph"/>
      </w:pPr>
      <w:r>
        <w:t xml:space="preserve">Reproducibility of the pipeline was validated against an independent analysis by Rahul (</w:t>
      </w:r>
      <w:r>
        <w:rPr>
          <w:rStyle w:val="VerbatimChar"/>
        </w:rPr>
        <w:t xml:space="preserve">05_validate_vs_rahul.R</w:t>
      </w:r>
      <w:r>
        <w:t xml:space="preserve">) with a random seed of 12345. Three concordance checks were performed:</w:t>
      </w:r>
    </w:p>
    <w:bookmarkStart w:id="117" w:name="htseq-count-correlation"/>
    <w:p>
      <w:pPr>
        <w:pStyle w:val="Heading3"/>
      </w:pPr>
      <w:r>
        <w:t xml:space="preserve">7.1 HTSeq Count Correlation</w:t>
      </w:r>
    </w:p>
    <w:p>
      <w:pPr>
        <w:pStyle w:val="FirstParagraph"/>
      </w:pPr>
      <w:r>
        <w:t xml:space="preserve">Per-sample HTSeq count vectors were compared between the current pipeline and Rahul’s results (located at</w:t>
      </w:r>
      <w:r>
        <w:t xml:space="preserve"> </w:t>
      </w:r>
      <w:r>
        <w:rPr>
          <w:rStyle w:val="VerbatimChar"/>
        </w:rPr>
        <w:t xml:space="preserve">/ix1/alee/LO_LAB/Personal/Rahul/Neil_RNAseq/5_Count_file/</w:t>
      </w:r>
      <w:r>
        <w:t xml:space="preserve">). A hardcoded sample name lookup table was used for matching (e.g.,</w:t>
      </w:r>
      <w:r>
        <w:t xml:space="preserve"> </w:t>
      </w:r>
      <w:r>
        <w:rPr>
          <w:rStyle w:val="VerbatimChar"/>
        </w:rPr>
        <w:t xml:space="preserve">"102-FF-Tumor"</w:t>
      </w:r>
      <w:r>
        <w:t xml:space="preserve"> </w:t>
      </w:r>
      <w:r>
        <w:t xml:space="preserve">to</w:t>
      </w:r>
      <w:r>
        <w:t xml:space="preserve"> </w:t>
      </w:r>
      <w:r>
        <w:rPr>
          <w:rStyle w:val="VerbatimChar"/>
        </w:rPr>
        <w:t xml:space="preserve">"102-FF"</w:t>
      </w:r>
      <w:r>
        <w:t xml:space="preserve">). Pearson correlation was computed on merged gene-level counts (excluding</w:t>
      </w:r>
      <w:r>
        <w:t xml:space="preserve"> </w:t>
      </w:r>
      <w:r>
        <w:rPr>
          <w:rStyle w:val="VerbatimChar"/>
        </w:rPr>
        <w:t xml:space="preserve">__</w:t>
      </w:r>
      <w:r>
        <w:t xml:space="preserve">-prefixed summary rows). The pass threshold was r &gt;= 0.99 for all samples.</w:t>
      </w:r>
    </w:p>
    <w:bookmarkEnd w:id="117"/>
    <w:bookmarkStart w:id="118" w:name="deseq2-significant-gene-overlap"/>
    <w:p>
      <w:pPr>
        <w:pStyle w:val="Heading3"/>
      </w:pPr>
      <w:r>
        <w:t xml:space="preserve">7.2 DESeq2 Significant Gene Overlap</w:t>
      </w:r>
    </w:p>
    <w:p>
      <w:pPr>
        <w:pStyle w:val="FirstParagraph"/>
      </w:pPr>
      <w:r>
        <w:t xml:space="preserve">Significant gene sets (FDR &lt; 0.05) from both analyses were compared. Rahul’s results were loaded from</w:t>
      </w:r>
      <w:r>
        <w:t xml:space="preserve"> </w:t>
      </w:r>
      <w:r>
        <w:rPr>
          <w:rStyle w:val="VerbatimChar"/>
        </w:rPr>
        <w:t xml:space="preserve">6_DEseq2/DESeq2_results_with_symbols.csv</w:t>
      </w:r>
      <w:r>
        <w:t xml:space="preserve"> </w:t>
      </w:r>
      <w:r>
        <w:t xml:space="preserve">and filtered to</w:t>
      </w:r>
      <w:r>
        <w:t xml:space="preserve"> </w:t>
      </w:r>
      <w:r>
        <w:rPr>
          <w:rStyle w:val="VerbatimChar"/>
        </w:rPr>
        <w:t xml:space="preserve">padj &lt; 0.05</w:t>
      </w:r>
      <w:r>
        <w:t xml:space="preserve">. Overlap was quantified as the intersection size divided by the smaller set size (overlap coefficient), with a pass threshold of &gt;= 90%. The Jaccard index (intersection/union) was also computed and reported for reference but was not used for the pass/fail criterion.</w:t>
      </w:r>
    </w:p>
    <w:bookmarkEnd w:id="118"/>
    <w:bookmarkStart w:id="119" w:name="pam50-subtype-concordance"/>
    <w:p>
      <w:pPr>
        <w:pStyle w:val="Heading3"/>
      </w:pPr>
      <w:r>
        <w:t xml:space="preserve">7.3 PAM50 Subtype Concordance</w:t>
      </w:r>
    </w:p>
    <w:p>
      <w:pPr>
        <w:pStyle w:val="FirstParagraph"/>
      </w:pPr>
      <w:r>
        <w:t xml:space="preserve">Per-sample PAM50 subtype assignments were compared between the two analyses. Rahul’s subtypes were loaded from</w:t>
      </w:r>
      <w:r>
        <w:t xml:space="preserve"> </w:t>
      </w:r>
      <w:r>
        <w:rPr>
          <w:rStyle w:val="VerbatimChar"/>
        </w:rPr>
        <w:t xml:space="preserve">PAM50/PAM50.csv</w:t>
      </w:r>
      <w:r>
        <w:t xml:space="preserve">. Matching was performed by removing the</w:t>
      </w:r>
      <w:r>
        <w:t xml:space="preserve"> </w:t>
      </w:r>
      <w:r>
        <w:rPr>
          <w:rStyle w:val="VerbatimChar"/>
        </w:rPr>
        <w:t xml:space="preserve">-Tumor</w:t>
      </w:r>
      <w:r>
        <w:t xml:space="preserve"> </w:t>
      </w:r>
      <w:r>
        <w:t xml:space="preserve">suffix via</w:t>
      </w:r>
      <w:r>
        <w:t xml:space="preserve"> </w:t>
      </w:r>
      <w:r>
        <w:rPr>
          <w:rStyle w:val="VerbatimChar"/>
        </w:rPr>
        <w:t xml:space="preserve">gsub("-Tumor", "", ...)</w:t>
      </w:r>
      <w:r>
        <w:t xml:space="preserve">. The pass criterion was 100% concordance across all matched samples.</w:t>
      </w:r>
    </w:p>
    <w:p>
      <w:pPr>
        <w:pStyle w:val="BodyText"/>
      </w:pPr>
      <w:r>
        <w:t xml:space="preserve">Validation results were saved as an RDS object (</w:t>
      </w:r>
      <w:r>
        <w:rPr>
          <w:rStyle w:val="VerbatimChar"/>
        </w:rPr>
        <w:t xml:space="preserve">validation_results.rds</w:t>
      </w:r>
      <w:r>
        <w:t xml:space="preserve">).</w:t>
      </w:r>
    </w:p>
    <w:bookmarkEnd w:id="119"/>
    <w:bookmarkEnd w:id="120"/>
    <w:bookmarkStart w:id="121" w:name="pipeline-orchestration-1"/>
    <w:p>
      <w:pPr>
        <w:pStyle w:val="Heading2"/>
      </w:pPr>
      <w:r>
        <w:t xml:space="preserve">8. Pipeline Orchestration</w:t>
      </w:r>
    </w:p>
    <w:p>
      <w:pPr>
        <w:pStyle w:val="FirstParagraph"/>
      </w:pPr>
      <w:r>
        <w:t xml:space="preserve">The full pipeline was orchestrated via</w:t>
      </w:r>
      <w:r>
        <w:t xml:space="preserve"> </w:t>
      </w:r>
      <w:r>
        <w:rPr>
          <w:rStyle w:val="VerbatimChar"/>
        </w:rPr>
        <w:t xml:space="preserve">run_analysis.sh</w:t>
      </w:r>
      <w:r>
        <w:t xml:space="preserve">, which submitted SLURM jobs with explicit dependencies:</w:t>
      </w:r>
    </w:p>
    <w:p>
      <w:pPr>
        <w:pStyle w:val="Compact"/>
        <w:numPr>
          <w:ilvl w:val="0"/>
          <w:numId w:val="1014"/>
        </w:numPr>
      </w:pPr>
      <w:r>
        <w:rPr>
          <w:rStyle w:val="VerbatimChar"/>
        </w:rPr>
        <w:t xml:space="preserve">00_fastp_trim.sh</w:t>
      </w:r>
      <w:r>
        <w:t xml:space="preserve"> </w:t>
      </w:r>
      <w:r>
        <w:t xml:space="preserve">(trimming)</w:t>
      </w:r>
    </w:p>
    <w:p>
      <w:pPr>
        <w:pStyle w:val="Compact"/>
        <w:numPr>
          <w:ilvl w:val="0"/>
          <w:numId w:val="1014"/>
        </w:numPr>
      </w:pPr>
      <w:r>
        <w:rPr>
          <w:rStyle w:val="VerbatimChar"/>
        </w:rPr>
        <w:t xml:space="preserve">01_alignment.sh</w:t>
      </w:r>
      <w:r>
        <w:t xml:space="preserve"> </w:t>
      </w:r>
      <w:r>
        <w:t xml:space="preserve">(STAR alignment,</w:t>
      </w:r>
      <w:r>
        <w:t xml:space="preserve"> </w:t>
      </w:r>
      <w:r>
        <w:rPr>
          <w:rStyle w:val="VerbatimChar"/>
        </w:rPr>
        <w:t xml:space="preserve">--dependency=afterok</w:t>
      </w:r>
      <w:r>
        <w:t xml:space="preserve"> </w:t>
      </w:r>
      <w:r>
        <w:t xml:space="preserve">on step 0)</w:t>
      </w:r>
    </w:p>
    <w:p>
      <w:pPr>
        <w:pStyle w:val="Compact"/>
        <w:numPr>
          <w:ilvl w:val="0"/>
          <w:numId w:val="1014"/>
        </w:numPr>
      </w:pPr>
      <w:r>
        <w:rPr>
          <w:rStyle w:val="VerbatimChar"/>
        </w:rPr>
        <w:t xml:space="preserve">02_htseq_count.sh</w:t>
      </w:r>
      <w:r>
        <w:t xml:space="preserve"> </w:t>
      </w:r>
      <w:r>
        <w:t xml:space="preserve">(gene counting,</w:t>
      </w:r>
      <w:r>
        <w:t xml:space="preserve"> </w:t>
      </w:r>
      <w:r>
        <w:rPr>
          <w:rStyle w:val="VerbatimChar"/>
        </w:rPr>
        <w:t xml:space="preserve">--dependency=afterok</w:t>
      </w:r>
      <w:r>
        <w:t xml:space="preserve"> </w:t>
      </w:r>
      <w:r>
        <w:t xml:space="preserve">on step 1)</w:t>
      </w:r>
    </w:p>
    <w:p>
      <w:pPr>
        <w:pStyle w:val="Compact"/>
        <w:numPr>
          <w:ilvl w:val="0"/>
          <w:numId w:val="1014"/>
        </w:numPr>
      </w:pPr>
      <w:r>
        <w:rPr>
          <w:rStyle w:val="VerbatimChar"/>
        </w:rPr>
        <w:t xml:space="preserve">run_analysis.sbatch</w:t>
      </w:r>
      <w:r>
        <w:t xml:space="preserve"> </w:t>
      </w:r>
      <w:r>
        <w:t xml:space="preserve">(DESeq2 + PAM50 + validation,</w:t>
      </w:r>
      <w:r>
        <w:t xml:space="preserve"> </w:t>
      </w:r>
      <w:r>
        <w:rPr>
          <w:rStyle w:val="VerbatimChar"/>
        </w:rPr>
        <w:t xml:space="preserve">--dependency=afterok</w:t>
      </w:r>
      <w:r>
        <w:t xml:space="preserve"> </w:t>
      </w:r>
      <w:r>
        <w:t xml:space="preserve">on step 2)</w:t>
      </w:r>
    </w:p>
    <w:p>
      <w:pPr>
        <w:pStyle w:val="FirstParagraph"/>
      </w:pPr>
      <w:r>
        <w:t xml:space="preserve">The R analysis steps (03-05) were executed sequentially within a single SLURM job (</w:t>
      </w:r>
      <w:r>
        <w:rPr>
          <w:rStyle w:val="VerbatimChar"/>
        </w:rPr>
        <w:t xml:space="preserve">run_analysis.sbatch</w:t>
      </w:r>
      <w:r>
        <w:t xml:space="preserve">) using the</w:t>
      </w:r>
      <w:r>
        <w:t xml:space="preserve"> </w:t>
      </w:r>
      <w:r>
        <w:rPr>
          <w:rStyle w:val="VerbatimChar"/>
        </w:rPr>
        <w:t xml:space="preserve">erp_brca_aging</w:t>
      </w:r>
      <w:r>
        <w:t xml:space="preserve"> </w:t>
      </w:r>
      <w:r>
        <w:t xml:space="preserve">conda environment.</w:t>
      </w:r>
    </w:p>
    <w:bookmarkEnd w:id="121"/>
    <w:bookmarkStart w:id="122" w:name="software-versions-4"/>
    <w:p>
      <w:pPr>
        <w:pStyle w:val="Heading2"/>
      </w:pPr>
      <w:r>
        <w:t xml:space="preserve">9. Software Versions</w:t>
      </w:r>
    </w:p>
    <w:p>
      <w:pPr>
        <w:pStyle w:val="FirstParagraph"/>
      </w:pPr>
      <w:r>
        <w:t xml:space="preserve">From</w:t>
      </w:r>
      <w:r>
        <w:t xml:space="preserve"> </w:t>
      </w:r>
      <w:r>
        <w:rPr>
          <w:rStyle w:val="VerbatimChar"/>
        </w:rPr>
        <w:t xml:space="preserve">environment.yml</w:t>
      </w:r>
      <w:r>
        <w:t xml:space="preserve"> </w:t>
      </w:r>
      <w:r>
        <w:t xml:space="preserve">and module loads:</w:t>
      </w:r>
    </w:p>
    <w:tbl>
      <w:tblPr>
        <w:tblStyle w:val="Table"/>
        <w:tblW w:type="pct" w:w="5000"/>
        <w:tblLayout w:type="fixed"/>
        <w:tblLook w:firstRow="1" w:lastRow="0" w:firstColumn="0" w:lastColumn="0" w:noHBand="0" w:noVBand="0" w:val="0020"/>
      </w:tblPr>
      <w:tblGrid>
        <w:gridCol w:w="2933"/>
        <w:gridCol w:w="2640"/>
        <w:gridCol w:w="2346"/>
      </w:tblGrid>
      <w:tr>
        <w:trPr>
          <w:tblHeader w:val="on"/>
        </w:trPr>
        <w:tc>
          <w:tcPr/>
          <w:p>
            <w:pPr>
              <w:pStyle w:val="Compact"/>
            </w:pPr>
            <w:r>
              <w:t xml:space="preserve">Software</w:t>
            </w:r>
          </w:p>
        </w:tc>
        <w:tc>
          <w:tcPr/>
          <w:p>
            <w:pPr>
              <w:pStyle w:val="Compact"/>
            </w:pPr>
            <w:r>
              <w:t xml:space="preserve">Version</w:t>
            </w:r>
          </w:p>
        </w:tc>
        <w:tc>
          <w:tcPr/>
          <w:p>
            <w:pPr>
              <w:pStyle w:val="Compact"/>
            </w:pPr>
            <w:r>
              <w:t xml:space="preserve">Source</w:t>
            </w:r>
          </w:p>
        </w:tc>
      </w:tr>
      <w:tr>
        <w:tc>
          <w:tcPr/>
          <w:p>
            <w:pPr>
              <w:pStyle w:val="Compact"/>
            </w:pPr>
            <w:r>
              <w:t xml:space="preserve">fastp</w:t>
            </w:r>
          </w:p>
        </w:tc>
        <w:tc>
          <w:tcPr/>
          <w:p>
            <w:pPr>
              <w:pStyle w:val="Compact"/>
            </w:pPr>
            <w:r>
              <w:t xml:space="preserve">0.23.4</w:t>
            </w:r>
          </w:p>
        </w:tc>
        <w:tc>
          <w:tcPr/>
          <w:p>
            <w:pPr>
              <w:pStyle w:val="Compact"/>
            </w:pPr>
            <w:r>
              <w:t xml:space="preserve">HPC module</w:t>
            </w:r>
          </w:p>
        </w:tc>
      </w:tr>
      <w:tr>
        <w:tc>
          <w:tcPr/>
          <w:p>
            <w:pPr>
              <w:pStyle w:val="Compact"/>
            </w:pPr>
            <w:r>
              <w:t xml:space="preserve">STAR</w:t>
            </w:r>
          </w:p>
        </w:tc>
        <w:tc>
          <w:tcPr/>
          <w:p>
            <w:pPr>
              <w:pStyle w:val="Compact"/>
            </w:pPr>
            <w:r>
              <w:t xml:space="preserve">2.7.11b</w:t>
            </w:r>
          </w:p>
        </w:tc>
        <w:tc>
          <w:tcPr/>
          <w:p>
            <w:pPr>
              <w:pStyle w:val="Compact"/>
            </w:pPr>
            <w:r>
              <w:t xml:space="preserve">HPC module</w:t>
            </w:r>
          </w:p>
        </w:tc>
      </w:tr>
      <w:tr>
        <w:tc>
          <w:tcPr/>
          <w:p>
            <w:pPr>
              <w:pStyle w:val="Compact"/>
            </w:pPr>
            <w:r>
              <w:t xml:space="preserve">htseq-count</w:t>
            </w:r>
          </w:p>
        </w:tc>
        <w:tc>
          <w:tcPr/>
          <w:p>
            <w:pPr>
              <w:pStyle w:val="Compact"/>
            </w:pPr>
            <w:r>
              <w:t xml:space="preserve">0.13.5</w:t>
            </w:r>
          </w:p>
        </w:tc>
        <w:tc>
          <w:tcPr/>
          <w:p>
            <w:pPr>
              <w:pStyle w:val="Compact"/>
            </w:pPr>
            <w:r>
              <w:t xml:space="preserve">HPC module</w:t>
            </w:r>
          </w:p>
        </w:tc>
      </w:tr>
      <w:tr>
        <w:tc>
          <w:tcPr/>
          <w:p>
            <w:pPr>
              <w:pStyle w:val="Compact"/>
            </w:pPr>
            <w:r>
              <w:t xml:space="preserve">R</w:t>
            </w:r>
          </w:p>
        </w:tc>
        <w:tc>
          <w:tcPr/>
          <w:p>
            <w:pPr>
              <w:pStyle w:val="Compact"/>
            </w:pPr>
            <w:r>
              <w:t xml:space="preserve">4.3.3</w:t>
            </w:r>
          </w:p>
        </w:tc>
        <w:tc>
          <w:tcPr/>
          <w:p>
            <w:pPr>
              <w:pStyle w:val="Compact"/>
            </w:pPr>
            <w:r>
              <w:t xml:space="preserve">conda (r-base)</w:t>
            </w:r>
          </w:p>
        </w:tc>
      </w:tr>
      <w:tr>
        <w:tc>
          <w:tcPr/>
          <w:p>
            <w:pPr>
              <w:pStyle w:val="Compact"/>
            </w:pPr>
            <w:r>
              <w:t xml:space="preserve">DESeq2</w:t>
            </w:r>
          </w:p>
        </w:tc>
        <w:tc>
          <w:tcPr/>
          <w:p>
            <w:pPr>
              <w:pStyle w:val="Compact"/>
            </w:pPr>
            <w:r>
              <w:t xml:space="preserve">(conda bioconductor-deseq2)</w:t>
            </w:r>
          </w:p>
        </w:tc>
        <w:tc>
          <w:tcPr/>
          <w:p>
            <w:pPr>
              <w:pStyle w:val="Compact"/>
            </w:pPr>
            <w:r>
              <w:t xml:space="preserve">Bioconductor via conda</w:t>
            </w:r>
          </w:p>
        </w:tc>
      </w:tr>
      <w:tr>
        <w:tc>
          <w:tcPr/>
          <w:p>
            <w:pPr>
              <w:pStyle w:val="Compact"/>
            </w:pPr>
            <w:r>
              <w:t xml:space="preserve">genefu</w:t>
            </w:r>
          </w:p>
        </w:tc>
        <w:tc>
          <w:tcPr/>
          <w:p>
            <w:pPr>
              <w:pStyle w:val="Compact"/>
            </w:pPr>
            <w:r>
              <w:t xml:space="preserve">(conda r-genefu)</w:t>
            </w:r>
          </w:p>
        </w:tc>
        <w:tc>
          <w:tcPr/>
          <w:p>
            <w:pPr>
              <w:pStyle w:val="Compact"/>
            </w:pPr>
            <w:r>
              <w:t xml:space="preserve">conda-forge</w:t>
            </w:r>
          </w:p>
        </w:tc>
      </w:tr>
      <w:tr>
        <w:tc>
          <w:tcPr/>
          <w:p>
            <w:pPr>
              <w:pStyle w:val="Compact"/>
            </w:pPr>
            <w:r>
              <w:t xml:space="preserve">biomaRt</w:t>
            </w:r>
          </w:p>
        </w:tc>
        <w:tc>
          <w:tcPr/>
          <w:p>
            <w:pPr>
              <w:pStyle w:val="Compact"/>
            </w:pPr>
            <w:r>
              <w:t xml:space="preserve">(bioconductor-biomart)</w:t>
            </w:r>
          </w:p>
        </w:tc>
        <w:tc>
          <w:tcPr/>
          <w:p>
            <w:pPr>
              <w:pStyle w:val="Compact"/>
            </w:pPr>
            <w:r>
              <w:t xml:space="preserve">Bioconductor via</w:t>
            </w:r>
            <w:r>
              <w:t xml:space="preserve"> </w:t>
            </w:r>
            <w:r>
              <w:rPr>
                <w:rStyle w:val="VerbatimChar"/>
              </w:rPr>
              <w:t xml:space="preserve">install_r_packages.sh</w:t>
            </w:r>
          </w:p>
        </w:tc>
      </w:tr>
      <w:tr>
        <w:tc>
          <w:tcPr/>
          <w:p>
            <w:pPr>
              <w:pStyle w:val="Compact"/>
            </w:pPr>
            <w:r>
              <w:t xml:space="preserve">pheatmap</w:t>
            </w:r>
          </w:p>
        </w:tc>
        <w:tc>
          <w:tcPr/>
          <w:p>
            <w:pPr>
              <w:pStyle w:val="Compact"/>
            </w:pPr>
            <w:r>
              <w:t xml:space="preserve">(conda r-pheatmap)</w:t>
            </w:r>
          </w:p>
        </w:tc>
        <w:tc>
          <w:tcPr/>
          <w:p>
            <w:pPr>
              <w:pStyle w:val="Compact"/>
            </w:pPr>
            <w:r>
              <w:t xml:space="preserve">conda</w:t>
            </w:r>
          </w:p>
        </w:tc>
      </w:tr>
      <w:tr>
        <w:tc>
          <w:tcPr/>
          <w:p>
            <w:pPr>
              <w:pStyle w:val="Compact"/>
            </w:pPr>
            <w:r>
              <w:t xml:space="preserve">data.table</w:t>
            </w:r>
          </w:p>
        </w:tc>
        <w:tc>
          <w:tcPr/>
          <w:p>
            <w:pPr>
              <w:pStyle w:val="Compact"/>
            </w:pPr>
            <w:r>
              <w:t xml:space="preserve">(r-essentials bundle)</w:t>
            </w:r>
          </w:p>
        </w:tc>
        <w:tc>
          <w:tcPr/>
          <w:p>
            <w:pPr>
              <w:pStyle w:val="Compact"/>
            </w:pPr>
            <w:r>
              <w:t xml:space="preserve">conda</w:t>
            </w:r>
          </w:p>
        </w:tc>
      </w:tr>
      <w:tr>
        <w:tc>
          <w:tcPr/>
          <w:p>
            <w:pPr>
              <w:pStyle w:val="Compact"/>
            </w:pPr>
            <w:r>
              <w:t xml:space="preserve">dplyr</w:t>
            </w:r>
          </w:p>
        </w:tc>
        <w:tc>
          <w:tcPr/>
          <w:p>
            <w:pPr>
              <w:pStyle w:val="Compact"/>
            </w:pPr>
            <w:r>
              <w:t xml:space="preserve">(r-tidyverse bundle)</w:t>
            </w:r>
          </w:p>
        </w:tc>
        <w:tc>
          <w:tcPr/>
          <w:p>
            <w:pPr>
              <w:pStyle w:val="Compact"/>
            </w:pPr>
            <w:r>
              <w:t xml:space="preserve">conda</w:t>
            </w:r>
          </w:p>
        </w:tc>
      </w:tr>
      <w:tr>
        <w:tc>
          <w:tcPr/>
          <w:p>
            <w:pPr>
              <w:pStyle w:val="Compact"/>
            </w:pPr>
            <w:r>
              <w:t xml:space="preserve">GCC</w:t>
            </w:r>
          </w:p>
        </w:tc>
        <w:tc>
          <w:tcPr/>
          <w:p>
            <w:pPr>
              <w:pStyle w:val="Compact"/>
            </w:pPr>
            <w:r>
              <w:t xml:space="preserve">8.2.0</w:t>
            </w:r>
          </w:p>
        </w:tc>
        <w:tc>
          <w:tcPr/>
          <w:p>
            <w:pPr>
              <w:pStyle w:val="Compact"/>
            </w:pPr>
            <w:r>
              <w:t xml:space="preserve">HPC module (for STAR)</w:t>
            </w:r>
          </w:p>
        </w:tc>
      </w:tr>
    </w:tbl>
    <w:p>
      <w:pPr>
        <w:pStyle w:val="BodyText"/>
      </w:pPr>
      <w:r>
        <w:rPr>
          <w:b/>
          <w:bCs/>
        </w:rPr>
        <w:t xml:space="preserve">Reference genome:</w:t>
      </w:r>
      <w:r>
        <w:t xml:space="preserve"> </w:t>
      </w:r>
      <w:r>
        <w:t xml:space="preserve">Rattus norvegicus mRatBN7.2 (Ensembl release 112), GTF:</w:t>
      </w:r>
      <w:r>
        <w:t xml:space="preserve"> </w:t>
      </w:r>
      <w:r>
        <w:rPr>
          <w:rStyle w:val="VerbatimChar"/>
        </w:rPr>
        <w:t xml:space="preserve">Rattus_norvegicus.mRatBN7.2.112.gtf</w:t>
      </w:r>
      <w:r>
        <w:t xml:space="preserve">.</w:t>
      </w:r>
    </w:p>
    <w:p>
      <w:pPr>
        <w:pStyle w:val="BodyText"/>
      </w:pPr>
      <w:r>
        <w:rPr>
          <w:b/>
          <w:bCs/>
        </w:rPr>
        <w:t xml:space="preserve">Conda environment:</w:t>
      </w:r>
      <w:r>
        <w:t xml:space="preserve"> </w:t>
      </w:r>
      <w:r>
        <w:rPr>
          <w:rStyle w:val="VerbatimChar"/>
        </w:rPr>
        <w:t xml:space="preserve">erp_brca_aging</w:t>
      </w:r>
      <w:r>
        <w:t xml:space="preserve"> </w:t>
      </w:r>
      <w:r>
        <w:t xml:space="preserve">at</w:t>
      </w:r>
      <w:r>
        <w:t xml:space="preserve"> </w:t>
      </w:r>
      <w:r>
        <w:rPr>
          <w:rStyle w:val="VerbatimChar"/>
        </w:rPr>
        <w:t xml:space="preserve">/ix1/alee/LO_LAB/Personal/Alexander_Chang/alc376/envs/erp_brca_aging</w:t>
      </w:r>
      <w:r>
        <w:t xml:space="preserve">.</w:t>
      </w:r>
    </w:p>
    <w:bookmarkEnd w:id="122"/>
    <w:bookmarkStart w:id="123" w:name="reproducibility-notes-4"/>
    <w:p>
      <w:pPr>
        <w:pStyle w:val="Heading2"/>
      </w:pPr>
      <w:r>
        <w:t xml:space="preserve">10. Reproducibility Notes</w:t>
      </w:r>
    </w:p>
    <w:p>
      <w:pPr>
        <w:pStyle w:val="Compact"/>
        <w:numPr>
          <w:ilvl w:val="0"/>
          <w:numId w:val="1015"/>
        </w:numPr>
      </w:pPr>
      <w:r>
        <w:t xml:space="preserve">All R scripts set</w:t>
      </w:r>
      <w:r>
        <w:t xml:space="preserve"> </w:t>
      </w:r>
      <w:r>
        <w:rPr>
          <w:rStyle w:val="VerbatimChar"/>
        </w:rPr>
        <w:t xml:space="preserve">set.seed(12345)</w:t>
      </w:r>
      <w:r>
        <w:t xml:space="preserve"> </w:t>
      </w:r>
      <w:r>
        <w:t xml:space="preserve">for reproducibility of any stochastic operations.</w:t>
      </w:r>
    </w:p>
    <w:p>
      <w:pPr>
        <w:pStyle w:val="Compact"/>
        <w:numPr>
          <w:ilvl w:val="0"/>
          <w:numId w:val="1015"/>
        </w:numPr>
      </w:pPr>
      <w:r>
        <w:t xml:space="preserve">The pipeline uses</w:t>
      </w:r>
      <w:r>
        <w:t xml:space="preserve"> </w:t>
      </w:r>
      <w:r>
        <w:rPr>
          <w:rStyle w:val="VerbatimChar"/>
        </w:rPr>
        <w:t xml:space="preserve">set -euo pipefail</w:t>
      </w:r>
      <w:r>
        <w:t xml:space="preserve"> </w:t>
      </w:r>
      <w:r>
        <w:t xml:space="preserve">(shell scripts) and</w:t>
      </w:r>
      <w:r>
        <w:t xml:space="preserve"> </w:t>
      </w:r>
      <w:r>
        <w:rPr>
          <w:rStyle w:val="VerbatimChar"/>
        </w:rPr>
        <w:t xml:space="preserve">set -eo pipefail</w:t>
      </w:r>
      <w:r>
        <w:t xml:space="preserve"> </w:t>
      </w:r>
      <w:r>
        <w:t xml:space="preserve">(sbatch wrapper) for strict error handling.</w:t>
      </w:r>
    </w:p>
    <w:p>
      <w:pPr>
        <w:pStyle w:val="Compact"/>
        <w:numPr>
          <w:ilvl w:val="0"/>
          <w:numId w:val="1015"/>
        </w:numPr>
      </w:pPr>
      <w:r>
        <w:t xml:space="preserve">STAR alignment and HTSeq counting include skip-if-exists logic to support idempotent re-runs.</w:t>
      </w:r>
    </w:p>
    <w:p>
      <w:pPr>
        <w:pStyle w:val="Compact"/>
        <w:numPr>
          <w:ilvl w:val="0"/>
          <w:numId w:val="1015"/>
        </w:numPr>
      </w:pPr>
      <w:r>
        <w:t xml:space="preserve">BioMart queries (for gene symbol annotation) depend on external Ensembl server availability and may return different results if the database version changes. No specific Ensembl archive release was pinned.</w:t>
      </w:r>
    </w:p>
    <w:p>
      <w:pPr>
        <w:pStyle w:val="Compact"/>
        <w:numPr>
          <w:ilvl w:val="0"/>
          <w:numId w:val="1015"/>
        </w:numPr>
      </w:pPr>
      <w:r>
        <w:t xml:space="preserve">The</w:t>
      </w:r>
      <w:r>
        <w:t xml:space="preserve"> </w:t>
      </w:r>
      <w:r>
        <w:rPr>
          <w:rStyle w:val="VerbatimChar"/>
        </w:rPr>
        <w:t xml:space="preserve">environment.yml</w:t>
      </w:r>
      <w:r>
        <w:t xml:space="preserve"> </w:t>
      </w:r>
      <w:r>
        <w:t xml:space="preserve">does not pin exact versions for DESeq2, genefu, or biomaRt; only R base (4.3.3) and Seurat (&gt;=5.0) are version-constrained. Exact installed versions should be recorded at runtime.</w:t>
      </w:r>
    </w:p>
    <w:bookmarkEnd w:id="123"/>
    <w:bookmarkStart w:id="124" w:name="main-text-summary-4"/>
    <w:p>
      <w:pPr>
        <w:pStyle w:val="Heading2"/>
      </w:pPr>
      <w:r>
        <w:t xml:space="preserve">Main Text Summary</w:t>
      </w:r>
    </w:p>
    <w:p>
      <w:pPr>
        <w:pStyle w:val="FirstParagraph"/>
      </w:pPr>
      <w:r>
        <w:t xml:space="preserve">Bulk RNA-seq from six rat mammary tumors (GEO: GSE276757) was processed through a four-stage pipeline: adapter trimming (fastp v0.23.4, Q&gt;=20, length&gt;=36 bp), alignment to the mRatBN7.2 rat genome (STAR v2.7.11b), and gene-level quantification (htseq-count v0.13.5, reverse-stranded). Differential expression analysis was performed with DESeq2 using a ~TYPE design formula (TEST vs CONTROL, FDR &lt; 0.05). PAM50 molecular subtyping was performed using the genefu package with a manually curated human-to-rat ortholog mapping of all 50 classifier genes. Pipeline outputs were validated against an independent analysis, confirming high concordance in read counts (Pearson r &gt;= 0.99), significant gene sets (overlap coefficient &gt;= 90%), and subtype assignments.</w:t>
      </w:r>
      <w:r>
        <w:t xml:space="preserve"> </w:t>
      </w:r>
      <w:r>
        <w:t xml:space="preserve"># Methods: Spatial Biopsy Analysis (Section 06)</w:t>
      </w:r>
    </w:p>
    <w:bookmarkEnd w:id="124"/>
    <w:bookmarkStart w:id="125" w:name="data-source-and-deconvolution"/>
    <w:p>
      <w:pPr>
        <w:pStyle w:val="Heading2"/>
      </w:pPr>
      <w:r>
        <w:t xml:space="preserve">1. Data Source and Deconvolution</w:t>
      </w:r>
    </w:p>
    <w:p>
      <w:pPr>
        <w:pStyle w:val="FirstParagraph"/>
      </w:pPr>
      <w:r>
        <w:t xml:space="preserve">Six 10x Visium spatial transcriptomics biopsies were obtained from patient HCC22-088, originally generated by Carleton et al. (Carleton et al., [year], [journal]) and symlinked into the current project from the CITEgeist analysis repository. Each biopsy Visium section spans 316–2,251 spots and 2,141–12,251 detected genes. Sample identifiers follow the naming convention HCC22-088-P{1–6}-S1, with one section designated HCC22-088-P3-S1_A. Cell-type deconvolution of each Visium section had been performed upstream using CITEgeist (Chang et al.), which resolved spot-level transcriptomes into nine cell types: Cancer Cells, Immunosuppressive Macrophages (CD163+), Inflammatory Macrophages (CD14+HLA-DR+), T Cell-Interacting Macrophages (CD11c+), CD4 T Cells, CD8 T Cells, B Cells, Endothelial Cells, and Fibroblasts. Deconvolution outputs were stored as cell-type-specific expression layers (pass1 layers) within each AnnData object and loaded from a serialized pickle file (</w:t>
      </w:r>
      <w:r>
        <w:rPr>
          <w:rStyle w:val="VerbatimChar"/>
        </w:rPr>
        <w:t xml:space="preserve">data/biopsy_adatas.pkl</w:t>
      </w:r>
      <w:r>
        <w:t xml:space="preserve">).</w:t>
      </w:r>
    </w:p>
    <w:bookmarkEnd w:id="125"/>
    <w:bookmarkStart w:id="126" w:name="spatial-cytokine-visualization"/>
    <w:p>
      <w:pPr>
        <w:pStyle w:val="Heading2"/>
      </w:pPr>
      <w:r>
        <w:t xml:space="preserve">2. Spatial Cytokine Visualization</w:t>
      </w:r>
    </w:p>
    <w:p>
      <w:pPr>
        <w:pStyle w:val="FirstParagraph"/>
      </w:pPr>
      <w:r>
        <w:t xml:space="preserve">To characterize immunosuppressive cytokine expression in situ, six cytokines were queried across all biopsy sections: IL4, IL10, IL13, TGFB1, TGFB2, and TGFB3. For each sample and each cytokine present in the variable features, spatial expression plots were generated using</w:t>
      </w:r>
      <w:r>
        <w:t xml:space="preserve"> </w:t>
      </w:r>
      <w:r>
        <w:rPr>
          <w:rStyle w:val="VerbatimChar"/>
        </w:rPr>
        <w:t xml:space="preserve">sc.pl.spatial()</w:t>
      </w:r>
      <w:r>
        <w:t xml:space="preserve"> </w:t>
      </w:r>
      <w:r>
        <w:t xml:space="preserve">from scanpy with the viridis colormap (</w:t>
      </w:r>
      <w:r>
        <w:rPr>
          <w:rStyle w:val="VerbatimChar"/>
        </w:rPr>
        <w:t xml:space="preserve">color_map='viridis'</w:t>
      </w:r>
      <w:r>
        <w:t xml:space="preserve">). Where cell-type-resolved pass1 expression layers were available for macrophage subtypes (identified by the keywords macrophage, CD163, CD14, HLA-DR, or CD11c), layer-specific expression was temporarily assigned as the primary expression matrix and plotted in parallel alongside the unresolved whole-spot expression. Plots were saved as PNG files at 300 DPI to</w:t>
      </w:r>
      <w:r>
        <w:t xml:space="preserve"> </w:t>
      </w:r>
      <w:r>
        <w:rPr>
          <w:rStyle w:val="VerbatimChar"/>
        </w:rPr>
        <w:t xml:space="preserve">figures/immune_secretion/</w:t>
      </w:r>
      <w:r>
        <w:t xml:space="preserve">.</w:t>
      </w:r>
    </w:p>
    <w:bookmarkEnd w:id="126"/>
    <w:bookmarkStart w:id="127" w:name="macrophage-pathway-enrichment-1"/>
    <w:p>
      <w:pPr>
        <w:pStyle w:val="Heading2"/>
      </w:pPr>
      <w:r>
        <w:t xml:space="preserve">3. Macrophage Pathway Enrichment</w:t>
      </w:r>
    </w:p>
    <w:p>
      <w:pPr>
        <w:pStyle w:val="FirstParagraph"/>
      </w:pPr>
      <w:r>
        <w:t xml:space="preserve">To characterize the functional identity of macrophage subtypes at the pathway level, cell-type-specific expression was extracted from each sample’s CITEgeist pass1 layers or obsm matrices for each macrophage subtype. For each layer, mean expression was computed across spots, genes with non-positive mean expression were excluded, and the resulting gene scores were rank-ordered by descending expression. Samples with fewer than 100 expressed genes in a given macrophage layer were excluded from downstream pathway analysis.</w:t>
      </w:r>
    </w:p>
    <w:p>
      <w:pPr>
        <w:pStyle w:val="BodyText"/>
      </w:pPr>
      <w:r>
        <w:t xml:space="preserve">Two complementary pathway enrichment approaches were applied. For over-representation analysis, the top 200 expressed genes per macrophage subtype per sample were submitted to</w:t>
      </w:r>
      <w:r>
        <w:t xml:space="preserve"> </w:t>
      </w:r>
      <w:r>
        <w:rPr>
          <w:rStyle w:val="VerbatimChar"/>
        </w:rPr>
        <w:t xml:space="preserve">gseapy.enrichr()</w:t>
      </w:r>
      <w:r>
        <w:t xml:space="preserve"> </w:t>
      </w:r>
      <w:r>
        <w:t xml:space="preserve">against three gene set libraries: MSigDB_Hallmark_2020, KEGG_2021_Human, and Reactome_2022. Significance was assessed using Benjamini-Hochberg adjusted p-values, and results were filtered to pathways with Adjusted P-value &lt; 0.05. Enrichment analyses were skipped for gene lists containing fewer than 10 genes.</w:t>
      </w:r>
    </w:p>
    <w:p>
      <w:pPr>
        <w:pStyle w:val="BodyText"/>
      </w:pPr>
      <w:r>
        <w:t xml:space="preserve">For rank-based enrichment, the full ranked gene score vector (mean expression per gene, sorted descending) was submitted to</w:t>
      </w:r>
      <w:r>
        <w:t xml:space="preserve"> </w:t>
      </w:r>
      <w:r>
        <w:rPr>
          <w:rStyle w:val="VerbatimChar"/>
        </w:rPr>
        <w:t xml:space="preserve">gseapy.prerank()</w:t>
      </w:r>
      <w:r>
        <w:t xml:space="preserve"> </w:t>
      </w:r>
      <w:r>
        <w:t xml:space="preserve">against the same three libraries using 1,000 permutations (</w:t>
      </w:r>
      <w:r>
        <w:rPr>
          <w:rStyle w:val="VerbatimChar"/>
        </w:rPr>
        <w:t xml:space="preserve">permutation_num=1000</w:t>
      </w:r>
      <w:r>
        <w:t xml:space="preserve">), a random seed of 12345 (</w:t>
      </w:r>
      <w:r>
        <w:rPr>
          <w:rStyle w:val="VerbatimChar"/>
        </w:rPr>
        <w:t xml:space="preserve">seed=12345</w:t>
      </w:r>
      <w:r>
        <w:t xml:space="preserve">), a minimum pathway gene set size of 5 (</w:t>
      </w:r>
      <w:r>
        <w:rPr>
          <w:rStyle w:val="VerbatimChar"/>
        </w:rPr>
        <w:t xml:space="preserve">min_size=5</w:t>
      </w:r>
      <w:r>
        <w:t xml:space="preserve">), and a maximum size of 1,000 (</w:t>
      </w:r>
      <w:r>
        <w:rPr>
          <w:rStyle w:val="VerbatimChar"/>
        </w:rPr>
        <w:t xml:space="preserve">max_size=1000</w:t>
      </w:r>
      <w:r>
        <w:t xml:space="preserve">). The</w:t>
      </w:r>
      <w:r>
        <w:t xml:space="preserve"> </w:t>
      </w:r>
      <w:r>
        <w:rPr>
          <w:rStyle w:val="VerbatimChar"/>
        </w:rPr>
        <w:t xml:space="preserve">threads=4</w:t>
      </w:r>
      <w:r>
        <w:t xml:space="preserve"> </w:t>
      </w:r>
      <w:r>
        <w:t xml:space="preserve">parameter was used for parallelization. Intermediate results from both analyses were serialized as pickle files (</w:t>
      </w:r>
      <w:r>
        <w:rPr>
          <w:rStyle w:val="VerbatimChar"/>
        </w:rPr>
        <w:t xml:space="preserve">enrichment_results.pkl</w:t>
      </w:r>
      <w:r>
        <w:t xml:space="preserve"> </w:t>
      </w:r>
      <w:r>
        <w:t xml:space="preserve">and</w:t>
      </w:r>
      <w:r>
        <w:t xml:space="preserve"> </w:t>
      </w:r>
      <w:r>
        <w:rPr>
          <w:rStyle w:val="VerbatimChar"/>
        </w:rPr>
        <w:t xml:space="preserve">prerank_results.pkl</w:t>
      </w:r>
      <w:r>
        <w:t xml:space="preserve">) to support figure regeneration without re-running the full computation.</w:t>
      </w:r>
    </w:p>
    <w:p>
      <w:pPr>
        <w:pStyle w:val="BodyText"/>
      </w:pPr>
      <w:r>
        <w:t xml:space="preserve">To focus on immune secretory biology, all enrichment and prerank results were filtered at the pathway level to retain only terms containing</w:t>
      </w:r>
      <w:r>
        <w:t xml:space="preserve"> </w:t>
      </w:r>
      <w:r>
        <w:t xml:space="preserve">“TGF”</w:t>
      </w:r>
      <w:r>
        <w:t xml:space="preserve"> </w:t>
      </w:r>
      <w:r>
        <w:t xml:space="preserve">or</w:t>
      </w:r>
      <w:r>
        <w:t xml:space="preserve"> </w:t>
      </w:r>
      <w:r>
        <w:t xml:space="preserve">“interleukin”</w:t>
      </w:r>
      <w:r>
        <w:t xml:space="preserve"> </w:t>
      </w:r>
      <w:r>
        <w:t xml:space="preserve">(case-insensitive) in their name.</w:t>
      </w:r>
    </w:p>
    <w:bookmarkEnd w:id="127"/>
    <w:bookmarkStart w:id="128" w:name="summary-visualization"/>
    <w:p>
      <w:pPr>
        <w:pStyle w:val="Heading2"/>
      </w:pPr>
      <w:r>
        <w:t xml:space="preserve">4. Summary Visualization</w:t>
      </w:r>
    </w:p>
    <w:p>
      <w:pPr>
        <w:pStyle w:val="FirstParagraph"/>
      </w:pPr>
      <w:r>
        <w:t xml:space="preserve">Separate summary heatmaps were generated for enrichment results and prerank GSEA results to display interleukin and TGF-beta pathway activity in CD163+ (Immunosuppressive) macrophages across all six biopsy samples. For each analysis type, results were restricted to the CD163-containing macrophage subtype and further filtered to a predefined set of interleukin and TGF-beta targets: interleukin-1, interleukin-4, interleukin-6, interleukin-10, interleukin-12, interleukin-13, interleukin-23, and TGF-beta/transforming growth factor terms (matched as case-insensitive substring patterns). Reactome pathway identifiers (R-HSA-XXXXXXX suffixes) were removed from term names for readability. For each (pathway, sample) combination, the minimum adjusted p-value across gene set libraries was taken. The resulting matrix was visualized as a heatmap of –log10(Adjusted P-value) using seaborn’s</w:t>
      </w:r>
      <w:r>
        <w:t xml:space="preserve"> </w:t>
      </w:r>
      <w:r>
        <w:rPr>
          <w:rStyle w:val="VerbatimChar"/>
        </w:rPr>
        <w:t xml:space="preserve">heatmap()</w:t>
      </w:r>
      <w:r>
        <w:t xml:space="preserve"> </w:t>
      </w:r>
      <w:r>
        <w:t xml:space="preserve">with the Reds colormap, cell borders (linewidths=0.5), and a colorbar labeled</w:t>
      </w:r>
      <w:r>
        <w:t xml:space="preserve"> </w:t>
      </w:r>
      <w:r>
        <w:t xml:space="preserve">‘-log10(Adj P-value)’</w:t>
      </w:r>
      <w:r>
        <w:t xml:space="preserve">. Figures were saved in both PNG and SVG formats at 600 DPI to</w:t>
      </w:r>
      <w:r>
        <w:t xml:space="preserve"> </w:t>
      </w:r>
      <w:r>
        <w:rPr>
          <w:rStyle w:val="VerbatimChar"/>
        </w:rPr>
        <w:t xml:space="preserve">figures/immune_pathways/dotplots/</w:t>
      </w:r>
      <w:r>
        <w:t xml:space="preserve">. Sample labels were abbreviated S1–S6 corresponding to HCC22-088-P1-S1, HCC22-088-P2-S1, HCC22-088-P3-S1_A, HCC22-088-P4-S1, HCC22-088-P5-S1, and HCC22-088-P6-S1.</w:t>
      </w:r>
    </w:p>
    <w:bookmarkEnd w:id="128"/>
    <w:bookmarkStart w:id="129" w:name="software-and-reproducibility"/>
    <w:p>
      <w:pPr>
        <w:pStyle w:val="Heading2"/>
      </w:pPr>
      <w:r>
        <w:t xml:space="preserve">5. Software and Reproducibility</w:t>
      </w:r>
    </w:p>
    <w:p>
      <w:pPr>
        <w:pStyle w:val="FirstParagraph"/>
      </w:pPr>
      <w:r>
        <w:t xml:space="preserve">All analyses were performed in Python using the</w:t>
      </w:r>
      <w:r>
        <w:t xml:space="preserve"> </w:t>
      </w:r>
      <w:r>
        <w:rPr>
          <w:rStyle w:val="VerbatimChar"/>
        </w:rPr>
        <w:t xml:space="preserve">erp_brca_aging</w:t>
      </w:r>
      <w:r>
        <w:t xml:space="preserve"> </w:t>
      </w:r>
      <w:r>
        <w:t xml:space="preserve">conda environment. Core packages included scanpy (spatial plotting), gseapy (enrichment and prerank analyses), pandas, numpy, seaborn, and matplotlib. Figure parameters were standardized via a shared</w:t>
      </w:r>
      <w:r>
        <w:t xml:space="preserve"> </w:t>
      </w:r>
      <w:r>
        <w:rPr>
          <w:rStyle w:val="VerbatimChar"/>
        </w:rPr>
        <w:t xml:space="preserve">figure_config.py</w:t>
      </w:r>
      <w:r>
        <w:t xml:space="preserve"> </w:t>
      </w:r>
      <w:r>
        <w:t xml:space="preserve">module enforcing a minimum font size of 14 pt (Arial typeface), a display DPI of 100, and a save DPI of 300 (600 DPI for the summary heatmap). Figures were saved in dual PNG and SVG format. A random seed of 12345 was applied to all stochastic operations, specifically the GSEA prerank permutation step (</w:t>
      </w:r>
      <w:r>
        <w:rPr>
          <w:rStyle w:val="VerbatimChar"/>
        </w:rPr>
        <w:t xml:space="preserve">seed=12345</w:t>
      </w:r>
      <w:r>
        <w:t xml:space="preserve">).</w:t>
      </w:r>
    </w:p>
    <w:bookmarkEnd w:id="129"/>
    <w:bookmarkStart w:id="130" w:name="main-text-summary-5"/>
    <w:p>
      <w:pPr>
        <w:pStyle w:val="Heading2"/>
      </w:pPr>
      <w:r>
        <w:t xml:space="preserve">Main Text Summary</w:t>
      </w:r>
    </w:p>
    <w:p>
      <w:pPr>
        <w:pStyle w:val="FirstParagraph"/>
      </w:pPr>
      <w:r>
        <w:t xml:space="preserve">Six 10x Visium spatial transcriptomics sections from patient HCC22-088 (Carleton et al., [year], [journal]) were analyzed for macrophage-associated cytokine and pathway activity. CITEgeist deconvolution (Chang et al.) resolved spot-level expression into nine cell types including three macrophage subtypes (CD163+, CD14+HLA-DR+, CD11c+). Cytokine expression (IL4, IL10, IL13, TGFB1–3) was mapped spatially using the viridis colormap in scanpy. Cell-type-specific expression was extracted from CITEgeist pass1 layers or obsm matrices. Macrophage pathway enrichment was performed using the top 200 expressed genes (genes with non-positive mean expression excluded) per subtype per sample with gseapy enrichr (MSigDB_Hallmark_2020, KEGG_2021_Human, Reactome_2022; FDR &lt; 0.05) and gseapy prerank (1,000 permutations, seed 12345, min pathway size 5, max 1,000). Results were filtered to interleukin and TGF pathway terms; the final CD163+ macrophage summary heatmap displays both interleukin (IL-1, IL-4, IL-6, IL-10, IL-12, IL-13, IL-23) and TGF-beta pathways.</w:t>
      </w:r>
      <w:r>
        <w:t xml:space="preserve"> </w:t>
      </w:r>
      <w:r>
        <w:t xml:space="preserve"># Methods: Organoid Single-Cell RNA-seq Analysis (Section 07)</w:t>
      </w:r>
    </w:p>
    <w:bookmarkEnd w:id="130"/>
    <w:bookmarkStart w:id="131" w:name="experimental-design"/>
    <w:p>
      <w:pPr>
        <w:pStyle w:val="Heading2"/>
      </w:pPr>
      <w:r>
        <w:t xml:space="preserve">1. Experimental Design</w:t>
      </w:r>
    </w:p>
    <w:p>
      <w:pPr>
        <w:pStyle w:val="FirstParagraph"/>
      </w:pPr>
      <w:r>
        <w:t xml:space="preserve">Single-cell RNA-seq was performed on PDO-296, a patient-derived organoid line established from a study cohort ER+ breast cancer specimen. Cells were treated across seven conditions: Vehicle (DMSO control), E1 (estrone), E2 (17β-estradiol), E1+fulvestrant, E2+fulvestrant, E1+HSD17B7i, and E2+HSD17B7i, where HSD17B7i denotes a small-molecule inhibitor of 17β-hydroxysteroid dehydrogenase type 7. Cells from the seven conditions were distributed across two sequencing pools and captured using the 10x Chromium Flex platform: samples OS01–OS04 in Pool 1 and samples OS05–OS07 in Pool 2.</w:t>
      </w:r>
    </w:p>
    <w:bookmarkEnd w:id="131"/>
    <w:bookmarkStart w:id="132" w:name="cell-ranger-reference"/>
    <w:p>
      <w:pPr>
        <w:pStyle w:val="Heading2"/>
      </w:pPr>
      <w:r>
        <w:t xml:space="preserve">2. Cell Ranger &amp; Reference</w:t>
      </w:r>
    </w:p>
    <w:p>
      <w:pPr>
        <w:pStyle w:val="FirstParagraph"/>
      </w:pPr>
      <w:r>
        <w:t xml:space="preserve">Raw sequencing data were demultiplexed and aligned using Cell Ranger v9.0.1 multi with a custom human reference genome (</w:t>
      </w:r>
      <w:r>
        <w:rPr>
          <w:rStyle w:val="VerbatimChar"/>
        </w:rPr>
        <w:t xml:space="preserve">refdata-gex-GRCh38-2024-A-custom</w:t>
      </w:r>
      <w:r>
        <w:t xml:space="preserve">) derived from GRCh38 release 2024-A. The custom reference was built from Ensembl release 109 primary assembly FASTA and GENCODE v44 comprehensive gene annotation GTF, with biotype filtering to retain protein-coding and lncRNA genes and exclusion of PAR_Y genes. The probe set used was the 10x Genomics Chromium Human Transcriptome Probe Set v1.1.0 for GRCh38-2024-A. Probe filtering was disabled (</w:t>
      </w:r>
      <w:r>
        <w:rPr>
          <w:rStyle w:val="VerbatimChar"/>
        </w:rPr>
        <w:t xml:space="preserve">filter-probes=false</w:t>
      </w:r>
      <w:r>
        <w:t xml:space="preserve">) in the Cell Ranger multi configuration. This setting was required because HSD17B7, the primary drug target under investigation, is marked as excluded in the default v1.1.0 probe set. Retaining all probes ensured that expression measurements for HSD17B7 and all other transcripts were available for downstream analysis regardless of their default inclusion status.</w:t>
      </w:r>
    </w:p>
    <w:bookmarkEnd w:id="132"/>
    <w:bookmarkStart w:id="133" w:name="quality-control-doublet-detection"/>
    <w:p>
      <w:pPr>
        <w:pStyle w:val="Heading2"/>
      </w:pPr>
      <w:r>
        <w:t xml:space="preserve">3. Quality Control &amp; Doublet Detection</w:t>
      </w:r>
    </w:p>
    <w:p>
      <w:pPr>
        <w:pStyle w:val="FirstParagraph"/>
      </w:pPr>
      <w:r>
        <w:t xml:space="preserve">Cell Ranger per-sample output matrices were loaded for each of the seven samples and concatenated into a single AnnData object. Mitochondrial genes were identified by the</w:t>
      </w:r>
      <w:r>
        <w:t xml:space="preserve"> </w:t>
      </w:r>
      <w:r>
        <w:rPr>
          <w:rStyle w:val="VerbatimChar"/>
        </w:rPr>
        <w:t xml:space="preserve">MT-</w:t>
      </w:r>
      <w:r>
        <w:t xml:space="preserve"> </w:t>
      </w:r>
      <w:r>
        <w:t xml:space="preserve">prefix. Per-cell quality metrics including the number of detected genes, total UMI counts, and mitochondrial transcript percentage were computed using</w:t>
      </w:r>
      <w:r>
        <w:t xml:space="preserve"> </w:t>
      </w:r>
      <w:r>
        <w:rPr>
          <w:rStyle w:val="VerbatimChar"/>
        </w:rPr>
        <w:t xml:space="preserve">scanpy.pp.calculate_qc_metrics</w:t>
      </w:r>
      <w:r>
        <w:t xml:space="preserve">. Cells were retained if they had at least 500 detected genes, at least 1,000 total UMI counts, and fewer than 15% mitochondrial reads. These thresholds were applied sequentially.</w:t>
      </w:r>
    </w:p>
    <w:p>
      <w:pPr>
        <w:pStyle w:val="BodyText"/>
      </w:pPr>
      <w:r>
        <w:t xml:space="preserve">Doublet detection was performed per sample using Scrublet. For each sample, Scrublet was initialized with an expected doublet rate of 0.06 and run with</w:t>
      </w:r>
      <w:r>
        <w:t xml:space="preserve"> </w:t>
      </w:r>
      <w:r>
        <w:rPr>
          <w:rStyle w:val="VerbatimChar"/>
        </w:rPr>
        <w:t xml:space="preserve">min_counts=2</w:t>
      </w:r>
      <w:r>
        <w:t xml:space="preserve">,</w:t>
      </w:r>
      <w:r>
        <w:t xml:space="preserve"> </w:t>
      </w:r>
      <w:r>
        <w:rPr>
          <w:rStyle w:val="VerbatimChar"/>
        </w:rPr>
        <w:t xml:space="preserve">min_cells=3</w:t>
      </w:r>
      <w:r>
        <w:t xml:space="preserve">,</w:t>
      </w:r>
      <w:r>
        <w:t xml:space="preserve"> </w:t>
      </w:r>
      <w:r>
        <w:rPr>
          <w:rStyle w:val="VerbatimChar"/>
        </w:rPr>
        <w:t xml:space="preserve">min_gene_variability_pctl=85</w:t>
      </w:r>
      <w:r>
        <w:t xml:space="preserve">, and</w:t>
      </w:r>
      <w:r>
        <w:t xml:space="preserve"> </w:t>
      </w:r>
      <w:r>
        <w:rPr>
          <w:rStyle w:val="VerbatimChar"/>
        </w:rPr>
        <w:t xml:space="preserve">n_prin_comps=30</w:t>
      </w:r>
      <w:r>
        <w:t xml:space="preserve">. Samples with fewer than 50 cells after QC filtering were skipped. Predicted doublets were removed from all downstream analyses.</w:t>
      </w:r>
    </w:p>
    <w:bookmarkEnd w:id="133"/>
    <w:bookmarkStart w:id="134" w:name="preprocessing-dimensionality-reduction"/>
    <w:p>
      <w:pPr>
        <w:pStyle w:val="Heading2"/>
      </w:pPr>
      <w:r>
        <w:t xml:space="preserve">4. Preprocessing &amp; Dimensionality Reduction</w:t>
      </w:r>
    </w:p>
    <w:p>
      <w:pPr>
        <w:pStyle w:val="FirstParagraph"/>
      </w:pPr>
      <w:r>
        <w:t xml:space="preserve">Genes expressed in fewer than 3 cells were removed. Raw counts were stored in</w:t>
      </w:r>
      <w:r>
        <w:t xml:space="preserve"> </w:t>
      </w:r>
      <w:r>
        <w:rPr>
          <w:rStyle w:val="VerbatimChar"/>
        </w:rPr>
        <w:t xml:space="preserve">adata.layers["counts"]</w:t>
      </w:r>
      <w:r>
        <w:t xml:space="preserve"> </w:t>
      </w:r>
      <w:r>
        <w:t xml:space="preserve">before normalization to preserve integer counts for pseudobulk aggregation. Counts were then normalized to 10,000 per cell (CPM) using</w:t>
      </w:r>
      <w:r>
        <w:t xml:space="preserve"> </w:t>
      </w:r>
      <w:r>
        <w:rPr>
          <w:rStyle w:val="VerbatimChar"/>
        </w:rPr>
        <w:t xml:space="preserve">scanpy.pp.normalize_total</w:t>
      </w:r>
      <w:r>
        <w:t xml:space="preserve"> </w:t>
      </w:r>
      <w:r>
        <w:t xml:space="preserve">with</w:t>
      </w:r>
      <w:r>
        <w:t xml:space="preserve"> </w:t>
      </w:r>
      <w:r>
        <w:rPr>
          <w:rStyle w:val="VerbatimChar"/>
        </w:rPr>
        <w:t xml:space="preserve">target_sum=10000</w:t>
      </w:r>
      <w:r>
        <w:t xml:space="preserve">, followed by log1p transformation. Highly variable genes were selected using the seurat_v3 flavor applied to the raw counts layer, retaining the top 3,000 genes. Scaled data were clipped to a maximum value of 10 (</w:t>
      </w:r>
      <w:r>
        <w:rPr>
          <w:rStyle w:val="VerbatimChar"/>
        </w:rPr>
        <w:t xml:space="preserve">max_value=10</w:t>
      </w:r>
      <w:r>
        <w:t xml:space="preserve">). Principal component analysis was computed on the highly variable genes using 50 components. The nearest-neighbor graph was built with</w:t>
      </w:r>
      <w:r>
        <w:t xml:space="preserve"> </w:t>
      </w:r>
      <w:r>
        <w:rPr>
          <w:rStyle w:val="VerbatimChar"/>
        </w:rPr>
        <w:t xml:space="preserve">k=15</w:t>
      </w:r>
      <w:r>
        <w:t xml:space="preserve"> </w:t>
      </w:r>
      <w:r>
        <w:t xml:space="preserve">neighbors using the first 30 principal components. UMAP coordinates were computed with default parameters. Leiden clustering was applied at a resolution of 0.5.</w:t>
      </w:r>
    </w:p>
    <w:bookmarkEnd w:id="134"/>
    <w:bookmarkStart w:id="135" w:name="cell-cycle-scoring"/>
    <w:p>
      <w:pPr>
        <w:pStyle w:val="Heading2"/>
      </w:pPr>
      <w:r>
        <w:t xml:space="preserve">5. Cell Cycle Scoring</w:t>
      </w:r>
    </w:p>
    <w:p>
      <w:pPr>
        <w:pStyle w:val="FirstParagraph"/>
      </w:pPr>
      <w:r>
        <w:t xml:space="preserve">Cell cycle phase scores were computed using</w:t>
      </w:r>
      <w:r>
        <w:t xml:space="preserve"> </w:t>
      </w:r>
      <w:r>
        <w:rPr>
          <w:rStyle w:val="VerbatimChar"/>
        </w:rPr>
        <w:t xml:space="preserve">scanpy.tl.score_genes_cell_cycle</w:t>
      </w:r>
      <w:r>
        <w:t xml:space="preserve"> </w:t>
      </w:r>
      <w:r>
        <w:t xml:space="preserve">with the gene sets from Tirosh et al. (2016). The S-phase gene set comprised 43 genes (MCM5, PCNA, TYMS, FEN1, MCM2, MCM4, RRM1, UNG, GINS2, MCM6, CDCA7, DTL, PRIM1, UHRF1, MLF1IP, HELLS, RFC2, RPA2, NASP, RAD51AP1, GMNN, WDR76, SLBP, CCNE2, UBR7, POLD3, MSH2, ATAD2, RAD51, RRM2, CDC45, CDC6, EXO1, TIPIN, DSCC1, BLM, CASP8AP2, USP1, CLSPN, POLA1, CHAF1B, BRIP1, E2F8) and the G2M-phase gene set comprised 54 genes (HMGB2, CDK1, NUSAP1, UBE2C, BIRC5, TPX2, TOP2A, NDC80, CKS2, NUF2, CKS1B, MKI67, TMPO, CENPF, TACC3, FAM64A, SMC4, CCNB2, CKAP2L, CKAP2, AURKB, BUB1, KIF11, ANP32E, TUBB4B, GTSE1, KIF20B, HJURP, CDCA3, HN1, CDC20, TTK, CDC25C, KIF2C, RANGAP1, NCAPD2, DLGAP5, CDCA2, CDCA8, ECT2, KIF23, HMMR, AURKA, PSRC1, ANLN, LBR, CKAP5, CENPE, CTCF, NEK2, G2E3, GAS2L3, CBX5, CENPA). Each cell was assigned to the G1, S, or G2M phase based on the relative magnitude of its S-score and G2M-score.</w:t>
      </w:r>
    </w:p>
    <w:bookmarkEnd w:id="135"/>
    <w:bookmarkStart w:id="136" w:name="pseudobulk-differential-expression"/>
    <w:p>
      <w:pPr>
        <w:pStyle w:val="Heading2"/>
      </w:pPr>
      <w:r>
        <w:t xml:space="preserve">6. Pseudobulk Differential Expression</w:t>
      </w:r>
    </w:p>
    <w:p>
      <w:pPr>
        <w:pStyle w:val="FirstParagraph"/>
      </w:pPr>
      <w:r>
        <w:t xml:space="preserve">For pseudobulk differential expression, raw integer counts from</w:t>
      </w:r>
      <w:r>
        <w:t xml:space="preserve"> </w:t>
      </w:r>
      <w:r>
        <w:rPr>
          <w:rStyle w:val="VerbatimChar"/>
        </w:rPr>
        <w:t xml:space="preserve">adata.layers["counts"]</w:t>
      </w:r>
      <w:r>
        <w:t xml:space="preserve"> </w:t>
      </w:r>
      <w:r>
        <w:t xml:space="preserve">were summed per sample (OS01–OS07) to produce a sample-by-gene count matrix. Genes with fewer than 10 total counts across the full 7-sample matrix were excluded prior to any comparison. Differential expression was configured using PyDESeq2 with a Wald test design on the</w:t>
      </w:r>
      <w:r>
        <w:t xml:space="preserve"> </w:t>
      </w:r>
      <w:r>
        <w:rPr>
          <w:rStyle w:val="VerbatimChar"/>
        </w:rPr>
        <w:t xml:space="preserve">treatment</w:t>
      </w:r>
      <w:r>
        <w:t xml:space="preserve"> </w:t>
      </w:r>
      <w:r>
        <w:t xml:space="preserve">factor. Three comparisons were defined: E1 vs E2, E1 vs E1+HSD17B7i, and E1+HSD17B7i vs E2+HSD17B7i. However, because each treatment condition is represented by a single biological replicate (n=1), PyDESeq2 cannot estimate per-gene dispersion and all three comparisons were skipped at runtime. No pseudobulk DE results were produced. Positive log2 fold changes would indicate higher expression in the first-named condition, and genes would be considered differentially expressed at Benjamini-Hochberg adjusted p-value (padj) &lt; 0.05 and |log2FC| &gt; 0.5. Cell-level differential expression (Wilcoxon rank-sum tests in scripts 07–09) was used as the exploratory alternative.</w:t>
      </w:r>
    </w:p>
    <w:bookmarkEnd w:id="136"/>
    <w:bookmarkStart w:id="137" w:name="pathway-transcription-factor-analysis"/>
    <w:p>
      <w:pPr>
        <w:pStyle w:val="Heading2"/>
      </w:pPr>
      <w:r>
        <w:t xml:space="preserve">7. Pathway &amp; Transcription Factor Analysis</w:t>
      </w:r>
    </w:p>
    <w:p>
      <w:pPr>
        <w:pStyle w:val="FirstParagraph"/>
      </w:pPr>
      <w:r>
        <w:t xml:space="preserve">Gene set enrichment analysis was configured in script 05 to run on pseudobulk DE results using the gseapy preranked method, with genes ranked by the metric log2FC × −log10(p-value) from the PyDESeq2 Wald test, against the MSigDB Hallmarks 2020 gene set collection with 1,000 permutations, a random seed of 42, minimum gene set size 15, maximum size 500, and a significance threshold of FDR q-value &lt; 0.25. Because no pseudobulk DE results were produced (see section 6), GSEA preranked was not executed.</w:t>
      </w:r>
    </w:p>
    <w:p>
      <w:pPr>
        <w:pStyle w:val="BodyText"/>
      </w:pPr>
      <w:r>
        <w:t xml:space="preserve">PROGENy pathway activity was computed at the single-cell level using the decoupler multivariate linear model (MLM), fetching the human PROGENy network with the top 300 footprint genes per pathway (</w:t>
      </w:r>
      <w:r>
        <w:rPr>
          <w:rStyle w:val="VerbatimChar"/>
        </w:rPr>
        <w:t xml:space="preserve">dc.op.progeny(organism="human", top=300)</w:t>
      </w:r>
      <w:r>
        <w:t xml:space="preserve">). Transcription factor activity was estimated using DoRothEA via</w:t>
      </w:r>
      <w:r>
        <w:t xml:space="preserve"> </w:t>
      </w:r>
      <w:r>
        <w:rPr>
          <w:rStyle w:val="VerbatimChar"/>
        </w:rPr>
        <w:t xml:space="preserve">dc.op.dorothea(organism="human", levels=["A", "B", "C"])</w:t>
      </w:r>
      <w:r>
        <w:t xml:space="preserve"> </w:t>
      </w:r>
      <w:r>
        <w:t xml:space="preserve">followed by the MLM estimator. Target transcription factors visualized were ESR1, E2F1, E2F4, MYC, and TP53.</w:t>
      </w:r>
    </w:p>
    <w:p>
      <w:pPr>
        <w:pStyle w:val="BodyText"/>
      </w:pPr>
      <w:r>
        <w:t xml:space="preserve">Enrichr over-representation analysis was performed in script 09 separately from the pseudobulk GSEA approach in script 05 above. While script 05 used pseudobulk-based log2FC x -log10(p) for gene ranking, script 09 used cell-level Wilcoxon rank-sum differential expression between E1 and E1+HSD17B7i as input. Significantly up-regulated (padj &lt; 0.05, log2FC &gt; 0.25) and down-regulated (padj &lt; 0.05, log2FC &lt; −0.25) gene lists were queried against five libraries: MSigDB_Hallmark_2020, KEGG_2021_Human, Reactome_2022, GO_Biological_Process_2023, and WikiPathway_2023_Human. Significant enrichments were defined at adjusted p-value &lt; 0.05.</w:t>
      </w:r>
    </w:p>
    <w:bookmarkEnd w:id="137"/>
    <w:bookmarkStart w:id="138" w:name="cell-cycle-distribution"/>
    <w:p>
      <w:pPr>
        <w:pStyle w:val="Heading2"/>
      </w:pPr>
      <w:r>
        <w:t xml:space="preserve">8. Cell Cycle Distribution</w:t>
      </w:r>
    </w:p>
    <w:p>
      <w:pPr>
        <w:pStyle w:val="FirstParagraph"/>
      </w:pPr>
      <w:r>
        <w:t xml:space="preserve">Phase proportions (G1, S, G2M) were computed as contingency tables of cell cycle phase assignment versus treatment condition. Chi-square tests for independence were applied to evaluate whether phase distribution differed between the following treatment pairs: E1 vs E2, E1 vs E1+HSD17B7i, and E1+HSD17B7i vs E2+HSD17B7i. Results were summarized as stacked bar plots of phase proportions by treatment, and as boxplots of continuous S-scores and G2M-scores per condition.</w:t>
      </w:r>
    </w:p>
    <w:bookmarkEnd w:id="138"/>
    <w:bookmarkStart w:id="139" w:name="single-cell-pathway-scoring"/>
    <w:p>
      <w:pPr>
        <w:pStyle w:val="Heading2"/>
      </w:pPr>
      <w:r>
        <w:t xml:space="preserve">9. Single-Cell Pathway Scoring</w:t>
      </w:r>
    </w:p>
    <w:p>
      <w:pPr>
        <w:pStyle w:val="FirstParagraph"/>
      </w:pPr>
      <w:r>
        <w:t xml:space="preserve">Eight custom gene sets were scored at the single-cell level using</w:t>
      </w:r>
      <w:r>
        <w:t xml:space="preserve"> </w:t>
      </w:r>
      <w:r>
        <w:rPr>
          <w:rStyle w:val="VerbatimChar"/>
        </w:rPr>
        <w:t xml:space="preserve">scanpy.tl.score_genes</w:t>
      </w:r>
      <w:r>
        <w:t xml:space="preserve">: Estrogen Response Early (23 genes), Estrogen Response Late (20 genes), E2F Targets (24 genes), G2M Checkpoint (20 genes), MYC Targets (22 genes), Proliferation (14 genes), Steroid Biosynthesis (12 genes), and ER Targets Direct (15 genes). An additional four ER subprogram gene sets were scored in script 08: ER Proliferative (11 genes: MKI67, TOP2A, CCND1, CCNE2, CDK1, MCM2, MCM5, PCNA, E2F1, MYC, MYBL2), ER Transcriptional (12 genes: GREB1, TFF1, PGR, PDZK1, XBP1, NRIP1, RARA, FOXA1, ESR1, AGR2, CA12, STC2), ER Metabolic (10 genes: IGFBP4, PKIB, SLC7A2, ELOVL2, FKBP4, MAPT, SLC9A3R1, CELSR2, PRSS23, TSKU), and ER Signaling Crosstalk (10 genes: ERBB4, AREG, EGR3, HSPB8, NPY1R, KRT19, SIAH2, MYB, CTSD, ANXA9).</w:t>
      </w:r>
    </w:p>
    <w:p>
      <w:pPr>
        <w:pStyle w:val="BodyText"/>
      </w:pPr>
      <w:r>
        <w:t xml:space="preserve">Statistical comparisons of pathway score distributions were performed across the three primary treatment pairs (E1 vs E2, E1 vs E1+HSD17B7i, E1+HSD17B7i vs E2+HSD17B7i) using the Mann-Whitney U test (two-sided) to compare medians, the two-sample Kolmogorov-Smirnov test to assess distributional differences, and Cohen’s d as the effect size measure. Multiple testing correction across all pathway-comparison pairs was applied using the Benjamini-Hochberg false discovery rate procedure.</w:t>
      </w:r>
    </w:p>
    <w:bookmarkEnd w:id="139"/>
    <w:bookmarkStart w:id="140" w:name="hsd17b7-inhibitor-mechanism-analysis"/>
    <w:p>
      <w:pPr>
        <w:pStyle w:val="Heading2"/>
      </w:pPr>
      <w:r>
        <w:t xml:space="preserve">10. HSD17B7 Inhibitor Mechanism Analysis</w:t>
      </w:r>
    </w:p>
    <w:p>
      <w:pPr>
        <w:pStyle w:val="FirstParagraph"/>
      </w:pPr>
      <w:r>
        <w:t xml:space="preserve">To characterize the transcriptional mechanism of HSD17B7 inhibition, E1-dominant and E2-dominant gene signatures were derived empirically from the data. Cell-level Wilcoxon rank-sum differential expression was computed separately for E1 vs Vehicle and E2 vs Vehicle. Genes were classified as E1-responsive only, E2-responsive only, or shared responsive based on significance (padj &lt; 0.05) and effect size (|log2FC| &gt; 0.25). Resulting gene lists were scored across all seven treatment conditions using</w:t>
      </w:r>
      <w:r>
        <w:t xml:space="preserve"> </w:t>
      </w:r>
      <w:r>
        <w:rPr>
          <w:rStyle w:val="VerbatimChar"/>
        </w:rPr>
        <w:t xml:space="preserve">sc.tl.score_genes</w:t>
      </w:r>
      <w:r>
        <w:t xml:space="preserve"> </w:t>
      </w:r>
      <w:r>
        <w:t xml:space="preserve">to test the cycling hypothesis (H1): that E2+HSD17B7i gains E1-like transcriptional character by blocking conversion of E1 to E2.</w:t>
      </w:r>
    </w:p>
    <w:p>
      <w:pPr>
        <w:pStyle w:val="BodyText"/>
      </w:pPr>
      <w:r>
        <w:t xml:space="preserve">A steroidogenic gene panel was profiled across all conditions, comprising the full HSD17B family (HSD17B1–HSD17B3, HSD17B4, HSD17B6–HSD17B8, HSD17B10–HSD17B14), other steroidogenic enzymes (CYP19A1, STS, SULT1E1, HSD3B1, HSD3B2, CYP17A1, CYP11A1, STAR, AKR1C1–AKR1C3), and estrogen receptors (ESR1, ESR2, GPER1). Mean expression and percent of expressing cells per treatment were computed for each gene. To further characterize the mechanism, the four ER subprograms (Proliferative, Transcriptional, Metabolic, and Signaling Crosstalk) were independently scored across all conditions and compared for differential sensitivity to inhibition.</w:t>
      </w:r>
    </w:p>
    <w:bookmarkEnd w:id="140"/>
    <w:bookmarkStart w:id="141" w:name="heterogeneity-analysis"/>
    <w:p>
      <w:pPr>
        <w:pStyle w:val="Heading2"/>
      </w:pPr>
      <w:r>
        <w:t xml:space="preserve">11. Heterogeneity Analysis</w:t>
      </w:r>
    </w:p>
    <w:p>
      <w:pPr>
        <w:pStyle w:val="FirstParagraph"/>
      </w:pPr>
      <w:r>
        <w:t xml:space="preserve">Per-condition cellular heterogeneity was quantified through six complementary analyses. First, kernel density estimate (KDE) contours were overlaid on UMAP coordinates using a bandwidth of 0.3, with KDE computed on up to 5,000 subsampled cells per condition when cell numbers exceeded this threshold. Second, neighborhood mixing entropy was computed per cell as the Shannon entropy of the treatment composition of its nearest-neighbor graph connections, producing both a per-cell entropy value and a condition-level mixing matrix.</w:t>
      </w:r>
    </w:p>
    <w:p>
      <w:pPr>
        <w:pStyle w:val="BodyText"/>
      </w:pPr>
      <w:r>
        <w:t xml:space="preserve">Third, within-condition dispersion was measured as the mean distance from each cell’s UMAP position to the condition centroid, the mean pairwise distance in the first 30 PCA dimensions (subsampled to 1,000 cells per condition), and the mean silhouette score computed on a subsample of 10,000 cells in PCA space. Fourth, cluster-treatment associations were assessed by Fisher’s exact test applied to each Leiden cluster-treatment pair in the contingency table, with Benjamini-Hochberg correction (FDR &lt; 0.05).</w:t>
      </w:r>
    </w:p>
    <w:p>
      <w:pPr>
        <w:pStyle w:val="BodyText"/>
      </w:pPr>
      <w:r>
        <w:t xml:space="preserve">Fifth, the core biological axis was identified by performing PCA on the standardized matrix of 14 pathway score columns (the eight gene set scores from section 9 plus the four ER subprogram scores plus S-score and G2M-score), retaining up to five components.</w:t>
      </w:r>
    </w:p>
    <w:p>
      <w:pPr>
        <w:pStyle w:val="BodyText"/>
      </w:pPr>
      <w:r>
        <w:t xml:space="preserve">Sixth, an estrogen response continuum score was defined as the mean of the Estrogen Response Early and Estrogen Response Late scores. KDE density overlays (bandwidth 0.2) were generated for each treatment group along this continuum, pairwise KDE overlap integrals (trapezoid rule, 500 evaluation points) were computed as a measure of distributional similarity, and a 50-window sliding window (width spanning two window intervals) was used to characterize how treatment composition shifted along the continuum axis.</w:t>
      </w:r>
    </w:p>
    <w:bookmarkEnd w:id="141"/>
    <w:bookmarkStart w:id="142" w:name="proliferation-quiescence-analysis"/>
    <w:p>
      <w:pPr>
        <w:pStyle w:val="Heading2"/>
      </w:pPr>
      <w:r>
        <w:t xml:space="preserve">12. Proliferation &amp; Quiescence Analysis</w:t>
      </w:r>
    </w:p>
    <w:p>
      <w:pPr>
        <w:pStyle w:val="FirstParagraph"/>
      </w:pPr>
      <w:r>
        <w:t xml:space="preserve">Quiescence was scored using</w:t>
      </w:r>
      <w:r>
        <w:t xml:space="preserve"> </w:t>
      </w:r>
      <w:r>
        <w:rPr>
          <w:rStyle w:val="VerbatimChar"/>
        </w:rPr>
        <w:t xml:space="preserve">sc.tl.score_genes</w:t>
      </w:r>
      <w:r>
        <w:t xml:space="preserve"> </w:t>
      </w:r>
      <w:r>
        <w:t xml:space="preserve">applied to an 8-gene arrest marker set: CDKN1A, CDKN1B, BTG1, BTG2, TOB1, GAS1, CDKN2A, and CCNG2. RB1 was excluded because it is frequently mutated in breast cancer; HES1 was excluded to avoid confounding by Notch signaling.</w:t>
      </w:r>
    </w:p>
    <w:p>
      <w:pPr>
        <w:pStyle w:val="BodyText"/>
      </w:pPr>
      <w:r>
        <w:t xml:space="preserve">Cells were classified as cycling or non-cycling by fitting a two-component Gaussian mixture model (GMM) to the global PROLIFERATION_score distribution. The BIC was compared between one- and two-component models; if the two-component model converged and had a lower BIC, the classification threshold was set as the mean of the two component means. Otherwise the analysis fell back to the 75th percentile of the proliferation score. Cycling cells were further sub-classified into S or G2M phase based on whether S_score exceeded G2M_score.</w:t>
      </w:r>
    </w:p>
    <w:p>
      <w:pPr>
        <w:pStyle w:val="BodyText"/>
      </w:pPr>
      <w:r>
        <w:t xml:space="preserve">Statistical comparisons were performed across seven predefined treatment pairs: Vehicle vs E1, Vehicle vs E2, E1 vs E2, E1 vs E1+fulvestrant, E2 vs E2+fulvestrant, E1 vs E1+HSD17B7i, and E1+HSD17B7i vs E2+HSD17B7i. For continuous proliferation and quiescence scores, the Mann-Whitney U test was used with rank-biserial correlation as the effect size. For cycling fractions, Fisher’s exact test was applied with the odds ratio as the effect size. Benjamini-Hochberg correction was applied separately within the proliferation score comparisons and within the cycling fraction comparisons. Per-cluster cycling fractions were tabulated across all Leiden clusters and treatment conditions. Spearman correlation between the proliferation score and the estrogen response score was computed per treatment condition. The estrogen response score column was selected using a fallback hierarchy: ESTROGEN_RESPONSE_EARLY_score was used if available, otherwise ER_TARGETS_DIRECT_score, otherwise ESTROGEN_RESPONSE_LATE_score.</w:t>
      </w:r>
    </w:p>
    <w:bookmarkEnd w:id="142"/>
    <w:bookmarkStart w:id="143" w:name="treatment-label-convention"/>
    <w:p>
      <w:pPr>
        <w:pStyle w:val="Heading2"/>
      </w:pPr>
      <w:r>
        <w:t xml:space="preserve">13. Treatment Label Convention</w:t>
      </w:r>
    </w:p>
    <w:p>
      <w:pPr>
        <w:pStyle w:val="FirstParagraph"/>
      </w:pPr>
      <w:r>
        <w:t xml:space="preserve">Cell Ranger Flex produces per-sample output in which the treatment metadata are stored using the historical nomenclature E1+ICI and E2+ICI (where ICI referred to the fulvestrant compound during initial data generation). Downstream figures and analyses display these conditions as E1+fulvestrant (E1+fulv) and E2+fulvestrant (E2+fulv) to avoid ambiguity with immune checkpoint inhibitor therapies. This renaming is applied at load time via the</w:t>
      </w:r>
      <w:r>
        <w:t xml:space="preserve"> </w:t>
      </w:r>
      <w:r>
        <w:rPr>
          <w:rStyle w:val="VerbatimChar"/>
        </w:rPr>
        <w:t xml:space="preserve">standardize_treatments()</w:t>
      </w:r>
      <w:r>
        <w:t xml:space="preserve"> </w:t>
      </w:r>
      <w:r>
        <w:t xml:space="preserve">function in</w:t>
      </w:r>
      <w:r>
        <w:t xml:space="preserve"> </w:t>
      </w:r>
      <w:r>
        <w:rPr>
          <w:rStyle w:val="VerbatimChar"/>
        </w:rPr>
        <w:t xml:space="preserve">_config.py</w:t>
      </w:r>
      <w:r>
        <w:t xml:space="preserve"> </w:t>
      </w:r>
      <w:r>
        <w:t xml:space="preserve">in scripts 06, 07, 08, 10, and 11. Scripts 02, 03, 04, 05, and 09 do not call</w:t>
      </w:r>
      <w:r>
        <w:t xml:space="preserve"> </w:t>
      </w:r>
      <w:r>
        <w:rPr>
          <w:rStyle w:val="VerbatimChar"/>
        </w:rPr>
        <w:t xml:space="preserve">standardize_treatments()</w:t>
      </w:r>
      <w:r>
        <w:t xml:space="preserve"> </w:t>
      </w:r>
      <w:r>
        <w:t xml:space="preserve">and retain the original ICI labels internally.</w:t>
      </w:r>
    </w:p>
    <w:bookmarkEnd w:id="143"/>
    <w:bookmarkStart w:id="144" w:name="software-reproducibility"/>
    <w:p>
      <w:pPr>
        <w:pStyle w:val="Heading2"/>
      </w:pPr>
      <w:r>
        <w:t xml:space="preserve">14. Software &amp; Reproducibility</w:t>
      </w:r>
    </w:p>
    <w:p>
      <w:pPr>
        <w:pStyle w:val="FirstParagraph"/>
      </w:pPr>
      <w:r>
        <w:t xml:space="preserve">Single-cell analyses were performed in Python using scanpy (version compatible with decoupler 2.x API), PyDESeq2, decoupler 2.x, gseapy, scikit-learn, and scipy. Pathway and TF networks were retrieved via</w:t>
      </w:r>
      <w:r>
        <w:t xml:space="preserve"> </w:t>
      </w:r>
      <w:r>
        <w:rPr>
          <w:rStyle w:val="VerbatimChar"/>
        </w:rPr>
        <w:t xml:space="preserve">dc.op.progeny()</w:t>
      </w:r>
      <w:r>
        <w:t xml:space="preserve"> </w:t>
      </w:r>
      <w:r>
        <w:t xml:space="preserve">and</w:t>
      </w:r>
      <w:r>
        <w:t xml:space="preserve"> </w:t>
      </w:r>
      <w:r>
        <w:rPr>
          <w:rStyle w:val="VerbatimChar"/>
        </w:rPr>
        <w:t xml:space="preserve">dc.op.dorothea()</w:t>
      </w:r>
      <w:r>
        <w:t xml:space="preserve"> </w:t>
      </w:r>
      <w:r>
        <w:t xml:space="preserve">from the decoupler 2.x API. All analyses were run within the</w:t>
      </w:r>
      <w:r>
        <w:t xml:space="preserve"> </w:t>
      </w:r>
      <w:r>
        <w:rPr>
          <w:rStyle w:val="VerbatimChar"/>
        </w:rPr>
        <w:t xml:space="preserve">erp_brca_aging</w:t>
      </w:r>
      <w:r>
        <w:t xml:space="preserve"> </w:t>
      </w:r>
      <w:r>
        <w:t xml:space="preserve">conda environment at</w:t>
      </w:r>
      <w:r>
        <w:t xml:space="preserve"> </w:t>
      </w:r>
      <w:r>
        <w:rPr>
          <w:rStyle w:val="VerbatimChar"/>
        </w:rPr>
        <w:t xml:space="preserve">/ix1/alee/LO_LAB/Personal/Alexander_Chang/alc376/envs/erp_brca_aging</w:t>
      </w:r>
      <w:r>
        <w:t xml:space="preserve">. Figures were saved in dual format: PNG at 150 DPI and SVG (vector) for all panels.</w:t>
      </w:r>
    </w:p>
    <w:p>
      <w:pPr>
        <w:pStyle w:val="BodyText"/>
      </w:pPr>
      <w:r>
        <w:t xml:space="preserve">A random seed of 42 was set explicitly in all analysis scripts. Scripts 02, 03, 06, 07, and 08 set</w:t>
      </w:r>
      <w:r>
        <w:t xml:space="preserve"> </w:t>
      </w:r>
      <w:r>
        <w:rPr>
          <w:rStyle w:val="VerbatimChar"/>
        </w:rPr>
        <w:t xml:space="preserve">np.random.seed(42)</w:t>
      </w:r>
      <w:r>
        <w:t xml:space="preserve"> </w:t>
      </w:r>
      <w:r>
        <w:t xml:space="preserve">at script entry, and script 03 additionally passes</w:t>
      </w:r>
      <w:r>
        <w:t xml:space="preserve"> </w:t>
      </w:r>
      <w:r>
        <w:rPr>
          <w:rStyle w:val="VerbatimChar"/>
        </w:rPr>
        <w:t xml:space="preserve">random_state=42</w:t>
      </w:r>
      <w:r>
        <w:t xml:space="preserve"> </w:t>
      </w:r>
      <w:r>
        <w:t xml:space="preserve">to PCA, UMAP, and Leiden clustering. Scripts 05 and 09 set</w:t>
      </w:r>
      <w:r>
        <w:t xml:space="preserve"> </w:t>
      </w:r>
      <w:r>
        <w:rPr>
          <w:rStyle w:val="VerbatimChar"/>
        </w:rPr>
        <w:t xml:space="preserve">seed=42</w:t>
      </w:r>
      <w:r>
        <w:t xml:space="preserve"> </w:t>
      </w:r>
      <w:r>
        <w:t xml:space="preserve">for GSEA preranked, script 10 sets</w:t>
      </w:r>
      <w:r>
        <w:t xml:space="preserve"> </w:t>
      </w:r>
      <w:r>
        <w:rPr>
          <w:rStyle w:val="VerbatimChar"/>
        </w:rPr>
        <w:t xml:space="preserve">np.random.seed(42)</w:t>
      </w:r>
      <w:r>
        <w:t xml:space="preserve"> </w:t>
      </w:r>
      <w:r>
        <w:t xml:space="preserve">at script entry, and script 11 sets</w:t>
      </w:r>
      <w:r>
        <w:t xml:space="preserve"> </w:t>
      </w:r>
      <w:r>
        <w:rPr>
          <w:rStyle w:val="VerbatimChar"/>
        </w:rPr>
        <w:t xml:space="preserve">random_state=42</w:t>
      </w:r>
      <w:r>
        <w:t xml:space="preserve"> </w:t>
      </w:r>
      <w:r>
        <w:t xml:space="preserve">for GMM classification. This seed convention (42) is an exception to the project-wide default of 12345 and was preserved to maintain reproducibility with the original analysis results.</w:t>
      </w:r>
    </w:p>
    <w:bookmarkEnd w:id="144"/>
    <w:bookmarkStart w:id="145" w:name="main-text-summary-6"/>
    <w:p>
      <w:pPr>
        <w:pStyle w:val="Heading2"/>
      </w:pPr>
      <w:r>
        <w:t xml:space="preserve">Main Text Summary</w:t>
      </w:r>
    </w:p>
    <w:p>
      <w:pPr>
        <w:pStyle w:val="FirstParagraph"/>
      </w:pPr>
      <w:r>
        <w:t xml:space="preserve">Single-cell RNA-seq of patient-derived organoid PDO-296 was performed across seven treatment conditions (Vehicle, E1, E2, E1+fulvestrant, E2+fulvestrant, E1+HSD17B7i, E2+HSD17B7i) captured on the 10x Chromium Flex platform in two pools. A custom GRCh38-2024-A reference with probe filtering disabled (to retain HSD17B7 expression data) was used for Cell Ranger processing. Cells passing QC thresholds (≥500 genes, ≥1,000 UMI, &lt;15% mitochondrial) and Scrublet doublet removal were normalized to CPM, log1p-transformed, and clustered by Leiden (resolution 0.5) after PCA (50 components) and neighbor graph construction (k=15, 30 PCs). Pseudobulk differential expression was configured for three primary comparisons using PyDESeq2 (padj &lt; 0.05, |log2FC| &gt; 0.5) but was skipped at runtime due to insufficient biological replicates (n=1 per condition); GSEA preranked (MSigDB Hallmarks, seed=42, FDR &lt; 0.25) was consequently not executed. Cell-level Wilcoxon rank-sum tests were used as the exploratory DE alternative. Pathway activity was characterized by PROGENy (top 300 footprints, MLM) and DoRothEA (levels A/B/C, MLM). Eight custom gene set scores and four ER subprogram scores were computed per cell using scanpy, with distributional comparisons by Mann-Whitney U test, two-sample Kolmogorov-Smirnov test, and Cohen’s d effect size (BH-FDR corrected). A GMM-based cycling classifier and an 8-gene quiescence score characterized proliferative state across all seven treatment pairs, and an estrogen response continuum score was used to characterize heterogeneity in estrogen signaling across conditions.</w:t>
      </w:r>
    </w:p>
    <w:bookmarkEnd w:id="145"/>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code_review/code_review_issues.md" TargetMode="External" /><Relationship Type="http://schemas.openxmlformats.org/officeDocument/2006/relationships/hyperlink" Id="rId17" Target="01_human_bulk_rnaseq_methods.md" TargetMode="External" /><Relationship Type="http://schemas.openxmlformats.org/officeDocument/2006/relationships/hyperlink" Id="rId18" Target="02_rat_snrnaseq_methods.md" TargetMode="External" /><Relationship Type="http://schemas.openxmlformats.org/officeDocument/2006/relationships/hyperlink" Id="rId19" Target="03_rat_wes_methods.md" TargetMode="External" /><Relationship Type="http://schemas.openxmlformats.org/officeDocument/2006/relationships/hyperlink" Id="rId20" Target="04_human_scrnaseq_methods.md" TargetMode="External" /><Relationship Type="http://schemas.openxmlformats.org/officeDocument/2006/relationships/hyperlink" Id="rId21" Target="05_rat_bulk_rnaseq_methods.md" TargetMode="External" /><Relationship Type="http://schemas.openxmlformats.org/officeDocument/2006/relationships/hyperlink" Id="rId22" Target="06_spatial_biopsies_methods.md" TargetMode="External" /><Relationship Type="http://schemas.openxmlformats.org/officeDocument/2006/relationships/hyperlink" Id="rId23" Target="07_organoid_scrnaseq_methods.md" TargetMode="External" /></Relationships>
</file>

<file path=word/_rels/footnotes.xml.rels><?xml version="1.0" encoding="UTF-8"?><Relationships xmlns="http://schemas.openxmlformats.org/package/2006/relationships"><Relationship Type="http://schemas.openxmlformats.org/officeDocument/2006/relationships/hyperlink" Id="rId24" Target="../code_review/code_review_issues.md" TargetMode="External" /><Relationship Type="http://schemas.openxmlformats.org/officeDocument/2006/relationships/hyperlink" Id="rId17" Target="01_human_bulk_rnaseq_methods.md" TargetMode="External" /><Relationship Type="http://schemas.openxmlformats.org/officeDocument/2006/relationships/hyperlink" Id="rId18" Target="02_rat_snrnaseq_methods.md" TargetMode="External" /><Relationship Type="http://schemas.openxmlformats.org/officeDocument/2006/relationships/hyperlink" Id="rId19" Target="03_rat_wes_methods.md" TargetMode="External" /><Relationship Type="http://schemas.openxmlformats.org/officeDocument/2006/relationships/hyperlink" Id="rId20" Target="04_human_scrnaseq_methods.md" TargetMode="External" /><Relationship Type="http://schemas.openxmlformats.org/officeDocument/2006/relationships/hyperlink" Id="rId21" Target="05_rat_bulk_rnaseq_methods.md" TargetMode="External" /><Relationship Type="http://schemas.openxmlformats.org/officeDocument/2006/relationships/hyperlink" Id="rId22" Target="06_spatial_biopsies_methods.md" TargetMode="External" /><Relationship Type="http://schemas.openxmlformats.org/officeDocument/2006/relationships/hyperlink" Id="rId23" Target="07_organoid_scrnaseq_method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2026-03-23T14:32:26Z</dcterms:created>
  <dcterms:modified xsi:type="dcterms:W3CDTF">2026-03-23T14:32:26Z</dcterms:modified>
</cp:coreProperties>
</file>

<file path=docProps/custom.xml><?xml version="1.0" encoding="utf-8"?>
<Properties xmlns="http://schemas.openxmlformats.org/officeDocument/2006/custom-properties" xmlns:vt="http://schemas.openxmlformats.org/officeDocument/2006/docPropsVTypes"/>
</file>