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Version</w:t>
      </w:r>
      <w:r>
        <w:t xml:space="preserve"> </w:t>
      </w:r>
      <w:r>
        <w:t xml:space="preserve">1.2-Results</w:t>
      </w:r>
    </w:p>
    <w:p>
      <w:pPr>
        <w:pStyle w:val="Heading1"/>
      </w:pPr>
      <w:bookmarkStart w:id="20" w:name="results"/>
      <w:r>
        <w:t xml:space="preserve">Results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The table below (Table _) shows the estimate, standard error, test statistic, and p-values associated with the fixed-effect slope parameter as estimated by each modeling method.</w:t>
      </w:r>
    </w:p>
    <w:p>
      <w:pPr>
        <w:pStyle w:val="Compact"/>
        <w:numPr>
          <w:numId w:val="1002"/>
          <w:ilvl w:val="0"/>
        </w:numPr>
      </w:pPr>
      <w:r>
        <w:t xml:space="preserve">The fixed effect slope parameter is being considered for comparison because:</w:t>
      </w:r>
    </w:p>
    <w:p>
      <w:pPr>
        <w:pStyle w:val="Compact"/>
        <w:numPr>
          <w:numId w:val="1003"/>
          <w:ilvl w:val="1"/>
        </w:numPr>
      </w:pPr>
      <w:r>
        <w:t xml:space="preserve">It has been estimated in all models, so the effects on the parameter itself can be interpreted as effects due to model-approach changes</w:t>
      </w:r>
    </w:p>
    <w:p>
      <w:pPr>
        <w:pStyle w:val="Compact"/>
        <w:numPr>
          <w:numId w:val="1003"/>
          <w:ilvl w:val="1"/>
        </w:numPr>
      </w:pPr>
      <w:r>
        <w:t xml:space="preserve">It will allow us to diagnose effects due to subject-level clustering when we compare properties of the parameter across different modeling techniques</w:t>
      </w:r>
    </w:p>
    <w:p>
      <w:pPr>
        <w:pStyle w:val="Compact"/>
        <w:numPr>
          <w:numId w:val="1002"/>
          <w:ilvl w:val="0"/>
        </w:numPr>
      </w:pPr>
      <w:r>
        <w:t xml:space="preserve">Displayed:</w:t>
      </w:r>
    </w:p>
    <w:p>
      <w:pPr>
        <w:pStyle w:val="Compact"/>
        <w:numPr>
          <w:numId w:val="1004"/>
          <w:ilvl w:val="1"/>
        </w:numPr>
      </w:pPr>
      <w:r>
        <w:t xml:space="preserve">percent change in: parameter estimate, standard error, and test statistic for the MALAT1~CD19 variable pairing as defined by: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Percent Change</m:t>
          </m:r>
          <m:r>
            <m:t>[</m:t>
          </m:r>
          <m:r>
            <m:t>A</m:t>
          </m:r>
          <m:sSub>
            <m:e>
              <m:r>
                <m:t>]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t>−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d>
          <m:r>
            <m:t>*</m:t>
          </m:r>
          <m:r>
            <m:t>100</m:t>
          </m:r>
        </m:oMath>
      </m:oMathPara>
    </w:p>
    <w:p>
      <w:pPr>
        <w:pStyle w:val="Compact"/>
        <w:numPr>
          <w:numId w:val="1005"/>
          <w:ilvl w:val="0"/>
        </w:numPr>
      </w:pPr>
      <w:r>
        <w:t xml:space="preserve">Displayed:</w:t>
      </w:r>
    </w:p>
    <w:p>
      <w:pPr>
        <w:pStyle w:val="Compact"/>
        <w:numPr>
          <w:numId w:val="1006"/>
          <w:ilvl w:val="1"/>
        </w:numPr>
      </w:pPr>
      <w:r>
        <w:t xml:space="preserve">percent change in: parameter estimate, standard error, and test statistic for the FBLN1~CD34 variable pairing</w:t>
      </w:r>
    </w:p>
    <w:p>
      <w:pPr>
        <w:pStyle w:val="Compact"/>
        <w:numPr>
          <w:numId w:val="1007"/>
          <w:ilvl w:val="0"/>
        </w:numPr>
      </w:pPr>
      <w:r>
        <w:t xml:space="preserve">Camparison of parameter estimates</w:t>
      </w:r>
    </w:p>
    <w:p>
      <w:pPr>
        <w:pStyle w:val="Compact"/>
        <w:numPr>
          <w:numId w:val="1008"/>
          <w:ilvl w:val="1"/>
        </w:numPr>
      </w:pPr>
      <w:r>
        <w:t xml:space="preserve">We compare changes in the parameter estimate values because:</w:t>
      </w:r>
    </w:p>
    <w:p>
      <w:pPr>
        <w:pStyle w:val="Compact"/>
        <w:numPr>
          <w:numId w:val="1009"/>
          <w:ilvl w:val="2"/>
        </w:numPr>
      </w:pPr>
      <w:r>
        <w:t xml:space="preserve">magnitude of change when comparing two model estimates can be indicative of the amount of subject-level correlation in the data</w:t>
      </w:r>
    </w:p>
    <w:p>
      <w:pPr>
        <w:pStyle w:val="Compact"/>
        <w:numPr>
          <w:numId w:val="1008"/>
          <w:ilvl w:val="1"/>
        </w:numPr>
      </w:pPr>
      <w:r>
        <w:t xml:space="preserve">Findings:</w:t>
      </w:r>
    </w:p>
    <w:p>
      <w:pPr>
        <w:pStyle w:val="Compact"/>
        <w:numPr>
          <w:numId w:val="1010"/>
          <w:ilvl w:val="2"/>
        </w:numPr>
      </w:pPr>
      <w:r>
        <w:t xml:space="preserve">Models LM and GEE have similar estimates</w:t>
      </w:r>
      <w:r>
        <w:t xml:space="preserve"> </w:t>
      </w:r>
      <w:r>
        <w:t xml:space="preserve">-indicates that models with population-average interpretation parameters are more similar to each other</w:t>
      </w:r>
    </w:p>
    <w:p>
      <w:pPr>
        <w:pStyle w:val="Compact"/>
        <w:numPr>
          <w:numId w:val="1010"/>
          <w:ilvl w:val="2"/>
        </w:numPr>
      </w:pPr>
      <w:r>
        <w:t xml:space="preserve">Models LM-FE, LM-RI, and LM-RS are also all similar</w:t>
      </w:r>
      <w:r>
        <w:t xml:space="preserve"> </w:t>
      </w:r>
      <w:r>
        <w:t xml:space="preserve">-indicates that models with subject-specific interpretation parameters are more similar to each other</w:t>
      </w:r>
    </w:p>
    <w:p>
      <w:pPr>
        <w:pStyle w:val="Compact"/>
        <w:numPr>
          <w:numId w:val="1010"/>
          <w:ilvl w:val="2"/>
        </w:numPr>
      </w:pPr>
      <w:r>
        <w:t xml:space="preserve">Estimates are less similar when comparing between the two clusters of similarity mentionioned</w:t>
      </w:r>
    </w:p>
    <w:p>
      <w:pPr>
        <w:pStyle w:val="Compact"/>
        <w:numPr>
          <w:numId w:val="1010"/>
          <w:ilvl w:val="2"/>
        </w:numPr>
      </w:pPr>
      <w:r>
        <w:t xml:space="preserve">Accounting for subject-specific outcomes, results in a different estimate than when modeling population-averages, i.e. there is an effect from subject-level correlation</w:t>
      </w:r>
    </w:p>
    <w:p>
      <w:pPr>
        <w:pStyle w:val="Compact"/>
        <w:numPr>
          <w:numId w:val="1010"/>
          <w:ilvl w:val="2"/>
        </w:numPr>
      </w:pPr>
      <w:r>
        <w:t xml:space="preserve">The effect is more pronounced in the FBLN1~CD34 pairing than the MALAT1~CD19 pairing</w:t>
      </w:r>
    </w:p>
    <w:p>
      <w:pPr>
        <w:pStyle w:val="Heading2"/>
      </w:pPr>
      <w:bookmarkStart w:id="21" w:name="standard-error-estimates"/>
      <w:r>
        <w:t xml:space="preserve">Standard Error Estimates</w:t>
      </w:r>
      <w:bookmarkEnd w:id="21"/>
    </w:p>
    <w:p>
      <w:pPr>
        <w:pStyle w:val="Compact"/>
        <w:numPr>
          <w:numId w:val="1011"/>
          <w:ilvl w:val="0"/>
        </w:numPr>
      </w:pPr>
      <w:r>
        <w:t xml:space="preserve">Comparison of standard error of estimates</w:t>
      </w:r>
    </w:p>
    <w:p>
      <w:pPr>
        <w:pStyle w:val="Compact"/>
        <w:numPr>
          <w:numId w:val="1012"/>
          <w:ilvl w:val="1"/>
        </w:numPr>
      </w:pPr>
      <w:r>
        <w:t xml:space="preserve">We compare changes in the standard error of estimates because:</w:t>
      </w:r>
    </w:p>
    <w:p>
      <w:pPr>
        <w:pStyle w:val="Compact"/>
        <w:numPr>
          <w:numId w:val="1013"/>
          <w:ilvl w:val="2"/>
        </w:numPr>
      </w:pPr>
      <w:r>
        <w:t xml:space="preserve">a change in a parameter’s SE across modeling methodologies represents a revision in the underlying evidence the method is using to support its result.</w:t>
      </w:r>
    </w:p>
    <w:p>
      <w:pPr>
        <w:pStyle w:val="Compact"/>
        <w:numPr>
          <w:numId w:val="1013"/>
          <w:ilvl w:val="2"/>
        </w:numPr>
      </w:pPr>
      <w:r>
        <w:t xml:space="preserve">e.g. increase SE between two models indicates a decrease in an estimate’s precision</w:t>
      </w:r>
    </w:p>
    <w:p>
      <w:pPr>
        <w:pStyle w:val="Compact"/>
        <w:numPr>
          <w:numId w:val="1012"/>
          <w:ilvl w:val="1"/>
        </w:numPr>
      </w:pPr>
      <w:r>
        <w:t xml:space="preserve">Findings:</w:t>
      </w:r>
    </w:p>
    <w:p>
      <w:pPr>
        <w:pStyle w:val="Compact"/>
        <w:numPr>
          <w:numId w:val="1014"/>
          <w:ilvl w:val="2"/>
        </w:numPr>
      </w:pPr>
      <w:r>
        <w:t xml:space="preserve">The standard error of the fixed effect slope parameter estimate is highest for the random slope model, which differs from all models with the incorperation of subject-specific variablility relationships between predictor and response</w:t>
      </w:r>
    </w:p>
    <w:p>
      <w:pPr>
        <w:pStyle w:val="Compact"/>
        <w:numPr>
          <w:numId w:val="1014"/>
          <w:ilvl w:val="2"/>
        </w:numPr>
      </w:pPr>
      <w:r>
        <w:t xml:space="preserve">The SE is lowest for the random intercept model, which differs from all models either by lacking the incorperation of subject-specific varibility relationships between predictor and response (i.e. nested within LMM-RS model), or incorperating subject-specific variability information independent of predictors</w:t>
      </w:r>
    </w:p>
    <w:p>
      <w:pPr>
        <w:pStyle w:val="Compact"/>
        <w:numPr>
          <w:numId w:val="1014"/>
          <w:ilvl w:val="2"/>
        </w:numPr>
      </w:pPr>
      <w:r>
        <w:t xml:space="preserve">The fixed-effect subject-specific intercept had a lower SE than either of the population-average parameter interpretaion models LM and GEE. The LM-FE model incorperates subject-specific predictor-independent information into the mean-effect of the model.</w:t>
      </w:r>
    </w:p>
    <w:p>
      <w:pPr>
        <w:pStyle w:val="Heading2"/>
      </w:pPr>
      <w:bookmarkStart w:id="22" w:name="test-statistics"/>
      <w:r>
        <w:t xml:space="preserve">Test Statistics</w:t>
      </w:r>
      <w:bookmarkEnd w:id="22"/>
    </w:p>
    <w:p>
      <w:pPr>
        <w:pStyle w:val="Compact"/>
        <w:numPr>
          <w:numId w:val="1015"/>
          <w:ilvl w:val="0"/>
        </w:numPr>
      </w:pPr>
      <w:r>
        <w:t xml:space="preserve">Comparison of test statistics</w:t>
      </w:r>
    </w:p>
    <w:p>
      <w:pPr>
        <w:pStyle w:val="Compact"/>
        <w:numPr>
          <w:numId w:val="1016"/>
          <w:ilvl w:val="1"/>
        </w:numPr>
      </w:pPr>
      <w:r>
        <w:t xml:space="preserve">we compare changes in the test-statistics of estimates because:</w:t>
      </w:r>
    </w:p>
    <w:p>
      <w:pPr>
        <w:pStyle w:val="Compact"/>
        <w:numPr>
          <w:numId w:val="1017"/>
          <w:ilvl w:val="2"/>
        </w:numPr>
      </w:pPr>
      <w:r>
        <w:t xml:space="preserve">patterns we observe in test statistic percent change matrices can serve to reinforce previous conclusions we have made using estimated coefficients and standard errors.</w:t>
      </w:r>
    </w:p>
    <w:p>
      <w:pPr>
        <w:pStyle w:val="Compact"/>
        <w:numPr>
          <w:numId w:val="1016"/>
          <w:ilvl w:val="1"/>
        </w:numPr>
      </w:pPr>
      <w:r>
        <w:t xml:space="preserve">Findings:</w:t>
      </w:r>
    </w:p>
    <w:p>
      <w:pPr>
        <w:pStyle w:val="Compact"/>
        <w:numPr>
          <w:numId w:val="1018"/>
          <w:ilvl w:val="2"/>
        </w:numPr>
      </w:pPr>
      <w:r>
        <w:t xml:space="preserve">Changes in test statistics for the fixed-effect main-effect slope were smaller between LM and GEE, as well as between LM-FE, LMM-RI, and LMM-RS with few exceptions.</w:t>
      </w:r>
    </w:p>
    <w:p>
      <w:pPr>
        <w:pStyle w:val="Compact"/>
        <w:numPr>
          <w:numId w:val="1018"/>
          <w:ilvl w:val="2"/>
        </w:numPr>
      </w:pPr>
      <w:r>
        <w:t xml:space="preserve">There was undetectable change between LM and GEE</w:t>
      </w:r>
    </w:p>
    <w:p>
      <w:pPr>
        <w:pStyle w:val="Compact"/>
        <w:numPr>
          <w:numId w:val="1018"/>
          <w:ilvl w:val="2"/>
        </w:numPr>
      </w:pPr>
      <w:r>
        <w:t xml:space="preserve">Changes to the LMM-RS resulted in loss of significance (larger p-value)</w:t>
      </w:r>
    </w:p>
    <w:p>
      <w:pPr>
        <w:pStyle w:val="Heading2"/>
      </w:pPr>
      <w:bookmarkStart w:id="23" w:name="nested-model-comparisons"/>
      <w:r>
        <w:t xml:space="preserve">Nested Model Comparisons</w:t>
      </w:r>
      <w:bookmarkEnd w:id="23"/>
    </w:p>
    <w:p>
      <w:pPr>
        <w:pStyle w:val="Heading3"/>
      </w:pPr>
      <w:bookmarkStart w:id="24" w:name="test-for-fe-subject-specific-intercept"/>
      <w:r>
        <w:t xml:space="preserve">Test for FE Subject Specific Intercept</w:t>
      </w:r>
      <w:bookmarkEnd w:id="24"/>
    </w:p>
    <w:p>
      <w:pPr>
        <w:pStyle w:val="FirstParagraph"/>
      </w:pPr>
      <w:r>
        <w:t xml:space="preserve">The table above is a nested model comparison, the result of which is an F-test statistic telling us that there is very strong evidence to support the inclusion of the subject-specific fixed-effect intercept into the LM model.</w:t>
      </w:r>
    </w:p>
    <w:p>
      <w:pPr>
        <w:pStyle w:val="Heading3"/>
      </w:pPr>
      <w:bookmarkStart w:id="25" w:name="test-for-re-subject-specific-intercept"/>
      <w:r>
        <w:t xml:space="preserve">Test for RE Subject Specific Intercept</w:t>
      </w:r>
      <w:bookmarkEnd w:id="25"/>
    </w:p>
    <w:p>
      <w:pPr>
        <w:pStyle w:val="FirstParagraph"/>
      </w:pPr>
      <w:r>
        <w:t xml:space="preserve">The table above is a nested model comparison, the result of which is a likelihood ratio statistic telling us that there is very strong evidence to support the inclusion of the subject-specific random effect intercept into the LM model.</w:t>
      </w:r>
    </w:p>
    <w:p>
      <w:pPr>
        <w:pStyle w:val="Heading3"/>
      </w:pPr>
      <w:bookmarkStart w:id="26" w:name="test-for-re-subject-specific-slope"/>
      <w:r>
        <w:t xml:space="preserve">Test for RE Subject Specific Slope</w:t>
      </w:r>
      <w:bookmarkEnd w:id="26"/>
    </w:p>
    <w:p>
      <w:pPr>
        <w:pStyle w:val="FirstParagraph"/>
      </w:pPr>
      <w:r>
        <w:t xml:space="preserve">The table above is a nested model comparison, the result of which is a likelihood ratio statistic telling us that there is very strong evidence to support the inclusion of the subject-specific random effect slope into the LMM-RI model for the MALAT1~CD19 variable pairing. However, there is insufficient evidence to support the inclusion of the subject-specific random effect slope into the LMM-RI model for the FBLN~CD34 variable pairing.</w:t>
      </w:r>
    </w:p>
    <w:p>
      <w:pPr>
        <w:pStyle w:val="Heading1"/>
      </w:pPr>
      <w:bookmarkStart w:id="27" w:name="references"/>
      <w:r>
        <w:t xml:space="preserve">References</w:t>
      </w:r>
      <w:bookmarkEnd w:id="27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2020-03-08T08:34:46Z</dcterms:created>
  <dcterms:modified xsi:type="dcterms:W3CDTF">2020-03-08T08:34:46Z</dcterms:modified>
</cp:coreProperties>
</file>