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73A" w:rsidRDefault="00C320DD" w:rsidP="00D62D4E">
      <w:pPr>
        <w:pStyle w:val="Heading1"/>
        <w:spacing w:line="480" w:lineRule="auto"/>
      </w:pPr>
      <w:bookmarkStart w:id="0" w:name="results"/>
      <w:r>
        <w:t>Results</w:t>
      </w:r>
      <w:bookmarkEnd w:id="0"/>
    </w:p>
    <w:p w:rsidR="009D473A" w:rsidRDefault="00C320DD" w:rsidP="00D62D4E">
      <w:pPr>
        <w:pStyle w:val="FirstParagraph"/>
        <w:spacing w:line="480" w:lineRule="auto"/>
      </w:pPr>
      <w:r>
        <w:t>Table 8 and table 9 display parameter value estimates, standard errors, test statistics, and p-</w:t>
      </w:r>
      <w:r>
        <w:t>values for the main-effect slope term estimated by all five modeling approaches:</w:t>
      </w:r>
    </w:p>
    <w:p w:rsidR="009D473A" w:rsidRDefault="00C320DD" w:rsidP="00D62D4E">
      <w:pPr>
        <w:pStyle w:val="Heading2"/>
        <w:spacing w:line="480" w:lineRule="auto"/>
      </w:pPr>
      <w:bookmarkStart w:id="1" w:name="coefficient-estimates"/>
      <w:r>
        <w:t>Coefficient Estimates</w:t>
      </w:r>
      <w:bookmarkEnd w:id="1"/>
    </w:p>
    <w:p w:rsidR="009D473A" w:rsidRDefault="00C320DD" w:rsidP="00D62D4E">
      <w:pPr>
        <w:pStyle w:val="Heading3"/>
        <w:spacing w:line="480" w:lineRule="auto"/>
      </w:pPr>
      <w:bookmarkStart w:id="2" w:name="malat1-cd19"/>
      <w:r>
        <w:t>(MALAT1 ~ CD19)</w:t>
      </w:r>
      <w:bookmarkEnd w:id="2"/>
    </w:p>
    <w:p w:rsidR="00D62D4E" w:rsidRPr="00D62D4E" w:rsidRDefault="00D62D4E" w:rsidP="00D62D4E">
      <w:pPr>
        <w:pStyle w:val="BodyText"/>
      </w:pPr>
      <w:r>
        <w:rPr>
          <w:noProof/>
        </w:rPr>
        <w:drawing>
          <wp:inline distT="0" distB="0" distL="0" distR="0">
            <wp:extent cx="5943600" cy="293751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e8.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2937510"/>
                    </a:xfrm>
                    <a:prstGeom prst="rect">
                      <a:avLst/>
                    </a:prstGeom>
                  </pic:spPr>
                </pic:pic>
              </a:graphicData>
            </a:graphic>
          </wp:inline>
        </w:drawing>
      </w:r>
    </w:p>
    <w:p w:rsidR="009D473A" w:rsidRDefault="00C320DD" w:rsidP="00D62D4E">
      <w:pPr>
        <w:pStyle w:val="Heading3"/>
        <w:spacing w:line="480" w:lineRule="auto"/>
      </w:pPr>
      <w:bookmarkStart w:id="3" w:name="fbln1-cd34"/>
      <w:r>
        <w:lastRenderedPageBreak/>
        <w:t>(FBLN1 ~ CD34)</w:t>
      </w:r>
      <w:bookmarkEnd w:id="3"/>
    </w:p>
    <w:p w:rsidR="00D62D4E" w:rsidRPr="00D62D4E" w:rsidRDefault="00D62D4E" w:rsidP="00D62D4E">
      <w:pPr>
        <w:pStyle w:val="BodyText"/>
      </w:pPr>
      <w:r>
        <w:rPr>
          <w:noProof/>
        </w:rPr>
        <w:drawing>
          <wp:inline distT="0" distB="0" distL="0" distR="0">
            <wp:extent cx="5943600" cy="27813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ble9.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2781300"/>
                    </a:xfrm>
                    <a:prstGeom prst="rect">
                      <a:avLst/>
                    </a:prstGeom>
                  </pic:spPr>
                </pic:pic>
              </a:graphicData>
            </a:graphic>
          </wp:inline>
        </w:drawing>
      </w:r>
    </w:p>
    <w:p w:rsidR="009D473A" w:rsidRDefault="00C320DD" w:rsidP="00D62D4E">
      <w:pPr>
        <w:pStyle w:val="FirstParagraph"/>
        <w:spacing w:line="480" w:lineRule="auto"/>
      </w:pPr>
      <w:r>
        <w:t>The main-effect slope parameter represents subject-</w:t>
      </w:r>
      <w:proofErr w:type="spellStart"/>
      <w:r>
        <w:t>inspecific</w:t>
      </w:r>
      <w:proofErr w:type="spellEnd"/>
      <w:r>
        <w:t xml:space="preserve"> information about how </w:t>
      </w:r>
      <w:r>
        <w:t>predictor and response variables a</w:t>
      </w:r>
      <w:r>
        <w:t xml:space="preserve">re correlated. We have seen that each method </w:t>
      </w:r>
      <w:r w:rsidR="007B0D67">
        <w:t>accommodates</w:t>
      </w:r>
      <w:r>
        <w:t xml:space="preserve"> the effects of subject-level correlation differently. Specifically, we noted that the Linear Model and GEE methods estimated population-averaged parameters, whereas the other models had subject-speci</w:t>
      </w:r>
      <w:r>
        <w:t xml:space="preserve">fic interpretations. </w:t>
      </w:r>
      <w:r w:rsidR="001E515B">
        <w:t>So,</w:t>
      </w:r>
      <w:r>
        <w:t xml:space="preserve"> when the main-effect slope parameter estimate is compared across methods </w:t>
      </w:r>
      <w:r w:rsidR="001E515B">
        <w:t>with</w:t>
      </w:r>
      <w:r>
        <w:t xml:space="preserve"> otherwise identical in structure, we can directly attribute changes to a shift in th</w:t>
      </w:r>
      <w:r w:rsidR="001E515B">
        <w:t xml:space="preserve">is parameters </w:t>
      </w:r>
      <w:r>
        <w:t>value to be a redistribution of the attributed source of c</w:t>
      </w:r>
      <w:r>
        <w:t>orrelation between the variables of interest.</w:t>
      </w:r>
    </w:p>
    <w:p w:rsidR="009D473A" w:rsidRDefault="00C320DD" w:rsidP="00D62D4E">
      <w:pPr>
        <w:pStyle w:val="BodyText"/>
        <w:spacing w:line="480" w:lineRule="auto"/>
      </w:pPr>
      <w:r>
        <w:t>The percent change in the main-effect slope parameter across models is displayed for each variable paring in Tables 10 and 11. Values are full-percentage changes, and are calculated using:</w:t>
      </w:r>
    </w:p>
    <w:p w:rsidR="009D473A" w:rsidRDefault="00C320DD" w:rsidP="00D62D4E">
      <w:pPr>
        <w:pStyle w:val="BodyText"/>
        <w:spacing w:line="480" w:lineRule="auto"/>
      </w:pPr>
      <m:oMathPara>
        <m:oMathParaPr>
          <m:jc m:val="center"/>
        </m:oMathParaPr>
        <m:oMath>
          <m:r>
            <m:rPr>
              <m:sty m:val="p"/>
            </m:rPr>
            <w:rPr>
              <w:rFonts w:ascii="Cambria Math" w:hAnsi="Cambria Math"/>
            </w:rPr>
            <m:t>Percent Change</m:t>
          </m:r>
          <m: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m:t>
              </m:r>
            </m:e>
            <m:sub>
              <m:r>
                <w:rPr>
                  <w:rFonts w:ascii="Cambria Math" w:hAnsi="Cambria Math"/>
                </w:rPr>
                <m:t>i</m:t>
              </m:r>
              <m:r>
                <w:rPr>
                  <w:rFonts w:ascii="Cambria Math" w:hAnsi="Cambria Math"/>
                </w:rPr>
                <m:t>j</m:t>
              </m:r>
            </m:sub>
          </m:sSub>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num>
                <m:den>
                  <m:sSub>
                    <m:sSubPr>
                      <m:ctrlPr>
                        <w:rPr>
                          <w:rFonts w:ascii="Cambria Math" w:hAnsi="Cambria Math"/>
                        </w:rPr>
                      </m:ctrlPr>
                    </m:sSubPr>
                    <m:e>
                      <m:r>
                        <w:rPr>
                          <w:rFonts w:ascii="Cambria Math" w:hAnsi="Cambria Math"/>
                        </w:rPr>
                        <m:t>A</m:t>
                      </m:r>
                    </m:e>
                    <m:sub>
                      <m:r>
                        <w:rPr>
                          <w:rFonts w:ascii="Cambria Math" w:hAnsi="Cambria Math"/>
                        </w:rPr>
                        <m:t>i</m:t>
                      </m:r>
                    </m:sub>
                  </m:sSub>
                </m:den>
              </m:f>
            </m:e>
          </m:d>
          <m:r>
            <w:rPr>
              <w:rFonts w:ascii="Cambria Math" w:hAnsi="Cambria Math"/>
            </w:rPr>
            <m:t>*</m:t>
          </m:r>
          <m:r>
            <w:rPr>
              <w:rFonts w:ascii="Cambria Math" w:hAnsi="Cambria Math"/>
            </w:rPr>
            <m:t>100</m:t>
          </m:r>
        </m:oMath>
      </m:oMathPara>
    </w:p>
    <w:p w:rsidR="007B0D67" w:rsidRDefault="007B0D67" w:rsidP="00D62D4E">
      <w:pPr>
        <w:pStyle w:val="FirstParagraph"/>
        <w:spacing w:line="480" w:lineRule="auto"/>
      </w:pPr>
      <w:r>
        <w:rPr>
          <w:noProof/>
        </w:rPr>
        <w:lastRenderedPageBreak/>
        <w:drawing>
          <wp:inline distT="0" distB="0" distL="0" distR="0">
            <wp:extent cx="5943600" cy="182499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ble10.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1824990"/>
                    </a:xfrm>
                    <a:prstGeom prst="rect">
                      <a:avLst/>
                    </a:prstGeom>
                  </pic:spPr>
                </pic:pic>
              </a:graphicData>
            </a:graphic>
          </wp:inline>
        </w:drawing>
      </w:r>
    </w:p>
    <w:p w:rsidR="007B0D67" w:rsidRDefault="007B0D67" w:rsidP="00D62D4E">
      <w:pPr>
        <w:pStyle w:val="FirstParagraph"/>
        <w:spacing w:line="480" w:lineRule="auto"/>
      </w:pPr>
      <w:r>
        <w:rPr>
          <w:noProof/>
        </w:rPr>
        <w:drawing>
          <wp:inline distT="0" distB="0" distL="0" distR="0">
            <wp:extent cx="5943600" cy="1754505"/>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ble11.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1754505"/>
                    </a:xfrm>
                    <a:prstGeom prst="rect">
                      <a:avLst/>
                    </a:prstGeom>
                  </pic:spPr>
                </pic:pic>
              </a:graphicData>
            </a:graphic>
          </wp:inline>
        </w:drawing>
      </w:r>
    </w:p>
    <w:p w:rsidR="009D473A" w:rsidRDefault="00C320DD" w:rsidP="00D62D4E">
      <w:pPr>
        <w:pStyle w:val="FirstParagraph"/>
        <w:spacing w:line="480" w:lineRule="auto"/>
      </w:pPr>
      <w:r>
        <w:t>It is worthwhile to comment on the consistency properties of estimates across models within variable parings. In each of the variable paring scenarios we see that changes between models within either of the cases:</w:t>
      </w:r>
    </w:p>
    <w:p w:rsidR="009D473A" w:rsidRDefault="00C320DD" w:rsidP="00D62D4E">
      <w:pPr>
        <w:pStyle w:val="Compact"/>
        <w:numPr>
          <w:ilvl w:val="0"/>
          <w:numId w:val="9"/>
        </w:numPr>
        <w:spacing w:line="480" w:lineRule="auto"/>
      </w:pPr>
      <m:oMath>
        <m:r>
          <m:rPr>
            <m:sty m:val="p"/>
          </m:rPr>
          <w:rPr>
            <w:rFonts w:ascii="Cambria Math" w:hAnsi="Cambria Math"/>
          </w:rPr>
          <m:t>LM</m:t>
        </m:r>
        <m:r>
          <w:rPr>
            <w:rFonts w:ascii="Cambria Math" w:hAnsi="Cambria Math"/>
          </w:rPr>
          <m:t>⇔</m:t>
        </m:r>
        <m:r>
          <m:rPr>
            <m:sty m:val="p"/>
          </m:rPr>
          <w:rPr>
            <w:rFonts w:ascii="Cambria Math" w:hAnsi="Cambria Math"/>
          </w:rPr>
          <m:t>GEE</m:t>
        </m:r>
      </m:oMath>
      <w:r>
        <w:t xml:space="preserve"> (identical esti</w:t>
      </w:r>
      <w:r>
        <w:t>mates/zero percent change)</w:t>
      </w:r>
    </w:p>
    <w:p w:rsidR="009D473A" w:rsidRDefault="00C320DD" w:rsidP="00D62D4E">
      <w:pPr>
        <w:pStyle w:val="Compact"/>
        <w:numPr>
          <w:ilvl w:val="0"/>
          <w:numId w:val="9"/>
        </w:numPr>
        <w:spacing w:line="480" w:lineRule="auto"/>
      </w:pPr>
      <m:oMath>
        <m:r>
          <m:rPr>
            <m:sty m:val="p"/>
          </m:rPr>
          <w:rPr>
            <w:rFonts w:ascii="Cambria Math" w:hAnsi="Cambria Math"/>
          </w:rPr>
          <m:t>LM-FE</m:t>
        </m:r>
        <m:r>
          <w:rPr>
            <w:rFonts w:ascii="Cambria Math" w:hAnsi="Cambria Math"/>
          </w:rPr>
          <m:t>⇔</m:t>
        </m:r>
        <m:r>
          <m:rPr>
            <m:sty m:val="p"/>
          </m:rPr>
          <w:rPr>
            <w:rFonts w:ascii="Cambria Math" w:hAnsi="Cambria Math"/>
          </w:rPr>
          <m:t>LMM-RI</m:t>
        </m:r>
        <m:r>
          <w:rPr>
            <w:rFonts w:ascii="Cambria Math" w:hAnsi="Cambria Math"/>
          </w:rPr>
          <m:t>⇔</m:t>
        </m:r>
        <m:r>
          <m:rPr>
            <m:sty m:val="p"/>
          </m:rPr>
          <w:rPr>
            <w:rFonts w:ascii="Cambria Math" w:hAnsi="Cambria Math"/>
          </w:rPr>
          <m:t>LMM-RS</m:t>
        </m:r>
      </m:oMath>
    </w:p>
    <w:p w:rsidR="009D473A" w:rsidRDefault="00C320DD" w:rsidP="00D62D4E">
      <w:pPr>
        <w:pStyle w:val="FirstParagraph"/>
        <w:spacing w:line="480" w:lineRule="auto"/>
      </w:pPr>
      <w:r>
        <w:t xml:space="preserve">results in smaller percent-change values than changes between the cases. Changes between LMM-RS and LM-FE/LMM-RI in the </w:t>
      </w:r>
      <m:oMath>
        <m:r>
          <w:rPr>
            <w:rFonts w:ascii="Cambria Math" w:hAnsi="Cambria Math"/>
          </w:rPr>
          <m:t>CD</m:t>
        </m:r>
        <m:r>
          <w:rPr>
            <w:rFonts w:ascii="Cambria Math" w:hAnsi="Cambria Math"/>
          </w:rPr>
          <m:t>19-</m:t>
        </m:r>
        <m:r>
          <w:rPr>
            <w:rFonts w:ascii="Cambria Math" w:hAnsi="Cambria Math"/>
          </w:rPr>
          <m:t>MALAT</m:t>
        </m:r>
        <m:r>
          <w:rPr>
            <w:rFonts w:ascii="Cambria Math" w:hAnsi="Cambria Math"/>
          </w:rPr>
          <m:t>1</m:t>
        </m:r>
      </m:oMath>
      <w:r>
        <w:t xml:space="preserve"> variable paring</w:t>
      </w:r>
      <w:r>
        <w:t xml:space="preserve"> </w:t>
      </w:r>
      <w:proofErr w:type="gramStart"/>
      <w:r>
        <w:t>are</w:t>
      </w:r>
      <w:proofErr w:type="gramEnd"/>
      <w:r>
        <w:t xml:space="preserve"> technically higher, but this result is most likely</w:t>
      </w:r>
      <w:r>
        <w:t xml:space="preserve"> an artifact of subject-specific interactions with the covariate. Since models within each of the cases (1) and (2) above estimate similarly interpreted parameters (subject-specific vs population averaged) the result is otherwise expected.</w:t>
      </w:r>
    </w:p>
    <w:p w:rsidR="009D473A" w:rsidRDefault="00C320DD" w:rsidP="00D62D4E">
      <w:pPr>
        <w:pStyle w:val="Heading2"/>
        <w:spacing w:line="480" w:lineRule="auto"/>
      </w:pPr>
      <w:bookmarkStart w:id="4" w:name="standard-error-estimates"/>
      <w:r>
        <w:lastRenderedPageBreak/>
        <w:t>Standard Error E</w:t>
      </w:r>
      <w:r>
        <w:t>stimates</w:t>
      </w:r>
      <w:bookmarkEnd w:id="4"/>
    </w:p>
    <w:p w:rsidR="009D473A" w:rsidRDefault="00C320DD" w:rsidP="00D62D4E">
      <w:pPr>
        <w:pStyle w:val="FirstParagraph"/>
        <w:spacing w:line="480" w:lineRule="auto"/>
      </w:pPr>
      <w:r>
        <w:t>The standard errors for this parameter are also enlightening when compared across models. A change in a parameter estimate’s standard error across modeling methodology represents a revision in the underlying distributional conclusions the method i</w:t>
      </w:r>
      <w:r>
        <w:t>s using to support its result. In this way, an increased standard error between two models that are estimating the same parameter indicates a decrease in obtained (obtainable) estimate precision.</w:t>
      </w:r>
    </w:p>
    <w:p w:rsidR="009D473A" w:rsidRDefault="00C320DD" w:rsidP="00D62D4E">
      <w:pPr>
        <w:pStyle w:val="BodyText"/>
        <w:spacing w:line="480" w:lineRule="auto"/>
      </w:pPr>
      <w:r>
        <w:t>Tables 12 and 13 are percent change matrices for the standar</w:t>
      </w:r>
      <w:r>
        <w:t>d error of the main effect slope parameter:</w:t>
      </w:r>
    </w:p>
    <w:p w:rsidR="007B0D67" w:rsidRDefault="007B0D67" w:rsidP="00D62D4E">
      <w:pPr>
        <w:pStyle w:val="BodyText"/>
        <w:spacing w:line="480" w:lineRule="auto"/>
      </w:pPr>
      <w:r>
        <w:rPr>
          <w:noProof/>
        </w:rPr>
        <w:drawing>
          <wp:inline distT="0" distB="0" distL="0" distR="0">
            <wp:extent cx="5943600" cy="1716405"/>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ble12.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1716405"/>
                    </a:xfrm>
                    <a:prstGeom prst="rect">
                      <a:avLst/>
                    </a:prstGeom>
                  </pic:spPr>
                </pic:pic>
              </a:graphicData>
            </a:graphic>
          </wp:inline>
        </w:drawing>
      </w:r>
    </w:p>
    <w:p w:rsidR="007B0D67" w:rsidRDefault="007B0D67" w:rsidP="00D62D4E">
      <w:pPr>
        <w:pStyle w:val="BodyText"/>
        <w:spacing w:line="480" w:lineRule="auto"/>
      </w:pPr>
      <w:r>
        <w:rPr>
          <w:noProof/>
        </w:rPr>
        <w:drawing>
          <wp:inline distT="0" distB="0" distL="0" distR="0" wp14:anchorId="51AB73CF" wp14:editId="3986BA6B">
            <wp:extent cx="5943600" cy="156210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ble13.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1562100"/>
                    </a:xfrm>
                    <a:prstGeom prst="rect">
                      <a:avLst/>
                    </a:prstGeom>
                  </pic:spPr>
                </pic:pic>
              </a:graphicData>
            </a:graphic>
          </wp:inline>
        </w:drawing>
      </w:r>
    </w:p>
    <w:p w:rsidR="009D473A" w:rsidRDefault="00C320DD" w:rsidP="00D62D4E">
      <w:pPr>
        <w:pStyle w:val="BodyText"/>
        <w:spacing w:line="480" w:lineRule="auto"/>
      </w:pPr>
      <w:r>
        <w:t xml:space="preserve">Changes in standard errors display similarly </w:t>
      </w:r>
      <w:r w:rsidR="007B0D67">
        <w:t>informative</w:t>
      </w:r>
      <w:r>
        <w:t xml:space="preserve"> consistencies. In each variable pairing:</w:t>
      </w:r>
    </w:p>
    <w:p w:rsidR="009D473A" w:rsidRDefault="00C320DD" w:rsidP="00D62D4E">
      <w:pPr>
        <w:pStyle w:val="Compact"/>
        <w:numPr>
          <w:ilvl w:val="0"/>
          <w:numId w:val="10"/>
        </w:numPr>
        <w:spacing w:line="480" w:lineRule="auto"/>
      </w:pPr>
      <w:r>
        <w:lastRenderedPageBreak/>
        <w:t>The standard error increases on the following model transitions:</w:t>
      </w:r>
    </w:p>
    <w:p w:rsidR="009D473A" w:rsidRDefault="00C320DD" w:rsidP="00D62D4E">
      <w:pPr>
        <w:pStyle w:val="Compact"/>
        <w:numPr>
          <w:ilvl w:val="1"/>
          <w:numId w:val="11"/>
        </w:numPr>
        <w:spacing w:line="480" w:lineRule="auto"/>
      </w:pPr>
      <m:oMath>
        <m:r>
          <m:rPr>
            <m:sty m:val="p"/>
          </m:rPr>
          <w:rPr>
            <w:rFonts w:ascii="Cambria Math" w:hAnsi="Cambria Math"/>
          </w:rPr>
          <m:t xml:space="preserve">All Other Models </m:t>
        </m:r>
        <m:r>
          <w:rPr>
            <w:rFonts w:ascii="Cambria Math" w:hAnsi="Cambria Math"/>
          </w:rPr>
          <m:t>→</m:t>
        </m:r>
        <m:r>
          <m:rPr>
            <m:sty m:val="p"/>
          </m:rPr>
          <w:rPr>
            <w:rFonts w:ascii="Cambria Math" w:hAnsi="Cambria Math"/>
          </w:rPr>
          <m:t>LMM-RS</m:t>
        </m:r>
      </m:oMath>
    </w:p>
    <w:p w:rsidR="009D473A" w:rsidRDefault="00C320DD" w:rsidP="00D62D4E">
      <w:pPr>
        <w:pStyle w:val="Compact"/>
        <w:numPr>
          <w:ilvl w:val="1"/>
          <w:numId w:val="11"/>
        </w:numPr>
        <w:spacing w:line="480" w:lineRule="auto"/>
      </w:pPr>
      <m:oMath>
        <m:r>
          <m:rPr>
            <m:sty m:val="p"/>
          </m:rPr>
          <w:rPr>
            <w:rFonts w:ascii="Cambria Math" w:hAnsi="Cambria Math"/>
          </w:rPr>
          <m:t>LMM-RI</m:t>
        </m:r>
        <m:r>
          <w:rPr>
            <w:rFonts w:ascii="Cambria Math" w:hAnsi="Cambria Math"/>
          </w:rPr>
          <m:t>→</m:t>
        </m:r>
        <m:r>
          <m:rPr>
            <m:sty m:val="p"/>
          </m:rPr>
          <w:rPr>
            <w:rFonts w:ascii="Cambria Math" w:hAnsi="Cambria Math"/>
          </w:rPr>
          <m:t>All Other Models</m:t>
        </m:r>
      </m:oMath>
    </w:p>
    <w:p w:rsidR="009D473A" w:rsidRDefault="00C320DD" w:rsidP="00D62D4E">
      <w:pPr>
        <w:pStyle w:val="Compact"/>
        <w:numPr>
          <w:ilvl w:val="0"/>
          <w:numId w:val="10"/>
        </w:numPr>
        <w:spacing w:line="480" w:lineRule="auto"/>
      </w:pPr>
      <w:r>
        <w:t>The standard error decreases on the following model transitions:</w:t>
      </w:r>
    </w:p>
    <w:p w:rsidR="009D473A" w:rsidRDefault="00C320DD" w:rsidP="00D62D4E">
      <w:pPr>
        <w:pStyle w:val="Compact"/>
        <w:numPr>
          <w:ilvl w:val="1"/>
          <w:numId w:val="12"/>
        </w:numPr>
        <w:spacing w:line="480" w:lineRule="auto"/>
      </w:pPr>
      <m:oMath>
        <m:r>
          <m:rPr>
            <m:sty m:val="p"/>
          </m:rPr>
          <w:rPr>
            <w:rFonts w:ascii="Cambria Math" w:hAnsi="Cambria Math"/>
          </w:rPr>
          <m:t>All Other Models</m:t>
        </m:r>
        <m:r>
          <w:rPr>
            <w:rFonts w:ascii="Cambria Math" w:hAnsi="Cambria Math"/>
          </w:rPr>
          <m:t>→</m:t>
        </m:r>
        <m:r>
          <m:rPr>
            <m:sty m:val="p"/>
          </m:rPr>
          <w:rPr>
            <w:rFonts w:ascii="Cambria Math" w:hAnsi="Cambria Math"/>
          </w:rPr>
          <m:t>LMM-RI</m:t>
        </m:r>
      </m:oMath>
    </w:p>
    <w:p w:rsidR="009D473A" w:rsidRDefault="00C320DD" w:rsidP="00D62D4E">
      <w:pPr>
        <w:pStyle w:val="Compact"/>
        <w:numPr>
          <w:ilvl w:val="1"/>
          <w:numId w:val="12"/>
        </w:numPr>
        <w:spacing w:line="480" w:lineRule="auto"/>
      </w:pPr>
      <m:oMath>
        <m:r>
          <m:rPr>
            <m:sty m:val="p"/>
          </m:rPr>
          <w:rPr>
            <w:rFonts w:ascii="Cambria Math" w:hAnsi="Cambria Math"/>
          </w:rPr>
          <m:t>LMM-RS</m:t>
        </m:r>
        <m:r>
          <w:rPr>
            <w:rFonts w:ascii="Cambria Math" w:hAnsi="Cambria Math"/>
          </w:rPr>
          <m:t>→</m:t>
        </m:r>
        <m:r>
          <m:rPr>
            <m:sty m:val="p"/>
          </m:rPr>
          <w:rPr>
            <w:rFonts w:ascii="Cambria Math" w:hAnsi="Cambria Math"/>
          </w:rPr>
          <m:t>All other Models</m:t>
        </m:r>
      </m:oMath>
    </w:p>
    <w:p w:rsidR="009D473A" w:rsidRDefault="00C320DD" w:rsidP="00D62D4E">
      <w:pPr>
        <w:pStyle w:val="Compact"/>
        <w:numPr>
          <w:ilvl w:val="1"/>
          <w:numId w:val="12"/>
        </w:numPr>
        <w:spacing w:line="480" w:lineRule="auto"/>
      </w:pPr>
      <m:oMath>
        <m:r>
          <m:rPr>
            <m:sty m:val="p"/>
          </m:rPr>
          <w:rPr>
            <w:rFonts w:ascii="Cambria Math" w:hAnsi="Cambria Math"/>
          </w:rPr>
          <m:t>LM</m:t>
        </m:r>
        <m:r>
          <w:rPr>
            <w:rFonts w:ascii="Cambria Math" w:hAnsi="Cambria Math"/>
          </w:rPr>
          <m:t>→</m:t>
        </m:r>
        <m:r>
          <m:rPr>
            <m:sty m:val="p"/>
          </m:rPr>
          <w:rPr>
            <w:rFonts w:ascii="Cambria Math" w:hAnsi="Cambria Math"/>
          </w:rPr>
          <m:t>LM-FE</m:t>
        </m:r>
      </m:oMath>
    </w:p>
    <w:p w:rsidR="009D473A" w:rsidRDefault="00C320DD" w:rsidP="00D62D4E">
      <w:pPr>
        <w:pStyle w:val="Compact"/>
        <w:numPr>
          <w:ilvl w:val="1"/>
          <w:numId w:val="12"/>
        </w:numPr>
        <w:spacing w:line="480" w:lineRule="auto"/>
      </w:pPr>
      <m:oMath>
        <m:r>
          <m:rPr>
            <m:sty m:val="p"/>
          </m:rPr>
          <w:rPr>
            <w:rFonts w:ascii="Cambria Math" w:hAnsi="Cambria Math"/>
          </w:rPr>
          <m:t>GEE</m:t>
        </m:r>
        <m:r>
          <w:rPr>
            <w:rFonts w:ascii="Cambria Math" w:hAnsi="Cambria Math"/>
          </w:rPr>
          <m:t>→</m:t>
        </m:r>
        <m:r>
          <m:rPr>
            <m:sty m:val="p"/>
          </m:rPr>
          <w:rPr>
            <w:rFonts w:ascii="Cambria Math" w:hAnsi="Cambria Math"/>
          </w:rPr>
          <m:t>LM-FE</m:t>
        </m:r>
      </m:oMath>
    </w:p>
    <w:p w:rsidR="009D473A" w:rsidRDefault="00C320DD" w:rsidP="00D62D4E">
      <w:pPr>
        <w:pStyle w:val="Compact"/>
        <w:numPr>
          <w:ilvl w:val="0"/>
          <w:numId w:val="13"/>
        </w:numPr>
        <w:spacing w:line="480" w:lineRule="auto"/>
      </w:pPr>
      <w:r>
        <w:t>The modeling transitions in (1a) correspond with the addition of information to the model in the form of a subject-specific “Random Effect Slope”.</w:t>
      </w:r>
    </w:p>
    <w:p w:rsidR="009D473A" w:rsidRDefault="00C320DD" w:rsidP="00D62D4E">
      <w:pPr>
        <w:pStyle w:val="Compact"/>
        <w:numPr>
          <w:ilvl w:val="0"/>
          <w:numId w:val="13"/>
        </w:numPr>
        <w:spacing w:line="480" w:lineRule="auto"/>
      </w:pPr>
      <w:r>
        <w:t>The transitions in (1b) correspond to either:</w:t>
      </w:r>
    </w:p>
    <w:p w:rsidR="009D473A" w:rsidRDefault="00C320DD" w:rsidP="00D62D4E">
      <w:pPr>
        <w:pStyle w:val="Compact"/>
        <w:numPr>
          <w:ilvl w:val="1"/>
          <w:numId w:val="14"/>
        </w:numPr>
        <w:spacing w:line="480" w:lineRule="auto"/>
      </w:pPr>
      <w:r>
        <w:t>addition of the parameter in 1a</w:t>
      </w:r>
    </w:p>
    <w:p w:rsidR="009D473A" w:rsidRDefault="00C320DD" w:rsidP="00D62D4E">
      <w:pPr>
        <w:pStyle w:val="Compact"/>
        <w:numPr>
          <w:ilvl w:val="1"/>
          <w:numId w:val="14"/>
        </w:numPr>
        <w:spacing w:line="480" w:lineRule="auto"/>
      </w:pPr>
      <w:r>
        <w:t>loss of subject-specific inform</w:t>
      </w:r>
      <w:r>
        <w:t xml:space="preserve">ation that was originally </w:t>
      </w:r>
      <w:r w:rsidR="002C6081">
        <w:t>incorporated</w:t>
      </w:r>
      <w:r>
        <w:t xml:space="preserve"> into the variance-component of the model. I.e., loss of subject-specific variability information.</w:t>
      </w:r>
    </w:p>
    <w:p w:rsidR="009D473A" w:rsidRDefault="00C320DD" w:rsidP="00D62D4E">
      <w:pPr>
        <w:pStyle w:val="Compact"/>
        <w:numPr>
          <w:ilvl w:val="0"/>
          <w:numId w:val="13"/>
        </w:numPr>
        <w:spacing w:line="480" w:lineRule="auto"/>
      </w:pPr>
      <w:r>
        <w:t>The transitions in (2a and 2b) are the inverse representation of the relationships outlined in (a) and (b) above.</w:t>
      </w:r>
    </w:p>
    <w:p w:rsidR="009D473A" w:rsidRDefault="00C320DD" w:rsidP="00D62D4E">
      <w:pPr>
        <w:pStyle w:val="Compact"/>
        <w:numPr>
          <w:ilvl w:val="0"/>
          <w:numId w:val="13"/>
        </w:numPr>
        <w:spacing w:line="480" w:lineRule="auto"/>
      </w:pPr>
      <w:r>
        <w:t>The t</w:t>
      </w:r>
      <w:r>
        <w:t xml:space="preserve">ransition in (2c) corresponds to the </w:t>
      </w:r>
      <w:r w:rsidR="002C6081">
        <w:t>incorporation</w:t>
      </w:r>
      <w:r>
        <w:t xml:space="preserve"> of additive, subject-specific, predictor independent (mean-effect) information into the model.</w:t>
      </w:r>
    </w:p>
    <w:p w:rsidR="009D473A" w:rsidRDefault="00C320DD" w:rsidP="00D62D4E">
      <w:pPr>
        <w:pStyle w:val="Compact"/>
        <w:numPr>
          <w:ilvl w:val="0"/>
          <w:numId w:val="13"/>
        </w:numPr>
        <w:spacing w:line="480" w:lineRule="auto"/>
      </w:pPr>
      <w:r>
        <w:t>The transition in (2d) corresponds to the addition of the assumption of independence between subjects, along w</w:t>
      </w:r>
      <w:r>
        <w:t>ith a purely parametric fitting method (for LM-FE).</w:t>
      </w:r>
    </w:p>
    <w:p w:rsidR="009D473A" w:rsidRDefault="00C320DD" w:rsidP="00D62D4E">
      <w:pPr>
        <w:pStyle w:val="FirstParagraph"/>
        <w:spacing w:line="480" w:lineRule="auto"/>
      </w:pPr>
      <w:r>
        <w:lastRenderedPageBreak/>
        <w:t xml:space="preserve">The </w:t>
      </w:r>
      <w:r w:rsidR="002C6081">
        <w:t>preceding</w:t>
      </w:r>
      <w:r>
        <w:t xml:space="preserve"> relationships allow us to deduce the effects of the various types of information inclusion on </w:t>
      </w:r>
      <w:r w:rsidR="002C6081">
        <w:t>the precision of parameters used</w:t>
      </w:r>
      <w:r>
        <w:t xml:space="preserve"> to make inferences on the </w:t>
      </w:r>
      <w:r w:rsidR="001E515B">
        <w:t>relationship</w:t>
      </w:r>
      <w:r>
        <w:t xml:space="preserve"> between predictor and response. Beneficial</w:t>
      </w:r>
      <w:r w:rsidR="002C6081">
        <w:t xml:space="preserve"> (increases in precision)</w:t>
      </w:r>
      <w:r>
        <w:t xml:space="preserve"> i</w:t>
      </w:r>
      <w:r>
        <w:t>nformation inclusions will result in reductions to standard error estimates (section 2 transitions, with explanations c and d above). Detrimental</w:t>
      </w:r>
      <w:r w:rsidR="002C6081">
        <w:t xml:space="preserve"> (decreases in precision)</w:t>
      </w:r>
      <w:r>
        <w:t xml:space="preserve">, or contradictory information will result in </w:t>
      </w:r>
      <w:r w:rsidR="002C6081">
        <w:t>increased</w:t>
      </w:r>
      <w:r>
        <w:t xml:space="preserve"> standard error estimates (section 1 transitions, a &amp; b e</w:t>
      </w:r>
      <w:r>
        <w:t>xplanations).</w:t>
      </w:r>
    </w:p>
    <w:p w:rsidR="009D473A" w:rsidRDefault="00C320DD" w:rsidP="00D62D4E">
      <w:pPr>
        <w:pStyle w:val="BodyText"/>
        <w:spacing w:line="480" w:lineRule="auto"/>
      </w:pPr>
      <w:r>
        <w:t xml:space="preserve">Explanation </w:t>
      </w:r>
      <w:r w:rsidR="002C6081">
        <w:t>(e)</w:t>
      </w:r>
      <w:r>
        <w:t xml:space="preserve"> demonstrates the importance of considering the effect of correlation between subjects in single-cell data. Since this transition is non-zero, it is clear that there is an effect associated with subject-clustered sampling. Otherw</w:t>
      </w:r>
      <w:r>
        <w:t>ise the use of an independence assumption in an analysis would lead to identical results as an analysis without this assumption.</w:t>
      </w:r>
    </w:p>
    <w:p w:rsidR="009D473A" w:rsidRDefault="00C320DD" w:rsidP="00D62D4E">
      <w:pPr>
        <w:pStyle w:val="Heading2"/>
        <w:spacing w:line="480" w:lineRule="auto"/>
      </w:pPr>
      <w:bookmarkStart w:id="5" w:name="test-statistics"/>
      <w:r>
        <w:t>Test Statistics</w:t>
      </w:r>
      <w:bookmarkEnd w:id="5"/>
    </w:p>
    <w:p w:rsidR="009D473A" w:rsidRDefault="00C320DD" w:rsidP="00D62D4E">
      <w:pPr>
        <w:pStyle w:val="FirstParagraph"/>
        <w:spacing w:line="480" w:lineRule="auto"/>
      </w:pPr>
      <w:r>
        <w:t xml:space="preserve">Tables 14 and 15 are percent change matrices </w:t>
      </w:r>
      <w:r>
        <w:t>for the test statistic of the main effect slope parameter:</w:t>
      </w:r>
    </w:p>
    <w:p w:rsidR="007B0D67" w:rsidRDefault="007B0D67" w:rsidP="007B0D67">
      <w:pPr>
        <w:pStyle w:val="BodyText"/>
      </w:pPr>
      <w:r>
        <w:rPr>
          <w:noProof/>
        </w:rPr>
        <w:drawing>
          <wp:inline distT="0" distB="0" distL="0" distR="0">
            <wp:extent cx="5943600" cy="154305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able14.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1543050"/>
                    </a:xfrm>
                    <a:prstGeom prst="rect">
                      <a:avLst/>
                    </a:prstGeom>
                  </pic:spPr>
                </pic:pic>
              </a:graphicData>
            </a:graphic>
          </wp:inline>
        </w:drawing>
      </w:r>
    </w:p>
    <w:p w:rsidR="007B0D67" w:rsidRPr="007B0D67" w:rsidRDefault="007B0D67" w:rsidP="007B0D67">
      <w:pPr>
        <w:pStyle w:val="BodyText"/>
      </w:pPr>
      <w:r>
        <w:rPr>
          <w:noProof/>
        </w:rPr>
        <w:lastRenderedPageBreak/>
        <w:drawing>
          <wp:inline distT="0" distB="0" distL="0" distR="0">
            <wp:extent cx="5943600" cy="157226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able15.jpeg"/>
                    <pic:cNvPicPr/>
                  </pic:nvPicPr>
                  <pic:blipFill>
                    <a:blip r:embed="rId14">
                      <a:extLst>
                        <a:ext uri="{28A0092B-C50C-407E-A947-70E740481C1C}">
                          <a14:useLocalDpi xmlns:a14="http://schemas.microsoft.com/office/drawing/2010/main" val="0"/>
                        </a:ext>
                      </a:extLst>
                    </a:blip>
                    <a:stretch>
                      <a:fillRect/>
                    </a:stretch>
                  </pic:blipFill>
                  <pic:spPr>
                    <a:xfrm>
                      <a:off x="0" y="0"/>
                      <a:ext cx="5943600" cy="1572260"/>
                    </a:xfrm>
                    <a:prstGeom prst="rect">
                      <a:avLst/>
                    </a:prstGeom>
                  </pic:spPr>
                </pic:pic>
              </a:graphicData>
            </a:graphic>
          </wp:inline>
        </w:drawing>
      </w:r>
    </w:p>
    <w:p w:rsidR="009D473A" w:rsidRDefault="00C320DD" w:rsidP="00D62D4E">
      <w:pPr>
        <w:pStyle w:val="BodyText"/>
        <w:spacing w:line="480" w:lineRule="auto"/>
      </w:pPr>
      <w:r>
        <w:t>If we look back to Tables 8 and 9, we can see that the sign of the test statistic for each model remains positive across each method, as well as across each variable pairing. The test-statistic dis</w:t>
      </w:r>
      <w:r>
        <w:t xml:space="preserve">tributions, which are approximately normal, or Wald-Z (asymptotically z-distributed) can be used to justify a symmetry </w:t>
      </w:r>
      <w:r w:rsidR="001E515B">
        <w:t>argument</w:t>
      </w:r>
      <w:r>
        <w:t xml:space="preserve"> that larger-valued test statistics represent higher significance of the parameter. This is analogous to higher magnitude, norma</w:t>
      </w:r>
      <w:r>
        <w:t>lly distributed, test statistics representing higher significance.</w:t>
      </w:r>
    </w:p>
    <w:p w:rsidR="009D473A" w:rsidRDefault="00C320DD" w:rsidP="00D62D4E">
      <w:pPr>
        <w:pStyle w:val="BodyText"/>
        <w:spacing w:line="480" w:lineRule="auto"/>
      </w:pPr>
      <w:r>
        <w:t>The patterns that we observe in the test statistic percent change matrices serve</w:t>
      </w:r>
      <w:r w:rsidR="004619D3">
        <w:t>s</w:t>
      </w:r>
      <w:r>
        <w:t xml:space="preserve"> to largely reinforce previous conclusions we have made using the estimates of coefficients or standard erro</w:t>
      </w:r>
      <w:r>
        <w:t xml:space="preserve">rs. Transitions between LM/GEE and LM/LMM-RI tend to result in larger test statistic changes than changes within models that estimate similar </w:t>
      </w:r>
      <w:r w:rsidR="007B0D67">
        <w:t>parameters</w:t>
      </w:r>
      <w:r>
        <w:t xml:space="preserve"> (</w:t>
      </w:r>
      <w:proofErr w:type="spellStart"/>
      <w:r>
        <w:t>i.e</w:t>
      </w:r>
      <w:proofErr w:type="spellEnd"/>
      <w:r>
        <w:t xml:space="preserve"> LM-FE </w:t>
      </w:r>
      <m:oMath>
        <m:r>
          <w:rPr>
            <w:rFonts w:ascii="Cambria Math" w:hAnsi="Cambria Math"/>
          </w:rPr>
          <m:t>↔</m:t>
        </m:r>
      </m:oMath>
      <w:r>
        <w:t xml:space="preserve"> LMM-RI which both estimate subject-specific parameters, and LM </w:t>
      </w:r>
      <m:oMath>
        <m:r>
          <w:rPr>
            <w:rFonts w:ascii="Cambria Math" w:hAnsi="Cambria Math"/>
          </w:rPr>
          <m:t>↔</m:t>
        </m:r>
      </m:oMath>
      <w:r>
        <w:t xml:space="preserve"> GEE which both estimate po</w:t>
      </w:r>
      <w:r>
        <w:t>pulation-averaged parameters).</w:t>
      </w:r>
    </w:p>
    <w:p w:rsidR="004619D3" w:rsidRDefault="00C320DD" w:rsidP="004619D3">
      <w:pPr>
        <w:pStyle w:val="BodyText"/>
        <w:spacing w:line="480" w:lineRule="auto"/>
      </w:pPr>
      <w:r>
        <w:t xml:space="preserve">Transitions to LMM-RS from any model results in a loss of significance of the main effect slope parameter as indicated by negative test statistic percent changes. This aligns with our intuition as we would expect the average </w:t>
      </w:r>
      <w:r>
        <w:t xml:space="preserve">relationship between outcome and covariate to </w:t>
      </w:r>
      <w:r w:rsidR="007B0D67">
        <w:t>diminish</w:t>
      </w:r>
      <w:r>
        <w:t xml:space="preserve"> as emphasis on subject-specific relationship between outcome and covariate increased.</w:t>
      </w:r>
      <w:r>
        <w:br/>
      </w:r>
      <w:r w:rsidR="004619D3">
        <w:t xml:space="preserve">The </w:t>
      </w:r>
      <w:r w:rsidR="004619D3">
        <w:t>results outlined in the section above</w:t>
      </w:r>
      <w:r w:rsidR="004619D3">
        <w:t xml:space="preserve"> are all based on the inclusion of various types of </w:t>
      </w:r>
      <w:r w:rsidR="004619D3">
        <w:lastRenderedPageBreak/>
        <w:t xml:space="preserve">subject-specific information. These relationships can be classified </w:t>
      </w:r>
      <w:r w:rsidR="004619D3">
        <w:t>a</w:t>
      </w:r>
      <w:r w:rsidR="004619D3">
        <w:t xml:space="preserve">ccording to how they affect our ability to perform inference on the relationship between a predictor and a response using subject-correlated </w:t>
      </w:r>
      <w:proofErr w:type="spellStart"/>
      <w:r w:rsidR="004619D3">
        <w:t>scRNA</w:t>
      </w:r>
      <w:proofErr w:type="spellEnd"/>
      <w:r w:rsidR="004619D3">
        <w:t>-seq data. To this effect, we can now evaluate our variable-pairing relationship</w:t>
      </w:r>
      <w:r w:rsidR="004619D3">
        <w:t>(s)</w:t>
      </w:r>
      <w:r w:rsidR="004619D3">
        <w:t xml:space="preserve"> to determine if there is a significant effect from the nested sampling methods used to create the </w:t>
      </w:r>
      <w:proofErr w:type="spellStart"/>
      <w:r w:rsidR="004619D3">
        <w:t>scRNA</w:t>
      </w:r>
      <w:proofErr w:type="spellEnd"/>
      <w:r w:rsidR="004619D3">
        <w:t>-seq data, and if there is an effect, how can this effect best be accounted for.</w:t>
      </w:r>
    </w:p>
    <w:p w:rsidR="009D473A" w:rsidRDefault="009D473A" w:rsidP="00D62D4E">
      <w:pPr>
        <w:pStyle w:val="BodyText"/>
        <w:spacing w:line="480" w:lineRule="auto"/>
      </w:pPr>
    </w:p>
    <w:p w:rsidR="009D473A" w:rsidRDefault="00C320DD" w:rsidP="00D62D4E">
      <w:pPr>
        <w:pStyle w:val="Heading1"/>
        <w:spacing w:line="480" w:lineRule="auto"/>
      </w:pPr>
      <w:bookmarkStart w:id="6" w:name="discussion"/>
      <w:r>
        <w:t>Discussion</w:t>
      </w:r>
      <w:bookmarkEnd w:id="6"/>
    </w:p>
    <w:p w:rsidR="009D473A" w:rsidRDefault="00C320DD" w:rsidP="00D62D4E">
      <w:pPr>
        <w:pStyle w:val="FirstParagraph"/>
        <w:spacing w:line="480" w:lineRule="auto"/>
      </w:pPr>
      <w:r>
        <w:t xml:space="preserve">We have compared three methods of modeling </w:t>
      </w:r>
      <w:proofErr w:type="spellStart"/>
      <w:r>
        <w:t>scRNA</w:t>
      </w:r>
      <w:proofErr w:type="spellEnd"/>
      <w:r>
        <w:t>-seq data</w:t>
      </w:r>
      <w:r w:rsidR="00AB6309">
        <w:t>,</w:t>
      </w:r>
      <w:r>
        <w:t xml:space="preserve"> </w:t>
      </w:r>
      <w:r w:rsidR="00AB6309">
        <w:t>each accounting</w:t>
      </w:r>
      <w:r>
        <w:t xml:space="preserve"> for subject-level associa</w:t>
      </w:r>
      <w:r>
        <w:t>tions in a different manner. We analyzed two different Linear Models, a population-average Ordinary Least Squares model, and a Linear Model with a subject-specific Fixed Effect. Our second method included two different types of Linear Mixed Effects Models.</w:t>
      </w:r>
      <w:r>
        <w:t xml:space="preserve"> We fit a Random Intercept Model, and a Random Slope Model. Finally, we fit another population-average model </w:t>
      </w:r>
      <w:r>
        <w:t>using the Generalized Estimating Equations algorithm.</w:t>
      </w:r>
    </w:p>
    <w:p w:rsidR="009D473A" w:rsidRDefault="00C320DD" w:rsidP="00D62D4E">
      <w:pPr>
        <w:pStyle w:val="BodyText"/>
        <w:spacing w:line="480" w:lineRule="auto"/>
      </w:pPr>
      <w:r>
        <w:t>The primary goal of our analysis has bee</w:t>
      </w:r>
      <w:r>
        <w:t xml:space="preserve">n to address the arising presence of </w:t>
      </w:r>
      <w:proofErr w:type="spellStart"/>
      <w:r>
        <w:t>scRNA</w:t>
      </w:r>
      <w:proofErr w:type="spellEnd"/>
      <w:r>
        <w:t>-seq data sets gathered on larger samples of individuals, and specifically the lack of clarity surrounding methods to conduct subject-level analyses using them. In order to achieve this goal, we described the consi</w:t>
      </w:r>
      <w:r>
        <w:t xml:space="preserve">stency of estimates across modeling methodologies for a parameter intended to appraise the </w:t>
      </w:r>
      <w:r>
        <w:t>population-averaged</w:t>
      </w:r>
      <w:bookmarkStart w:id="7" w:name="_GoBack"/>
      <w:bookmarkEnd w:id="7"/>
      <w:r>
        <w:t xml:space="preserve"> relationship between two </w:t>
      </w:r>
      <w:proofErr w:type="spellStart"/>
      <w:r>
        <w:t>scRNA</w:t>
      </w:r>
      <w:proofErr w:type="spellEnd"/>
      <w:r>
        <w:t xml:space="preserve">-seq variables. This approach allows us to examine the magnitude, direction, and significance of </w:t>
      </w:r>
      <w:r w:rsidR="007B0D67">
        <w:t>subject</w:t>
      </w:r>
      <w:r>
        <w:t>-correlation</w:t>
      </w:r>
      <w:r>
        <w:t xml:space="preserve"> as it is included in a variety of methods.</w:t>
      </w:r>
    </w:p>
    <w:p w:rsidR="009D473A" w:rsidRDefault="00C320DD" w:rsidP="00D62D4E">
      <w:pPr>
        <w:pStyle w:val="BodyText"/>
        <w:spacing w:line="480" w:lineRule="auto"/>
      </w:pPr>
      <w:r>
        <w:lastRenderedPageBreak/>
        <w:t xml:space="preserve">Our results indicated that methods evaluating </w:t>
      </w:r>
      <w:r w:rsidR="007B0D67">
        <w:t>similarly interpreted</w:t>
      </w:r>
      <w:r>
        <w:t xml:space="preserve"> parameters (i.e. population-averaged vs subject-specific) had more similar (or identical) parameter estimate outcomes than the dissimilarly inte</w:t>
      </w:r>
      <w:r>
        <w:t>rpreted modeling approaches. We also noticed a consistent increase in parameter standard error upon the inclusion of a random slope.</w:t>
      </w:r>
    </w:p>
    <w:p w:rsidR="009D473A" w:rsidRDefault="00C320DD" w:rsidP="00D62D4E">
      <w:pPr>
        <w:pStyle w:val="BodyText"/>
        <w:spacing w:line="480" w:lineRule="auto"/>
      </w:pPr>
      <w:r>
        <w:t xml:space="preserve">Even though such patterns may be diagnosable with just two </w:t>
      </w:r>
      <w:proofErr w:type="spellStart"/>
      <w:r>
        <w:t>scRNA</w:t>
      </w:r>
      <w:proofErr w:type="spellEnd"/>
      <w:r>
        <w:t>-seq variable pairings, more would be needed to make significant conclusions regarding further parameter stability trends. The evaluation of more variable pairings is the foremost objective le</w:t>
      </w:r>
      <w:r>
        <w:t xml:space="preserve">ft outstanding in this analysis. Supplementary variable pairings would serve to reinforce current </w:t>
      </w:r>
      <w:r w:rsidR="007B0D67">
        <w:t>findings and</w:t>
      </w:r>
      <w:r>
        <w:t xml:space="preserve"> stabilize estimate trends heavily related to subject-specific features.</w:t>
      </w:r>
    </w:p>
    <w:p w:rsidR="009D473A" w:rsidRDefault="00C320DD" w:rsidP="00D62D4E">
      <w:pPr>
        <w:pStyle w:val="BodyText"/>
        <w:spacing w:line="480" w:lineRule="auto"/>
      </w:pPr>
      <w:r>
        <w:t xml:space="preserve">Although the Seurat Guided Clustering Tutorial [6] provides a framework </w:t>
      </w:r>
      <w:r>
        <w:t xml:space="preserve">for quality control with integrated exploratory analysis, the observed protocol dependencies of </w:t>
      </w:r>
      <w:proofErr w:type="spellStart"/>
      <w:r>
        <w:t>scRNA</w:t>
      </w:r>
      <w:proofErr w:type="spellEnd"/>
      <w:r>
        <w:t xml:space="preserve">-seq data must still be considered before any analysis can be conducted. While methods of combining </w:t>
      </w:r>
      <w:r w:rsidR="007B0D67">
        <w:t>existing</w:t>
      </w:r>
      <w:r>
        <w:t xml:space="preserve"> </w:t>
      </w:r>
      <w:proofErr w:type="spellStart"/>
      <w:r>
        <w:t>scRNA</w:t>
      </w:r>
      <w:proofErr w:type="spellEnd"/>
      <w:r>
        <w:t xml:space="preserve">-seq data have been used to </w:t>
      </w:r>
      <w:r w:rsidR="007B0D67">
        <w:t>successfully</w:t>
      </w:r>
      <w:r>
        <w:t xml:space="preserve"> </w:t>
      </w:r>
      <w:r>
        <w:t>integrate multiple-subjects’ single-cell observations [10], no batch-effect corrections or expression normalization has been performed to account for sources of possible confounded or misrepresented subject-level correlation effects.</w:t>
      </w:r>
    </w:p>
    <w:p w:rsidR="009D473A" w:rsidRDefault="00C320DD" w:rsidP="007B0D67">
      <w:pPr>
        <w:pStyle w:val="BodyText"/>
        <w:spacing w:line="480" w:lineRule="auto"/>
      </w:pPr>
      <w:r>
        <w:t>As single-cell RNA seq</w:t>
      </w:r>
      <w:r>
        <w:t>uencing data sets rise in pervasiveness, the need for subject-level analysis in data sets that are subject-correlated will also rise. This paper presented a foundational comparison for such an analysis. It is hoped that this paper has presented unique insi</w:t>
      </w:r>
      <w:r>
        <w:t xml:space="preserve">ghts into the methods and analyses of subject-level associations in </w:t>
      </w:r>
      <w:proofErr w:type="spellStart"/>
      <w:r>
        <w:t>scRNA</w:t>
      </w:r>
      <w:proofErr w:type="spellEnd"/>
      <w:r>
        <w:t>-seq data.</w:t>
      </w:r>
      <w:r>
        <w:br/>
      </w:r>
      <w:bookmarkStart w:id="8" w:name="refs"/>
      <w:bookmarkStart w:id="9" w:name="ref-stuart2019comprehensive"/>
      <w:bookmarkEnd w:id="8"/>
      <w:bookmarkEnd w:id="9"/>
    </w:p>
    <w:sectPr w:rsidR="009D473A">
      <w:footerReference w:type="even" r:id="rId15"/>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20DD" w:rsidRDefault="00C320DD">
      <w:pPr>
        <w:spacing w:after="0"/>
      </w:pPr>
      <w:r>
        <w:separator/>
      </w:r>
    </w:p>
  </w:endnote>
  <w:endnote w:type="continuationSeparator" w:id="0">
    <w:p w:rsidR="00C320DD" w:rsidRDefault="00C320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44887188"/>
      <w:docPartObj>
        <w:docPartGallery w:val="Page Numbers (Bottom of Page)"/>
        <w:docPartUnique/>
      </w:docPartObj>
    </w:sdtPr>
    <w:sdtContent>
      <w:p w:rsidR="00D62D4E" w:rsidRDefault="00D62D4E" w:rsidP="00E254B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62D4E" w:rsidRDefault="00D62D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77116262"/>
      <w:docPartObj>
        <w:docPartGallery w:val="Page Numbers (Bottom of Page)"/>
        <w:docPartUnique/>
      </w:docPartObj>
    </w:sdtPr>
    <w:sdtContent>
      <w:p w:rsidR="00D62D4E" w:rsidRDefault="00D62D4E" w:rsidP="00E254B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D62D4E" w:rsidRDefault="00D62D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20DD" w:rsidRDefault="00C320DD">
      <w:r>
        <w:separator/>
      </w:r>
    </w:p>
  </w:footnote>
  <w:footnote w:type="continuationSeparator" w:id="0">
    <w:p w:rsidR="00C320DD" w:rsidRDefault="00C320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CBBDEE"/>
    <w:multiLevelType w:val="multilevel"/>
    <w:tmpl w:val="6AFCB054"/>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EA454B4C"/>
    <w:multiLevelType w:val="multilevel"/>
    <w:tmpl w:val="4D8EB4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170CD2DE"/>
    <w:multiLevelType w:val="multilevel"/>
    <w:tmpl w:val="EDFEE4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C1AE401"/>
    <w:multiLevelType w:val="multilevel"/>
    <w:tmpl w:val="A51EE3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AA28647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5" w15:restartNumberingAfterBreak="0">
    <w:nsid w:val="71315DCA"/>
    <w:multiLevelType w:val="multilevel"/>
    <w:tmpl w:val="BD8C373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5"/>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E515B"/>
    <w:rsid w:val="002C6081"/>
    <w:rsid w:val="004619D3"/>
    <w:rsid w:val="004E29B3"/>
    <w:rsid w:val="00590D07"/>
    <w:rsid w:val="00784D58"/>
    <w:rsid w:val="007B0D67"/>
    <w:rsid w:val="008D6863"/>
    <w:rsid w:val="009D473A"/>
    <w:rsid w:val="009F559D"/>
    <w:rsid w:val="00AB6309"/>
    <w:rsid w:val="00B86B75"/>
    <w:rsid w:val="00BC48D5"/>
    <w:rsid w:val="00C320DD"/>
    <w:rsid w:val="00C36279"/>
    <w:rsid w:val="00D62D4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5041F1"/>
  <w15:docId w15:val="{686CDA52-6820-7A4F-8177-53E44E275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D62D4E"/>
    <w:pPr>
      <w:tabs>
        <w:tab w:val="center" w:pos="4680"/>
        <w:tab w:val="right" w:pos="9360"/>
      </w:tabs>
      <w:spacing w:after="0"/>
    </w:pPr>
  </w:style>
  <w:style w:type="character" w:customStyle="1" w:styleId="FooterChar">
    <w:name w:val="Footer Char"/>
    <w:basedOn w:val="DefaultParagraphFont"/>
    <w:link w:val="Footer"/>
    <w:rsid w:val="00D62D4E"/>
  </w:style>
  <w:style w:type="character" w:styleId="PageNumber">
    <w:name w:val="page number"/>
    <w:basedOn w:val="DefaultParagraphFont"/>
    <w:semiHidden/>
    <w:unhideWhenUsed/>
    <w:rsid w:val="00D62D4E"/>
  </w:style>
  <w:style w:type="paragraph" w:styleId="NormalWeb">
    <w:name w:val="Normal (Web)"/>
    <w:basedOn w:val="Normal"/>
    <w:uiPriority w:val="99"/>
    <w:unhideWhenUsed/>
    <w:rsid w:val="00D62D4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298622">
      <w:bodyDiv w:val="1"/>
      <w:marLeft w:val="0"/>
      <w:marRight w:val="0"/>
      <w:marTop w:val="0"/>
      <w:marBottom w:val="0"/>
      <w:divBdr>
        <w:top w:val="none" w:sz="0" w:space="0" w:color="auto"/>
        <w:left w:val="none" w:sz="0" w:space="0" w:color="auto"/>
        <w:bottom w:val="none" w:sz="0" w:space="0" w:color="auto"/>
        <w:right w:val="none" w:sz="0" w:space="0" w:color="auto"/>
      </w:divBdr>
      <w:divsChild>
        <w:div w:id="143398641">
          <w:marLeft w:val="0"/>
          <w:marRight w:val="0"/>
          <w:marTop w:val="0"/>
          <w:marBottom w:val="0"/>
          <w:divBdr>
            <w:top w:val="none" w:sz="0" w:space="0" w:color="auto"/>
            <w:left w:val="none" w:sz="0" w:space="0" w:color="auto"/>
            <w:bottom w:val="none" w:sz="0" w:space="0" w:color="auto"/>
            <w:right w:val="none" w:sz="0" w:space="0" w:color="auto"/>
          </w:divBdr>
          <w:divsChild>
            <w:div w:id="469399410">
              <w:marLeft w:val="0"/>
              <w:marRight w:val="0"/>
              <w:marTop w:val="0"/>
              <w:marBottom w:val="0"/>
              <w:divBdr>
                <w:top w:val="none" w:sz="0" w:space="0" w:color="auto"/>
                <w:left w:val="none" w:sz="0" w:space="0" w:color="auto"/>
                <w:bottom w:val="none" w:sz="0" w:space="0" w:color="auto"/>
                <w:right w:val="none" w:sz="0" w:space="0" w:color="auto"/>
              </w:divBdr>
              <w:divsChild>
                <w:div w:id="122965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74321">
      <w:bodyDiv w:val="1"/>
      <w:marLeft w:val="0"/>
      <w:marRight w:val="0"/>
      <w:marTop w:val="0"/>
      <w:marBottom w:val="0"/>
      <w:divBdr>
        <w:top w:val="none" w:sz="0" w:space="0" w:color="auto"/>
        <w:left w:val="none" w:sz="0" w:space="0" w:color="auto"/>
        <w:bottom w:val="none" w:sz="0" w:space="0" w:color="auto"/>
        <w:right w:val="none" w:sz="0" w:space="0" w:color="auto"/>
      </w:divBdr>
      <w:divsChild>
        <w:div w:id="294913203">
          <w:marLeft w:val="0"/>
          <w:marRight w:val="0"/>
          <w:marTop w:val="0"/>
          <w:marBottom w:val="0"/>
          <w:divBdr>
            <w:top w:val="none" w:sz="0" w:space="0" w:color="auto"/>
            <w:left w:val="none" w:sz="0" w:space="0" w:color="auto"/>
            <w:bottom w:val="none" w:sz="0" w:space="0" w:color="auto"/>
            <w:right w:val="none" w:sz="0" w:space="0" w:color="auto"/>
          </w:divBdr>
          <w:divsChild>
            <w:div w:id="84232694">
              <w:marLeft w:val="0"/>
              <w:marRight w:val="0"/>
              <w:marTop w:val="0"/>
              <w:marBottom w:val="0"/>
              <w:divBdr>
                <w:top w:val="none" w:sz="0" w:space="0" w:color="auto"/>
                <w:left w:val="none" w:sz="0" w:space="0" w:color="auto"/>
                <w:bottom w:val="none" w:sz="0" w:space="0" w:color="auto"/>
                <w:right w:val="none" w:sz="0" w:space="0" w:color="auto"/>
              </w:divBdr>
              <w:divsChild>
                <w:div w:id="85800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9</Pages>
  <Words>1412</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Comparing Models of Subject-Clustered Single-Cell Data</vt:lpstr>
    </vt:vector>
  </TitlesOfParts>
  <Company/>
  <LinksUpToDate>false</LinksUpToDate>
  <CharactersWithSpaces>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Models of Subject-Clustered Single-Cell Data</dc:title>
  <dc:creator>Lee Panter</dc:creator>
  <cp:keywords/>
  <cp:lastModifiedBy>Lee Panter</cp:lastModifiedBy>
  <cp:revision>5</cp:revision>
  <dcterms:created xsi:type="dcterms:W3CDTF">2020-02-28T18:59:00Z</dcterms:created>
  <dcterms:modified xsi:type="dcterms:W3CDTF">2020-02-28T19:42:00Z</dcterms:modified>
</cp:coreProperties>
</file>