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Version</w:t>
      </w:r>
      <w:r>
        <w:t xml:space="preserve"> </w:t>
      </w:r>
      <w:r>
        <w:t xml:space="preserve">v2.2-Model</w:t>
      </w:r>
      <w:r>
        <w:t xml:space="preserve"> </w:t>
      </w:r>
      <w:r>
        <w:t xml:space="preserve">Descriptions</w:t>
      </w:r>
    </w:p>
    <w:p>
      <w:pPr>
        <w:pStyle w:val="Heading2"/>
      </w:pPr>
      <w:bookmarkStart w:id="20" w:name="generalized-estimating-equations-gee"/>
      <w:r>
        <w:t xml:space="preserve">Generalized Estimating Equations (GEE)</w:t>
      </w:r>
      <w:bookmarkEnd w:id="20"/>
    </w:p>
    <w:p>
      <w:pPr>
        <w:pStyle w:val="FirstParagraph"/>
      </w:pPr>
      <w:r>
        <w:t xml:space="preserve">The final modeling method considered is generalized estimating equations (GEE). The GEE framework requires the specification of a systematic, and random component. It also requires the specification of an assumed covariance structure. This structure specifies the within-subject correlation, for which the GEE algorithm iteratively refits estimated values.</w:t>
      </w:r>
    </w:p>
    <w:p>
      <w:pPr>
        <w:pStyle w:val="BodyText"/>
      </w:pPr>
      <w:r>
        <w:t xml:space="preserve">The components for the GEE model are:</w:t>
      </w:r>
    </w:p>
    <w:p>
      <w:pPr>
        <w:pStyle w:val="Compact"/>
        <w:numPr>
          <w:numId w:val="1001"/>
          <w:ilvl w:val="0"/>
        </w:numPr>
      </w:pPr>
      <w:r>
        <w:t xml:space="preserve">The random component</w:t>
      </w:r>
    </w:p>
    <w:p>
      <w:pPr>
        <w:pStyle w:val="Compact"/>
        <w:numPr>
          <w:numId w:val="1002"/>
          <w:ilvl w:val="1"/>
        </w:numPr>
      </w:pPr>
      <w:r>
        <w:t xml:space="preserve">It is assumed the responses are</w:t>
      </w:r>
      <w:r>
        <w:t xml:space="preserve"> </w:t>
      </w:r>
      <w:r>
        <w:t xml:space="preserve"> </w:t>
      </w:r>
      <w:r>
        <w:t xml:space="preserve">normally distributed.</w:t>
      </w:r>
    </w:p>
    <w:p>
      <w:pPr>
        <w:pStyle w:val="Compact"/>
        <w:numPr>
          <w:numId w:val="1001"/>
          <w:ilvl w:val="0"/>
        </w:numPr>
      </w:pPr>
      <w:r>
        <w:t xml:space="preserve">The systematic component</w:t>
      </w:r>
    </w:p>
    <w:p>
      <w:pPr>
        <w:pStyle w:val="Compact"/>
        <w:numPr>
          <w:numId w:val="1003"/>
          <w:ilvl w:val="1"/>
        </w:numPr>
      </w:pPr>
      <w:r>
        <w:t xml:space="preserve">It is assumed that the linear predictor</w:t>
      </w:r>
      <w:r>
        <w:t xml:space="preserve"> </w:t>
      </w:r>
      <m:oMath>
        <m:sSub>
          <m:e>
            <m:r>
              <m:t>η</m:t>
            </m:r>
          </m:e>
          <m:sub>
            <m:r>
              <m:t>i</m:t>
            </m:r>
            <m:r>
              <m:t>j</m:t>
            </m:r>
          </m:sub>
        </m:sSub>
      </m:oMath>
      <w:r>
        <w:t xml:space="preserve"> </w:t>
      </w:r>
      <w:r>
        <w:t xml:space="preserve">is a linear combination of the covariates</w:t>
      </w:r>
    </w:p>
    <w:p>
      <w:pPr>
        <w:pStyle w:val="Compact"/>
      </w:pPr>
      <m:oMathPara>
        <m:oMathParaPr>
          <m:jc m:val="center"/>
        </m:oMathParaPr>
        <m:oMath>
          <m:sSub>
            <m:e>
              <m:r>
                <m:t>η</m:t>
              </m:r>
            </m:e>
            <m:sub>
              <m:r>
                <m:t>i</m:t>
              </m:r>
              <m:r>
                <m:t>j</m:t>
              </m:r>
            </m:sub>
          </m:sSub>
          <m:r>
            <m:t>=</m:t>
          </m:r>
          <m:sSub>
            <m:e>
              <m:r>
                <m:t>β</m:t>
              </m:r>
            </m:e>
            <m:sub>
              <m:r>
                <m:t>0</m:t>
              </m:r>
            </m:sub>
          </m:sSub>
          <m:r>
            <m:t>+</m:t>
          </m:r>
          <m:sSub>
            <m:e>
              <m:r>
                <m:t>β</m:t>
              </m:r>
            </m:e>
            <m:sub>
              <m:r>
                <m:t>1</m:t>
              </m:r>
            </m:sub>
          </m:sSub>
          <m:sSub>
            <m:e>
              <m:r>
                <m:t>X</m:t>
              </m:r>
            </m:e>
            <m:sub>
              <m:r>
                <m:t>i</m:t>
              </m:r>
              <m:r>
                <m:t>j</m:t>
              </m:r>
            </m:sub>
          </m:sSub>
        </m:oMath>
      </m:oMathPara>
    </w:p>
    <w:p>
      <w:pPr>
        <w:pStyle w:val="Compact"/>
        <w:numPr>
          <w:numId w:val="1001"/>
          <w:ilvl w:val="0"/>
        </w:numPr>
      </w:pPr>
      <w:r>
        <w:t xml:space="preserve">The link function</w:t>
      </w:r>
    </w:p>
    <w:p>
      <w:pPr>
        <w:pStyle w:val="Compact"/>
        <w:numPr>
          <w:numId w:val="1004"/>
          <w:ilvl w:val="1"/>
        </w:numPr>
      </w:pPr>
      <w:r>
        <w:t xml:space="preserve">It is assumed that the link function</w:t>
      </w:r>
      <w:r>
        <w:t xml:space="preserve"> </w:t>
      </w:r>
      <m:oMath>
        <m:r>
          <m:t>g</m:t>
        </m:r>
        <m:r>
          <m:t>(</m:t>
        </m:r>
        <m:sSub>
          <m:e>
            <m:r>
              <m:t>μ</m:t>
            </m:r>
          </m:e>
          <m:sub>
            <m:r>
              <m:t>i</m:t>
            </m:r>
            <m:r>
              <m:t>j</m:t>
            </m:r>
          </m:sub>
        </m:sSub>
        <m:r>
          <m:t>)</m:t>
        </m:r>
        <m:r>
          <m:t>=</m:t>
        </m:r>
        <m:sSub>
          <m:e>
            <m:r>
              <m:t>μ</m:t>
            </m:r>
          </m:e>
          <m:sub>
            <m:r>
              <m:t>i</m:t>
            </m:r>
            <m:r>
              <m:t>j</m:t>
            </m:r>
          </m:sub>
        </m:sSub>
      </m:oMath>
      <w:r>
        <w:t xml:space="preserve"> </w:t>
      </w:r>
      <w:r>
        <w:t xml:space="preserve">provides the relationship between the linear predictor and the expected outcome, i.e:</w:t>
      </w:r>
    </w:p>
    <w:p>
      <w:pPr>
        <w:pStyle w:val="Compact"/>
      </w:pPr>
      <m:oMathPara>
        <m:oMathParaPr>
          <m:jc m:val="center"/>
        </m:oMathParaPr>
        <m:oMath>
          <m:r>
            <m:t>E</m:t>
          </m:r>
          <m:d>
            <m:dPr>
              <m:begChr m:val="["/>
              <m:endChr m:val="]"/>
              <m:grow/>
            </m:dPr>
            <m:e>
              <m:sSub>
                <m:e>
                  <m:r>
                    <m:t>Y</m:t>
                  </m:r>
                </m:e>
                <m:sub>
                  <m:r>
                    <m:t>i</m:t>
                  </m:r>
                  <m:r>
                    <m:t>j</m:t>
                  </m:r>
                </m:sub>
              </m:sSub>
              <m:r>
                <m:t>|</m:t>
              </m:r>
              <m:sSub>
                <m:e>
                  <m:r>
                    <m:t>X</m:t>
                  </m:r>
                </m:e>
                <m:sub>
                  <m:r>
                    <m:t>i</m:t>
                  </m:r>
                  <m:r>
                    <m:t>j</m:t>
                  </m:r>
                </m:sub>
              </m:sSub>
            </m:e>
          </m:d>
          <m:r>
            <m:t>=</m:t>
          </m:r>
          <m:r>
            <m:t>g</m:t>
          </m:r>
          <m:r>
            <m:t>(</m:t>
          </m:r>
          <m:sSub>
            <m:e>
              <m:r>
                <m:t>μ</m:t>
              </m:r>
            </m:e>
            <m:sub>
              <m:r>
                <m:t>i</m:t>
              </m:r>
              <m:r>
                <m:t>j</m:t>
              </m:r>
            </m:sub>
          </m:sSub>
          <m:r>
            <m:t>)</m:t>
          </m:r>
          <m:r>
            <m:t>=</m:t>
          </m:r>
          <m:sSub>
            <m:e>
              <m:r>
                <m:t>μ</m:t>
              </m:r>
            </m:e>
            <m:sub>
              <m:r>
                <m:t>i</m:t>
              </m:r>
              <m:r>
                <m:t>j</m:t>
              </m:r>
            </m:sub>
          </m:sSub>
          <m:r>
            <m:t>=</m:t>
          </m:r>
          <m:sSub>
            <m:e>
              <m:r>
                <m:t>η</m:t>
              </m:r>
            </m:e>
            <m:sub>
              <m:r>
                <m:t>i</m:t>
              </m:r>
              <m:r>
                <m:t>j</m:t>
              </m:r>
            </m:sub>
          </m:sSub>
          <m:r>
            <m:t>=</m:t>
          </m:r>
          <m:sSub>
            <m:e>
              <m:r>
                <m:t>β</m:t>
              </m:r>
            </m:e>
            <m:sub>
              <m:r>
                <m:t>0</m:t>
              </m:r>
            </m:sub>
          </m:sSub>
          <m:r>
            <m:t>+</m:t>
          </m:r>
          <m:sSub>
            <m:e>
              <m:r>
                <m:t>β</m:t>
              </m:r>
            </m:e>
            <m:sub>
              <m:r>
                <m:t>1</m:t>
              </m:r>
            </m:sub>
          </m:sSub>
          <m:sSub>
            <m:e>
              <m:r>
                <m:t>X</m:t>
              </m:r>
            </m:e>
            <m:sub>
              <m:r>
                <m:t>i</m:t>
              </m:r>
              <m:r>
                <m:t>j</m:t>
              </m:r>
            </m:sub>
          </m:sSub>
        </m:oMath>
      </m:oMathPara>
    </w:p>
    <w:p>
      <w:pPr>
        <w:pStyle w:val="Compact"/>
        <w:numPr>
          <w:numId w:val="1001"/>
          <w:ilvl w:val="0"/>
        </w:numPr>
      </w:pPr>
      <w:r>
        <w:t xml:space="preserve">Working Covariance Structure</w:t>
      </w:r>
    </w:p>
    <w:p>
      <w:pPr>
        <w:pStyle w:val="Compact"/>
        <w:numPr>
          <w:numId w:val="1005"/>
          <w:ilvl w:val="1"/>
        </w:numPr>
      </w:pPr>
      <w:r>
        <w:t xml:space="preserve">It is assumed that observations within a subject are independent, therefore:</w:t>
      </w:r>
    </w:p>
    <w:p>
      <w:pPr>
        <w:pStyle w:val="Compact"/>
      </w:pPr>
      <m:oMathPara>
        <m:oMathParaPr>
          <m:jc m:val="center"/>
        </m:oMathParaPr>
        <m:oMath>
          <m:sSub>
            <m:e>
              <m:d>
                <m:dPr>
                  <m:begChr m:val="["/>
                  <m:endChr m:val="]"/>
                  <m:grow/>
                </m:dPr>
                <m:e>
                  <m:r>
                    <m:t>C</m:t>
                  </m:r>
                  <m:r>
                    <m:t>o</m:t>
                  </m:r>
                  <m:r>
                    <m:t>v</m:t>
                  </m:r>
                  <m:d>
                    <m:dPr>
                      <m:begChr m:val="("/>
                      <m:endChr m:val=")"/>
                      <m:grow/>
                    </m:dPr>
                    <m:e>
                      <m:sSub>
                        <m:e>
                          <m:r>
                            <m:t>Y</m:t>
                          </m:r>
                        </m:e>
                        <m:sub>
                          <m:r>
                            <m:t>i</m:t>
                          </m:r>
                          <m:r>
                            <m:t>j</m:t>
                          </m:r>
                        </m:sub>
                      </m:sSub>
                      <m:r>
                        <m:t>,</m:t>
                      </m:r>
                      <m:sSub>
                        <m:e>
                          <m:r>
                            <m:t>Y</m:t>
                          </m:r>
                        </m:e>
                        <m:sub>
                          <m:r>
                            <m:t>i</m:t>
                          </m:r>
                          <m:r>
                            <m:t>k</m:t>
                          </m:r>
                        </m:sub>
                      </m:sSub>
                    </m:e>
                  </m:d>
                </m:e>
              </m:d>
            </m:e>
            <m:sub>
              <m:r>
                <m:t>j</m:t>
              </m:r>
              <m:r>
                <m:t>k</m:t>
              </m:r>
            </m:sub>
          </m:sSub>
          <m:r>
            <m:t>=</m:t>
          </m:r>
          <m:d>
            <m:dPr>
              <m:begChr m:val="{"/>
              <m:endChr m:val=""/>
              <m:grow/>
            </m:dPr>
            <m:e>
              <m:m>
                <m:mPr>
                  <m:baseJc m:val="center"/>
                  <m:plcHide m:val="1"/>
                  <m:mcs>
                    <m:mc>
                      <m:mcPr>
                        <m:mcJc m:val="left"/>
                        <m:count m:val="1"/>
                      </m:mcPr>
                    </m:mc>
                    <m:mc>
                      <m:mcPr>
                        <m:mcJc m:val="left"/>
                        <m:count m:val="1"/>
                      </m:mcPr>
                    </m:mc>
                  </m:mcs>
                </m:mPr>
                <m:mr>
                  <m:e>
                    <m:r>
                      <m:t>V</m:t>
                    </m:r>
                    <m:r>
                      <m:t>a</m:t>
                    </m:r>
                    <m:r>
                      <m:t>r</m:t>
                    </m:r>
                    <m:d>
                      <m:dPr>
                        <m:begChr m:val="("/>
                        <m:endChr m:val=")"/>
                        <m:grow/>
                      </m:dPr>
                      <m:e>
                        <m:sSub>
                          <m:e>
                            <m:r>
                              <m:t>Y</m:t>
                            </m:r>
                          </m:e>
                          <m:sub>
                            <m:r>
                              <m:t>i</m:t>
                            </m:r>
                            <m:r>
                              <m:t>j</m:t>
                            </m:r>
                          </m:sub>
                        </m:sSub>
                      </m:e>
                    </m:d>
                    <m:r>
                      <m:t> </m:t>
                    </m:r>
                  </m:e>
                  <m:e>
                    <m:r>
                      <m:rPr>
                        <m:sty m:val="p"/>
                      </m:rPr>
                      <m:t>if</m:t>
                    </m:r>
                    <m:r>
                      <m:t> </m:t>
                    </m:r>
                    <m:r>
                      <m:t>j</m:t>
                    </m:r>
                    <m:r>
                      <m:t>=</m:t>
                    </m:r>
                    <m:r>
                      <m:t>k</m:t>
                    </m:r>
                  </m:e>
                </m:mr>
                <m:mr>
                  <m:e>
                    <m:r>
                      <m:t>0</m:t>
                    </m:r>
                    <m:r>
                      <m:t> </m:t>
                    </m:r>
                  </m:e>
                  <m:e>
                    <m:r>
                      <m:rPr>
                        <m:sty m:val="p"/>
                      </m:rPr>
                      <m:t>if</m:t>
                    </m:r>
                    <m:r>
                      <m:t> </m:t>
                    </m:r>
                    <m:r>
                      <m:t>j</m:t>
                    </m:r>
                    <m:r>
                      <m:t>≠</m:t>
                    </m:r>
                    <m:r>
                      <m:t>k</m:t>
                    </m:r>
                  </m:e>
                </m:mr>
              </m:m>
            </m:e>
          </m:d>
        </m:oMath>
      </m:oMathPara>
    </w:p>
    <w:p>
      <w:pPr>
        <w:pStyle w:val="Compact"/>
      </w:pPr>
      <m:oMathPara>
        <m:oMathParaPr>
          <m:jc m:val="center"/>
        </m:oMathParaPr>
        <m:oMath>
          <m:r>
            <m:t>f</m:t>
          </m:r>
          <m:r>
            <m:t>o</m:t>
          </m:r>
          <m:r>
            <m:t>r</m:t>
          </m:r>
          <m:r>
            <m:t> </m:t>
          </m:r>
          <m:r>
            <m:t>j</m:t>
          </m:r>
          <m:r>
            <m:t>,</m:t>
          </m:r>
          <m:r>
            <m:t>k</m:t>
          </m:r>
          <m:r>
            <m:t>∈</m:t>
          </m:r>
          <m:d>
            <m:dPr>
              <m:begChr m:val="{"/>
              <m:endChr m:val="}"/>
              <m:grow/>
            </m:dPr>
            <m:e>
              <m:r>
                <m:t>1</m:t>
              </m:r>
              <m:r>
                <m:t>,</m:t>
              </m:r>
              <m:r>
                <m:t>…</m:t>
              </m:r>
              <m:r>
                <m:t>,</m:t>
              </m:r>
              <m:sSub>
                <m:e>
                  <m:r>
                    <m:t>n</m:t>
                  </m:r>
                </m:e>
                <m:sub>
                  <m:r>
                    <m:t>i</m:t>
                  </m:r>
                </m:sub>
              </m:sSub>
            </m:e>
          </m:d>
        </m:oMath>
      </m:oMathPara>
    </w:p>
    <w:p>
      <w:pPr>
        <w:pStyle w:val="FirstParagraph"/>
      </w:pPr>
      <w:r>
        <w:t xml:space="preserve">Estimates for GEE parameters are calculated by solving an</w:t>
      </w:r>
      <w:r>
        <w:t xml:space="preserve"> </w:t>
      </w:r>
      <w:r>
        <w:t xml:space="preserve"> </w:t>
      </w:r>
      <w:r>
        <w:t xml:space="preserve">using the Newton-Raphson iterative root-finding algorithm. Detailed method descriptions, including derivation and solving of the estimating equations can be found in Fitzmaurice, Laird, and Ware</w:t>
      </w:r>
      <w:r>
        <w:t xml:space="preserve"> </w:t>
      </w:r>
      <w:r>
        <w:t xml:space="preserve">[1]</w:t>
      </w:r>
      <w:r>
        <w:t xml:space="preserve">.</w:t>
      </w:r>
    </w:p>
    <w:p>
      <w:pPr>
        <w:pStyle w:val="BodyText"/>
      </w:pPr>
      <w:r>
        <w:t xml:space="preserve">The GEE algorithm is robust to misspecification of the working covariance structure. So initially incorrect specifications of the working covariance matrix still converge to the appropriate structure form with algorithmic iteration. This stability is due in-part to the fact that the method estimates population-average effects.</w:t>
      </w:r>
    </w:p>
    <w:p>
      <w:pPr>
        <w:pStyle w:val="Heading1"/>
      </w:pPr>
      <w:bookmarkStart w:id="21" w:name="references"/>
      <w:r>
        <w:t xml:space="preserve">References</w:t>
      </w:r>
      <w:bookmarkEnd w:id="21"/>
    </w:p>
    <w:bookmarkStart w:id="23" w:name="refs"/>
    <w:bookmarkStart w:id="22" w:name="ref-fitzmaurice2012applied"/>
    <w:p>
      <w:pPr>
        <w:pStyle w:val="Bibliography"/>
      </w:pPr>
      <w:r>
        <w:t xml:space="preserve">1. Fitzmaurice GM, Laird NM, Ware JH (2012) Applied longitudinal analysis, John Wiley &amp; Sons.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2020-04-02T16:31:05Z</dcterms:created>
  <dcterms:modified xsi:type="dcterms:W3CDTF">2020-04-02T16:31:05Z</dcterms:modified>
</cp:coreProperties>
</file>