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of</w:t>
      </w:r>
      <w:r>
        <w:t xml:space="preserve"> </w:t>
      </w:r>
      <w:r>
        <w:t xml:space="preserve">Subject-Clustered</w:t>
      </w:r>
      <w:r>
        <w:t xml:space="preserve"> </w:t>
      </w:r>
      <w:r>
        <w:t xml:space="preserve">Single-Cell</w:t>
      </w:r>
      <w:r>
        <w:t xml:space="preserve"> </w:t>
      </w:r>
      <w:r>
        <w:t xml:space="preserve">Data</w:t>
      </w:r>
    </w:p>
    <w:p>
      <w:pPr>
        <w:pStyle w:val="Subtitle"/>
      </w:pPr>
      <w:r>
        <w:t xml:space="preserve">Lee</w:t>
      </w:r>
      <w:r>
        <w:t xml:space="preserve"> </w:t>
      </w:r>
      <w:r>
        <w:t xml:space="preserve">Panter</w:t>
      </w:r>
    </w:p>
    <w:p>
      <w:pPr>
        <w:pStyle w:val="Author"/>
      </w:pPr>
      <w:r>
        <w:t xml:space="preserve">Audrey</w:t>
      </w:r>
      <w:r>
        <w:t xml:space="preserve"> </w:t>
      </w:r>
      <w:r>
        <w:t xml:space="preserve">Hendricks,</w:t>
      </w:r>
      <w:r>
        <w:t xml:space="preserve"> </w:t>
      </w:r>
      <w:r>
        <w:t xml:space="preserve">PhD-Committee</w:t>
      </w:r>
      <w:r>
        <w:t xml:space="preserve"> </w:t>
      </w:r>
      <w:r>
        <w:t xml:space="preserve">Chair</w:t>
      </w:r>
      <w:r>
        <w:t xml:space="preserve"> </w:t>
      </w:r>
      <w:r>
        <w:t xml:space="preserve">and</w:t>
      </w:r>
      <w:r>
        <w:t xml:space="preserve"> </w:t>
      </w:r>
      <w:r>
        <w:t xml:space="preserve">Advisor</w:t>
      </w:r>
      <w:r>
        <w:rPr>
          <w:rStyle w:val="FootnoteReference"/>
        </w:rPr>
        <w:footnoteReference w:id="20"/>
      </w:r>
    </w:p>
    <w:p>
      <w:pPr>
        <w:pStyle w:val="Author"/>
      </w:pPr>
      <w:r>
        <w:t xml:space="preserve">Stephanie</w:t>
      </w:r>
      <w:r>
        <w:t xml:space="preserve"> </w:t>
      </w:r>
      <w:r>
        <w:t xml:space="preserve">Santorico,</w:t>
      </w:r>
      <w:r>
        <w:t xml:space="preserve"> </w:t>
      </w:r>
      <w:r>
        <w:t xml:space="preserve">PhD-Committee</w:t>
      </w:r>
      <w:r>
        <w:t xml:space="preserve"> </w:t>
      </w:r>
      <w:r>
        <w:t xml:space="preserve">Member</w:t>
      </w:r>
      <w:r>
        <w:rPr>
          <w:rStyle w:val="FootnoteReference"/>
        </w:rPr>
        <w:footnoteReference w:id="21"/>
      </w:r>
    </w:p>
    <w:p>
      <w:pPr>
        <w:pStyle w:val="Author"/>
      </w:pPr>
      <w:r>
        <w:t xml:space="preserve">Rhonda</w:t>
      </w:r>
      <w:r>
        <w:t xml:space="preserve"> </w:t>
      </w:r>
      <w:r>
        <w:t xml:space="preserve">Bacher,</w:t>
      </w:r>
      <w:r>
        <w:t xml:space="preserve"> </w:t>
      </w:r>
      <w:r>
        <w:t xml:space="preserve">PhD-Committee</w:t>
      </w:r>
      <w:r>
        <w:t xml:space="preserve"> </w:t>
      </w:r>
      <w:r>
        <w:t xml:space="preserve">Member</w:t>
      </w:r>
      <w:r>
        <w:rPr>
          <w:rStyle w:val="FootnoteReference"/>
        </w:rPr>
        <w:footnoteReference w:id="22"/>
      </w:r>
    </w:p>
    <w:p>
      <w:pPr>
        <w:pStyle w:val="Heading1"/>
      </w:pPr>
      <w:bookmarkStart w:id="23" w:name="abstract"/>
      <w:r>
        <w:t xml:space="preserve">Abstract</w:t>
      </w:r>
      <w:bookmarkEnd w:id="23"/>
    </w:p>
    <w:p>
      <w:pPr>
        <w:pStyle w:val="Heading1"/>
      </w:pPr>
      <w:bookmarkStart w:id="24" w:name="introduction"/>
      <w:r>
        <w:t xml:space="preserve">Introduction</w:t>
      </w:r>
      <w:bookmarkEnd w:id="24"/>
    </w:p>
    <w:p>
      <w:pPr>
        <w:pStyle w:val="FirstParagraph"/>
      </w:pPr>
      <w:r>
        <w:t xml:space="preserve">Traditional methods of sequencing the human transcriptome involve analyzing the combined genetic material of thousands or even millions of cells. These so called</w:t>
      </w:r>
      <w:r>
        <w:t xml:space="preserve"> </w:t>
      </w:r>
      <w:r>
        <w:t xml:space="preserve">“</w:t>
      </w:r>
      <w:r>
        <w:t xml:space="preserve">bulk</w:t>
      </w:r>
      <w:r>
        <w:t xml:space="preserve">”</w:t>
      </w:r>
      <w:r>
        <w:t xml:space="preserve"> </w:t>
      </w:r>
      <w:r>
        <w:t xml:space="preserve">techniques provide information about the average gene expression across the cell sample but often fail to capture the underlying variability in expression profiles within the sample of cells</w:t>
      </w:r>
      <w:r>
        <w:t xml:space="preserve"> </w:t>
      </w:r>
      <w:r>
        <w:t xml:space="preserve">[1]</w:t>
      </w:r>
      <w:r>
        <w:t xml:space="preserve">.</w:t>
      </w:r>
    </w:p>
    <w:p>
      <w:pPr>
        <w:pStyle w:val="BodyText"/>
      </w:pPr>
      <w:r>
        <w:t xml:space="preserve">The techniques used for single-cell analysis and the information obtained from these analyses do not suffer from the same inability to estimate expression profile variation within a sample of cells as traditional</w:t>
      </w:r>
      <w:r>
        <w:t xml:space="preserve"> </w:t>
      </w:r>
      <w:r>
        <w:t xml:space="preserve">“</w:t>
      </w:r>
      <w:r>
        <w:t xml:space="preserve">bulk</w:t>
      </w:r>
      <w:r>
        <w:t xml:space="preserve">”</w:t>
      </w:r>
      <w:r>
        <w:t xml:space="preserve"> </w:t>
      </w:r>
      <w:r>
        <w:t xml:space="preserve">techniques. The sampling methods employed for single-cell RNA sequencing (scRNA-seq) data acquisition obtain measurements of transcriptomic information specific to individual cells. Hundreds or even thousands of RNA-sequencing profile measurements, each specific to a single-cell, can be used to estimate expression variability across the cells within the sample. This feature of single-cell data analysis is suited for research applications that seek to identify rare cellular subpopulations or characterize expressions that are differentially expressed across conditions</w:t>
      </w:r>
      <w:r>
        <w:t xml:space="preserve"> </w:t>
      </w:r>
      <w:r>
        <w:t xml:space="preserve">[2]</w:t>
      </w:r>
      <w:r>
        <w:t xml:space="preserve">. Additionally, technological developments have made generating single-cell data more cost effective, and easier to obtain on multiple sample-sources, most notably on multiple individuals.</w:t>
      </w:r>
    </w:p>
    <w:p>
      <w:pPr>
        <w:pStyle w:val="BodyText"/>
      </w:pPr>
      <w:r>
        <w:t xml:space="preserve">The utility of single-cell data, and the feasibility of single-cell data measurements across multiple subjects motivates a need to compare methods that can adequately model single-cell data while accounting for the correlation of repeated measures within subjects (many single-cell observations within each subject).</w:t>
      </w:r>
    </w:p>
    <w:p>
      <w:pPr>
        <w:pStyle w:val="BodyText"/>
      </w:pPr>
      <w:r>
        <w:t xml:space="preserve">Here, I compare five methods for modeling scRNA-seq expression profiles that account for within-subject correlation: linear modeling (LM), linear modeling with subjects as fixed effects (LM-FE), linear mixed effects models with subjects as random intercepts (LMM-RI) and random slopes (LMM-RS), and generalized estimating equations. I will present the framework for each method in the context of a generalized predictor-response pairing. Then I will assess each model’s estimate of the fixed effect slope parameter for stability across modeling approach using subject-correlated single-cell data from a study of 27 Lupus Nephritis cases. We will also evaluate standard errors and test statistics for this parameter.</w:t>
      </w:r>
    </w:p>
    <w:p>
      <w:pPr>
        <w:pStyle w:val="Heading1"/>
      </w:pPr>
      <w:bookmarkStart w:id="25" w:name="description-of-motivating-example"/>
      <w:r>
        <w:t xml:space="preserve">Description of Motivating Example</w:t>
      </w:r>
      <w:bookmarkEnd w:id="25"/>
    </w:p>
    <w:p>
      <w:pPr>
        <w:pStyle w:val="FirstParagraph"/>
      </w:pPr>
      <w:r>
        <w:t xml:space="preserve">Throughout this paper references are made to the 2018 article entitled</w:t>
      </w:r>
      <w:r>
        <w:t xml:space="preserve"> </w:t>
      </w:r>
      <w:r>
        <w:t xml:space="preserve">“</w:t>
      </w:r>
      <w:r>
        <w:t xml:space="preserve">The immune cell landscape in kidneys with lupus nephritis patients</w:t>
      </w:r>
      <w:r>
        <w:t xml:space="preserve">”</w:t>
      </w:r>
      <w:r>
        <w:t xml:space="preserve">, in which Arazi, Rao, Berthier, et al. compare single-cell kidney tissue sample data from 45 Lupus Nephritis subjects vs. 25 population controls</w:t>
      </w:r>
      <w:r>
        <w:t xml:space="preserve"> </w:t>
      </w:r>
      <w:r>
        <w:t xml:space="preserve">[3]</w:t>
      </w:r>
      <w:r>
        <w:t xml:space="preserve">. The kidney tissue samples were collected from ten clinical sites across the United States, cryogenically frozen, then shipped to a central processing facility. At the central processing facility, the tissue samples were then thawed, and sorted into single-cell suspension across 384-well plates using FlowJo 10.0.7, 11-color flow cytometry</w:t>
      </w:r>
      <w:r>
        <w:t xml:space="preserve"> </w:t>
      </w:r>
      <w:r>
        <w:t xml:space="preserve">[4]</w:t>
      </w:r>
      <w:r>
        <w:t xml:space="preserve">. Single-cell RNA sequencing was performed using a modified CEL-Seq2 method</w:t>
      </w:r>
      <w:r>
        <w:t xml:space="preserve"> </w:t>
      </w:r>
      <w:r>
        <w:t xml:space="preserve">[5]</w:t>
      </w:r>
      <w:r>
        <w:t xml:space="preserve"> </w:t>
      </w:r>
      <w:r>
        <w:t xml:space="preserve">with</w:t>
      </w:r>
      <w:r>
        <w:t xml:space="preserve"> </w:t>
      </w:r>
      <m:oMath>
        <m:r>
          <m:t>∼</m:t>
        </m:r>
      </m:oMath>
      <w:r>
        <w:t xml:space="preserve"> </w:t>
      </w:r>
      <w:r>
        <w:t xml:space="preserve">1 million paired-end reads per cell. The original experimental data may be accessed by visiting the Immport repository with accession code SDY997.</w:t>
      </w:r>
      <w:r>
        <w:t xml:space="preserve"> </w:t>
      </w:r>
      <w:hyperlink r:id="rId26">
        <w:r>
          <w:rPr>
            <w:rStyle w:val="Hyperlink"/>
          </w:rPr>
          <w:t xml:space="preserve">Immport-SDY997: https://www.immport.org/shared/study/SDY997</w:t>
        </w:r>
      </w:hyperlink>
    </w:p>
    <w:p>
      <w:pPr>
        <w:pStyle w:val="Heading2"/>
      </w:pPr>
      <w:bookmarkStart w:id="27" w:name="data-quality-control"/>
      <w:r>
        <w:t xml:space="preserve">Data Quality Control</w:t>
      </w:r>
      <w:bookmarkEnd w:id="27"/>
    </w:p>
    <w:p>
      <w:pPr>
        <w:pStyle w:val="FirstParagraph"/>
      </w:pPr>
      <w:r>
        <w:t xml:space="preserve">I use the Seurat Guided Clustering Tutorial</w:t>
      </w:r>
      <w:r>
        <w:t xml:space="preserve"> </w:t>
      </w:r>
      <w:r>
        <w:t xml:space="preserve">[6]</w:t>
      </w:r>
      <w:r>
        <w:t xml:space="preserve"> </w:t>
      </w:r>
      <w:r>
        <w:t xml:space="preserve">to perform quality control (QC) of the initial data. This process quantifies the quality of each single-cell observation in two numerical measures (based upon two calculated variables,</w:t>
      </w:r>
      <w:r>
        <w:t xml:space="preserve"> </w:t>
      </w:r>
      <m:oMath>
        <m:r>
          <m:rPr>
            <m:sty m:val="b"/>
          </m:rPr>
          <m:t>n</m:t>
        </m:r>
        <m:r>
          <m:rPr>
            <m:sty m:val="b"/>
          </m:rPr>
          <m:t>F</m:t>
        </m:r>
        <m:r>
          <m:rPr>
            <m:sty m:val="b"/>
          </m:rPr>
          <m:t>e</m:t>
        </m:r>
        <m:r>
          <m:rPr>
            <m:sty m:val="b"/>
          </m:rPr>
          <m:t>a</m:t>
        </m:r>
        <m:r>
          <m:rPr>
            <m:sty m:val="b"/>
          </m:rPr>
          <m:t>t</m:t>
        </m:r>
        <m:r>
          <m:rPr>
            <m:sty m:val="b"/>
          </m:rPr>
          <m:t>u</m:t>
        </m:r>
        <m:r>
          <m:rPr>
            <m:sty m:val="b"/>
          </m:rPr>
          <m:t>r</m:t>
        </m:r>
        <m:r>
          <m:rPr>
            <m:sty m:val="b"/>
          </m:rPr>
          <m:t>e</m:t>
        </m:r>
      </m:oMath>
      <w:r>
        <w:t xml:space="preserve"> </w:t>
      </w:r>
      <w:r>
        <w:t xml:space="preserve">and</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Threshold values of these variables are chosen and used to filter cells (observations) not meeting the chosen criteria. The Seurat tutorial provides methods of automated calculation and filtering implemented by Arazi, Rao, Berthier, et al. in</w:t>
      </w:r>
      <w:r>
        <w:t xml:space="preserve"> </w:t>
      </w:r>
      <w:r>
        <w:t xml:space="preserve">[3]</w:t>
      </w:r>
      <w:r>
        <w:t xml:space="preserve">. Identical variable calculations, with alternative threshold settings are independently implemented for this study.</w:t>
      </w:r>
    </w:p>
    <w:p>
      <w:pPr>
        <w:pStyle w:val="BodyText"/>
      </w:pPr>
      <w:r>
        <w:t xml:space="preserve">The quality control variables are conceptually defined as:</w:t>
      </w:r>
    </w:p>
    <w:p>
      <w:pPr>
        <w:pStyle w:val="Compact"/>
        <w:numPr>
          <w:numId w:val="1001"/>
          <w:ilvl w:val="0"/>
        </w:numPr>
      </w:pPr>
      <w:r>
        <w:t xml:space="preserve"> </w:t>
      </w:r>
      <w:r>
        <w:t xml:space="preserve">is the number of unique genes detected to have a non-zero expression in each cell. This is used to identify cells with an abnormally low or high number of expressed genes. Low numbers may result from empty wells (zero content measurements) or broken (partial) cells, while high numbers may result from observations of more than one cell.</w:t>
      </w:r>
    </w:p>
    <w:p>
      <w:pPr>
        <w:pStyle w:val="Compact"/>
        <w:numPr>
          <w:numId w:val="1001"/>
          <w:ilvl w:val="0"/>
        </w:numPr>
      </w:pPr>
      <w:r>
        <w:t xml:space="preserve"> </w:t>
      </w:r>
      <w:r>
        <w:t xml:space="preserve">is the percentage of reads that map to the mitochondrial genome. This is used to identify dead and/or broken cells as dead or dying cells will retain RNAs in mitochondria, but lose cytoplasmic RNA</w:t>
      </w:r>
      <w:r>
        <w:t xml:space="preserve"> </w:t>
      </w:r>
      <w:r>
        <w:t xml:space="preserve">[2]</w:t>
      </w:r>
      <w:r>
        <w:t xml:space="preserve">.</w:t>
      </w:r>
    </w:p>
    <w:p>
      <w:pPr>
        <w:pStyle w:val="FirstParagraph"/>
      </w:pPr>
      <w:r>
        <w:t xml:space="preserve">The pre-QC distribution of</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w:t>
      </w:r>
      <w:r>
        <w:t xml:space="preserve">for each subject is displayed in (</w:t>
      </w:r>
      <w:r>
        <w:t xml:space="preserve">) below:</w:t>
      </w:r>
    </w:p>
    <w:p>
      <w:pPr>
        <w:pStyle w:val="BodyText"/>
      </w:pPr>
      <w:r>
        <w:t xml:space="preserve">The QC measure thresholds employed by Arazi, Rao, Berthier, et al. in</w:t>
      </w:r>
      <w:r>
        <w:t xml:space="preserve"> </w:t>
      </w:r>
      <w:r>
        <w:t xml:space="preserve">[3]</w:t>
      </w:r>
      <w:r>
        <w:t xml:space="preserve"> </w:t>
      </w:r>
      <w:r>
        <w:t xml:space="preserve">are:</w:t>
      </w:r>
    </w:p>
    <w:p>
      <w:pPr>
        <w:pStyle w:val="Compact"/>
        <w:numPr>
          <w:numId w:val="1002"/>
          <w:ilvl w:val="0"/>
        </w:numPr>
      </w:pPr>
      <m:oMath>
        <m:r>
          <m:t>1</m:t>
        </m:r>
        <m:r>
          <m:t>,</m:t>
        </m:r>
        <m:r>
          <m:t>000</m:t>
        </m:r>
        <m:r>
          <m:t>&lt;</m:t>
        </m:r>
        <m:r>
          <m:rPr>
            <m:sty m:val="b"/>
          </m:rPr>
          <m:t>n</m:t>
        </m:r>
        <m:r>
          <m:rPr>
            <m:sty m:val="b"/>
          </m:rPr>
          <m:t>F</m:t>
        </m:r>
        <m:r>
          <m:rPr>
            <m:sty m:val="b"/>
          </m:rPr>
          <m:t>e</m:t>
        </m:r>
        <m:r>
          <m:rPr>
            <m:sty m:val="b"/>
          </m:rPr>
          <m:t>a</m:t>
        </m:r>
        <m:r>
          <m:rPr>
            <m:sty m:val="b"/>
          </m:rPr>
          <m:t>t</m:t>
        </m:r>
        <m:r>
          <m:rPr>
            <m:sty m:val="b"/>
          </m:rPr>
          <m:t>u</m:t>
        </m:r>
        <m:r>
          <m:rPr>
            <m:sty m:val="b"/>
          </m:rPr>
          <m:t>r</m:t>
        </m:r>
        <m:r>
          <m:rPr>
            <m:sty m:val="b"/>
          </m:rPr>
          <m:t>e</m:t>
        </m:r>
        <m:r>
          <m:t>&lt;</m:t>
        </m:r>
        <m:r>
          <m:t>5</m:t>
        </m:r>
        <m:r>
          <m:t>,</m:t>
        </m:r>
        <m:r>
          <m:t>000</m:t>
        </m:r>
      </m:oMath>
    </w:p>
    <w:p>
      <w:pPr>
        <w:pStyle w:val="Compact"/>
        <w:numPr>
          <w:numId w:val="1002"/>
          <w:ilvl w:val="0"/>
        </w:numPr>
      </w:pPr>
      <m:oMath>
        <m:r>
          <m:rPr>
            <m:sty m:val="b"/>
          </m:rPr>
          <m:t>P</m:t>
        </m:r>
        <m:r>
          <m:rPr>
            <m:sty m:val="b"/>
          </m:rPr>
          <m:t>e</m:t>
        </m:r>
        <m:r>
          <m:rPr>
            <m:sty m:val="b"/>
          </m:rPr>
          <m:t>r</m:t>
        </m:r>
        <m:r>
          <m:rPr>
            <m:sty m:val="b"/>
          </m:rPr>
          <m:t>c</m:t>
        </m:r>
        <m:r>
          <m:rPr>
            <m:sty m:val="b"/>
          </m:rPr>
          <m:t>t</m:t>
        </m:r>
        <m:r>
          <m:rPr>
            <m:sty m:val="b"/>
          </m:rPr>
          <m:t>M</m:t>
        </m:r>
        <m:r>
          <m:rPr>
            <m:sty m:val="b"/>
          </m:rPr>
          <m:t>T</m:t>
        </m:r>
        <m:r>
          <m:t>≤</m:t>
        </m:r>
        <m:r>
          <m:t>25</m:t>
        </m:r>
        <m:r>
          <m:t>%</m:t>
        </m:r>
      </m:oMath>
    </w:p>
    <w:p>
      <w:pPr>
        <w:pStyle w:val="FirstParagraph"/>
      </w:pPr>
      <w:r>
        <w:t xml:space="preserve">All observations for which the calculated values of</w:t>
      </w:r>
      <w:r>
        <w:t xml:space="preserve"> </w:t>
      </w:r>
      <m:oMath>
        <m:r>
          <m:rPr>
            <m:sty m:val="b"/>
          </m:rPr>
          <m:t>n</m:t>
        </m:r>
        <m:r>
          <m:rPr>
            <m:sty m:val="b"/>
          </m:rPr>
          <m:t>F</m:t>
        </m:r>
        <m:r>
          <m:rPr>
            <m:sty m:val="b"/>
          </m:rPr>
          <m:t>e</m:t>
        </m:r>
        <m:r>
          <m:rPr>
            <m:sty m:val="b"/>
          </m:rPr>
          <m:t>a</m:t>
        </m:r>
        <m:r>
          <m:rPr>
            <m:sty m:val="b"/>
          </m:rPr>
          <m:t>t</m:t>
        </m:r>
        <m:r>
          <m:rPr>
            <m:sty m:val="b"/>
          </m:rPr>
          <m:t>u</m:t>
        </m:r>
        <m:r>
          <m:rPr>
            <m:sty m:val="b"/>
          </m:rPr>
          <m:t>r</m:t>
        </m:r>
        <m:r>
          <m:rPr>
            <m:sty m:val="b"/>
          </m:rPr>
          <m:t>e</m:t>
        </m:r>
      </m:oMath>
      <w:r>
        <w:t xml:space="preserve"> </w:t>
      </w:r>
      <w:r>
        <w:t xml:space="preserve">and</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w:t>
      </w:r>
      <w:r>
        <w:t xml:space="preserve">satisfied the inequalities in (1) and (2) above were kept, and the others were considered</w:t>
      </w:r>
      <w:r>
        <w:t xml:space="preserve"> </w:t>
      </w:r>
      <w:r>
        <w:t xml:space="preserve">“</w:t>
      </w:r>
      <w:r>
        <w:t xml:space="preserve">low-quality</w:t>
      </w:r>
      <w:r>
        <w:t xml:space="preserve">”</w:t>
      </w:r>
      <w:r>
        <w:t xml:space="preserve"> </w:t>
      </w:r>
      <w:r>
        <w:t xml:space="preserve">and removed. The resulting distribution of the</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w:t>
      </w:r>
      <w:r>
        <w:t xml:space="preserve">variable is displayed in (</w:t>
      </w:r>
      <w:r>
        <w:t xml:space="preserve">):</w:t>
      </w:r>
    </w:p>
    <w:p>
      <w:pPr>
        <w:pStyle w:val="BodyText"/>
      </w:pPr>
      <w:r>
        <w:t xml:space="preserve">As 84% of cells as removed with the filters chosen by Arazi et al, I choose a more lenient threshold, removing observations with</w:t>
      </w:r>
      <w:r>
        <w:t xml:space="preserve"> </w:t>
      </w:r>
      <m:oMath>
        <m:r>
          <m:rPr>
            <m:sty m:val="b"/>
          </m:rPr>
          <m:t>P</m:t>
        </m:r>
        <m:r>
          <m:rPr>
            <m:sty m:val="b"/>
          </m:rPr>
          <m:t>e</m:t>
        </m:r>
        <m:r>
          <m:rPr>
            <m:sty m:val="b"/>
          </m:rPr>
          <m:t>r</m:t>
        </m:r>
        <m:r>
          <m:rPr>
            <m:sty m:val="b"/>
          </m:rPr>
          <m:t>c</m:t>
        </m:r>
        <m:r>
          <m:rPr>
            <m:sty m:val="b"/>
          </m:rPr>
          <m:t>t</m:t>
        </m:r>
        <m:r>
          <m:rPr>
            <m:sty m:val="b"/>
          </m:rPr>
          <m:t>M</m:t>
        </m:r>
        <m:r>
          <m:rPr>
            <m:sty m:val="b"/>
          </m:rPr>
          <m:t>T</m:t>
        </m:r>
        <m:r>
          <m:t>≤</m:t>
        </m:r>
        <m:r>
          <m:t>60</m:t>
        </m:r>
        <m:r>
          <m:t>%</m:t>
        </m:r>
      </m:oMath>
      <w:r>
        <w:t xml:space="preserve">, in an effort to keep more cells.</w:t>
      </w:r>
    </w:p>
    <w:p>
      <w:pPr>
        <w:pStyle w:val="BodyText"/>
      </w:pPr>
      <w:r>
        <w:t xml:space="preserve">An additional restriction of the data to only B-cells is made in an effort to regularize the data sample (i.e. homogenize feature expression). The resulting distribution of</w:t>
      </w:r>
      <w:r>
        <w:t xml:space="preserve"> </w:t>
      </w:r>
      <m:oMath>
        <m:r>
          <m:rPr>
            <m:sty m:val="b"/>
          </m:rPr>
          <m:t>P</m:t>
        </m:r>
        <m:r>
          <m:rPr>
            <m:sty m:val="b"/>
          </m:rPr>
          <m:t>e</m:t>
        </m:r>
        <m:r>
          <m:rPr>
            <m:sty m:val="b"/>
          </m:rPr>
          <m:t>r</m:t>
        </m:r>
        <m:r>
          <m:rPr>
            <m:sty m:val="b"/>
          </m:rPr>
          <m:t>c</m:t>
        </m:r>
        <m:r>
          <m:rPr>
            <m:sty m:val="b"/>
          </m:rPr>
          <m:t>t</m:t>
        </m:r>
        <m:r>
          <m:rPr>
            <m:sty m:val="b"/>
          </m:rPr>
          <m:t>M</m:t>
        </m:r>
        <m:r>
          <m:rPr>
            <m:sty m:val="b"/>
          </m:rPr>
          <m:t>T</m:t>
        </m:r>
      </m:oMath>
      <w:r>
        <w:t xml:space="preserve"> </w:t>
      </w:r>
      <w:r>
        <w:t xml:space="preserve">is displayed in (</w:t>
      </w:r>
      <w:r>
        <w:t xml:space="preserve">) after filtering.</w:t>
      </w:r>
    </w:p>
    <w:p>
      <w:pPr>
        <w:pStyle w:val="BodyText"/>
      </w:pPr>
      <w:r>
        <w:t xml:space="preserve">The distribution of observations for each subject Pre/Post QC (with updated</w:t>
      </w:r>
      <w:r>
        <w:t xml:space="preserve"> </w:t>
      </w:r>
      <m:oMath>
        <m:r>
          <m:rPr>
            <m:sty m:val="b"/>
          </m:rPr>
          <m:t>P</m:t>
        </m:r>
        <m:r>
          <m:rPr>
            <m:sty m:val="b"/>
          </m:rPr>
          <m:t>e</m:t>
        </m:r>
        <m:r>
          <m:rPr>
            <m:sty m:val="b"/>
          </m:rPr>
          <m:t>r</m:t>
        </m:r>
        <m:r>
          <m:rPr>
            <m:sty m:val="b"/>
          </m:rPr>
          <m:t>c</m:t>
        </m:r>
        <m:r>
          <m:rPr>
            <m:sty m:val="b"/>
          </m:rPr>
          <m:t>t</m:t>
        </m:r>
        <m:r>
          <m:rPr>
            <m:sty m:val="b"/>
          </m:rPr>
          <m:t>M</m:t>
        </m:r>
        <m:r>
          <m:rPr>
            <m:sty m:val="b"/>
          </m:rPr>
          <m:t>T</m:t>
        </m:r>
        <m:r>
          <m:t>≤</m:t>
        </m:r>
        <m:r>
          <m:t>60</m:t>
        </m:r>
        <m:r>
          <m:t>%</m:t>
        </m:r>
      </m:oMath>
      <w:r>
        <w:t xml:space="preserve"> </w:t>
      </w:r>
      <w:r>
        <w:t xml:space="preserve">threshold value) is shown numerically in (</w:t>
      </w:r>
      <w:r>
        <w:t xml:space="preserve">):</w:t>
      </w:r>
    </w:p>
    <w:p>
      <w:pPr>
        <w:pStyle w:val="Heading2"/>
      </w:pPr>
      <w:bookmarkStart w:id="28" w:name="variable-selection-and-summaries"/>
      <w:r>
        <w:t xml:space="preserve">Variable Selection and Summaries</w:t>
      </w:r>
      <w:bookmarkEnd w:id="28"/>
    </w:p>
    <w:p>
      <w:pPr>
        <w:pStyle w:val="FirstParagraph"/>
      </w:pPr>
      <w:r>
        <w:t xml:space="preserve">I select two pairs of variables from the 38,354 genetic markers in the Lupus Data to compare across the five modeling methods. The variables I choose have higher values of correlation than arbitrary variable pairings as indicated by a high Pearson Correlation Coefficient (both selected pairings are within the top 10% of highest Pearson Correlation Coefficients of all possible pairings), and have previously been associated with human diseases or conditions (e.g. cancer treatment research in the case of MALAT1</w:t>
      </w:r>
      <w:r>
        <w:t xml:space="preserve"> </w:t>
      </w:r>
      <w:r>
        <w:t xml:space="preserve">[7]</w:t>
      </w:r>
      <w:r>
        <w:t xml:space="preserve">-used as the first outcome, or observed limb malformations in the case of FBLN1</w:t>
      </w:r>
      <w:r>
        <w:t xml:space="preserve"> </w:t>
      </w:r>
      <w:r>
        <w:t xml:space="preserve">[8]</w:t>
      </w:r>
      <w:r>
        <w:t xml:space="preserve">-used as the second outcome). I also attempt to assign predictor-pairings of interest. The CD19 marker (the predictor paired with MALAT1) is a transmembrane protein encoded by the CD19 gene. The FlowJo cytometry measurements contain CD19 protein readings, so the relationship between CD19 as a predictor and the outcome of interest (MALAT1) can be modeled using proteomic or transcriptomics data. CD34, the predictor which we link with FBLN1 is also a transmembrane protein encoded by a gene, and similarly interesting.</w:t>
      </w:r>
    </w:p>
    <w:p>
      <w:pPr>
        <w:pStyle w:val="BodyText"/>
      </w:pPr>
      <w:r>
        <w:t xml:space="preserve">Without undergoing the process of expression normalization, single-cell RNA sequencing data is represented as non-negative integer count values. Higher counts correspond to higher detection frequencies and these detection frequencies can be interpreted as a quantification of the magnitude of expression for a transcriptomic marker (e.g CD19, CD34, MALAT1, FBLN1).</w:t>
      </w:r>
    </w:p>
    <w:p>
      <w:pPr>
        <w:pStyle w:val="BodyText"/>
      </w:pPr>
      <w:r>
        <w:t xml:space="preserve">I provide numerical summaries of the four selected variables in Appendix</w:t>
      </w:r>
      <w:r>
        <w:t xml:space="preserve"> </w:t>
      </w:r>
      <w:r>
        <w:t xml:space="preserve">. Each describes selected variable summary statistics (minimum, maximum, average, and median) for the positive observational count subjects in (</w:t>
      </w:r>
      <w:r>
        <w:t xml:space="preserve">).</w:t>
      </w:r>
    </w:p>
    <w:p>
      <w:pPr>
        <w:pStyle w:val="BodyText"/>
      </w:pPr>
      <w:r>
        <w:t xml:space="preserve">Measurements of scRNA-seq data are specific to precise transcriptomic targets. This means that single-cell expression profiles (a single observation) can be limited to a small transcriptomic scope. So while the agglomerated scope of gene expression across a sample is the same as (or broader than) a traditional bulk experiment, individual observations have a biologically inflated zero-component. There are also</w:t>
      </w:r>
      <w:r>
        <w:t xml:space="preserve"> </w:t>
      </w:r>
      <w:r>
        <w:t xml:space="preserve"> </w:t>
      </w:r>
      <w:r>
        <w:t xml:space="preserve">zero-inflation components that are associated with protocol variations, and measurement error. Together, these factors contribute to right-skewed variable distributions (</w:t>
      </w:r>
      <w:r>
        <w:t xml:space="preserve">)</w:t>
      </w:r>
    </w:p>
    <w:p>
      <w:pPr>
        <w:pStyle w:val="BodyText"/>
      </w:pPr>
      <w:r>
        <w:t xml:space="preserve">The MALAT1 variable has a large minimum outcome compared to the other variables, so I translate all the values of this variable</w:t>
      </w:r>
      <w:r>
        <w:t xml:space="preserve"> </w:t>
      </w:r>
      <w:r>
        <w:t xml:space="preserve"> </w:t>
      </w:r>
      <w:r>
        <w:t xml:space="preserve">by the minimum value.</w:t>
      </w:r>
    </w:p>
    <w:p>
      <w:pPr>
        <w:pStyle w:val="BodyText"/>
      </w:pPr>
      <m:oMathPara>
        <m:oMathParaPr>
          <m:jc m:val="center"/>
        </m:oMathParaPr>
        <m:oMath>
          <m:r>
            <m:t>m</m:t>
          </m:r>
          <m:r>
            <m:t>i</m:t>
          </m:r>
          <m:r>
            <m:t>n</m:t>
          </m:r>
          <m:r>
            <m:t>(</m:t>
          </m:r>
          <m:r>
            <m:rPr>
              <m:sty m:val="p"/>
            </m:rPr>
            <m:t>MALAT1</m:t>
          </m:r>
          <m:r>
            <m:t>)</m:t>
          </m:r>
          <m:r>
            <m:t>=</m:t>
          </m:r>
          <m:r>
            <m:t>67</m:t>
          </m:r>
        </m:oMath>
      </m:oMathPara>
    </w:p>
    <w:p>
      <w:pPr>
        <w:pStyle w:val="FirstParagraph"/>
      </w:pPr>
      <w:r>
        <w:t xml:space="preserve">This gives a minimum expression value of zero, which coincides with intuition as well as the minimum value of the other variables under investigation.</w:t>
      </w:r>
    </w:p>
    <w:p>
      <w:pPr>
        <w:pStyle w:val="BodyText"/>
      </w:pPr>
      <w:r>
        <w:t xml:space="preserve">The modeling methodologies I employ motivate a log-transformation in an attempt to achieve approximate normality, especially for the outcome variable’s distribution. I perform the</w:t>
      </w:r>
      <w:r>
        <w:t xml:space="preserve"> </w:t>
      </w:r>
      <w:r>
        <w:t xml:space="preserve">“</w:t>
      </w:r>
      <w:r>
        <w:t xml:space="preserve">log plus +1</w:t>
      </w:r>
      <w:r>
        <w:t xml:space="preserve">”</w:t>
      </w:r>
      <w:r>
        <w:t xml:space="preserve"> </w:t>
      </w:r>
      <w:r>
        <w:t xml:space="preserve">transformation on all variables (predictor and outcome):</w:t>
      </w:r>
    </w:p>
    <w:p>
      <w:pPr>
        <w:pStyle w:val="BodyText"/>
      </w:pPr>
      <m:oMathPara>
        <m:oMathParaPr>
          <m:jc m:val="center"/>
        </m:oMathParaPr>
        <m:oMath>
          <m:r>
            <m:t>X</m:t>
          </m:r>
          <m:r>
            <m:t>↦</m:t>
          </m:r>
          <m:r>
            <m:rPr>
              <m:sty m:val="p"/>
            </m:rPr>
            <m:t>log</m:t>
          </m:r>
          <m:d>
            <m:dPr>
              <m:begChr m:val="("/>
              <m:endChr m:val=")"/>
              <m:grow/>
            </m:dPr>
            <m:e>
              <m:r>
                <m:t>X</m:t>
              </m:r>
              <m:r>
                <m:t>+</m:t>
              </m:r>
              <m:r>
                <m:t>1</m:t>
              </m:r>
            </m:e>
          </m:d>
        </m:oMath>
      </m:oMathPara>
    </w:p>
    <w:p>
      <w:pPr>
        <w:pStyle w:val="FirstParagraph"/>
      </w:pPr>
      <w:r>
        <w:t xml:space="preserve">The resulting distributions are shown in (</w:t>
      </w:r>
      <w:r>
        <w:t xml:space="preserve">)</w:t>
      </w:r>
    </w:p>
    <w:p>
      <w:pPr>
        <w:pStyle w:val="BodyText"/>
      </w:pPr>
      <w:r>
        <w:t xml:space="preserve">The log-transformed response of MALAT1 is approximately normally distributed; however, the log-transformed response FBLN1 is not inherently better than the un-transformed response.</w:t>
      </w:r>
    </w:p>
    <w:p>
      <w:pPr>
        <w:pStyle w:val="BodyText"/>
      </w:pPr>
      <w:r>
        <w:t xml:space="preserve">Regardless, each outcome is modeled under the assumption that: compensating for observational correlation will sufficiently account for non-normality of the responses. It may be the case that additional transformations and/or alternative modeling techniques may be needed to improve model error distributions. However, for the purpose of comparing the previously mentioned models on subject-correlated single-cell data, I proceed with this assumption and I verify residual homoscedasticity, normality and independence using fitted vs residual plots and quantile-quantile plots.</w:t>
      </w:r>
    </w:p>
    <w:p>
      <w:pPr>
        <w:pStyle w:val="Heading1"/>
      </w:pPr>
      <w:bookmarkStart w:id="29" w:name="model-descriptions"/>
      <w:r>
        <w:t xml:space="preserve">Model Descriptions</w:t>
      </w:r>
      <w:bookmarkEnd w:id="29"/>
    </w:p>
    <w:p>
      <w:pPr>
        <w:pStyle w:val="FirstParagraph"/>
      </w:pPr>
      <w:r>
        <w:t xml:space="preserve">In the following sections a description is provided for each modeling approach using a framework that is generalizable to arbitrary predictor-response pairings of the form:</w:t>
      </w:r>
    </w:p>
    <w:p>
      <w:pPr>
        <w:pStyle w:val="BodyText"/>
      </w:pPr>
      <m:oMathPara>
        <m:oMathParaPr>
          <m:jc m:val="center"/>
        </m:oMathParaPr>
        <m:oMath>
          <m:d>
            <m:dPr>
              <m:begChr m:val="("/>
              <m:endChr m:val=")"/>
              <m:grow/>
            </m:dPr>
            <m:e>
              <m:sSub>
                <m:e>
                  <m:r>
                    <m:t>X</m:t>
                  </m:r>
                </m:e>
                <m:sub>
                  <m:r>
                    <m:t>i</m:t>
                  </m:r>
                  <m:r>
                    <m:t>j</m:t>
                  </m:r>
                </m:sub>
              </m:sSub>
              <m:r>
                <m:t>,</m:t>
              </m:r>
              <m:sSub>
                <m:e>
                  <m:r>
                    <m:t>Y</m:t>
                  </m:r>
                </m:e>
                <m:sub>
                  <m:r>
                    <m:t>i</m:t>
                  </m:r>
                  <m:r>
                    <m:t>j</m:t>
                  </m:r>
                </m:sub>
              </m:sSub>
            </m:e>
          </m:d>
          <m:r>
            <m:t> </m:t>
          </m:r>
          <m:r>
            <m:rPr>
              <m:sty m:val="p"/>
            </m:rPr>
            <m:t>for</m:t>
          </m:r>
          <m:r>
            <m:t> </m:t>
          </m:r>
          <m:r>
            <m:t> </m:t>
          </m:r>
          <m:r>
            <m:t>i</m:t>
          </m:r>
          <m:r>
            <m:t>=</m:t>
          </m:r>
          <m:r>
            <m:t>1</m:t>
          </m:r>
          <m:r>
            <m:t>,</m:t>
          </m:r>
          <m:r>
            <m:t>…</m:t>
          </m:r>
          <m:r>
            <m:t>,</m:t>
          </m:r>
          <m:r>
            <m:t>N</m:t>
          </m:r>
          <m:r>
            <m:t> </m:t>
          </m:r>
          <m:r>
            <m:t>j</m:t>
          </m:r>
          <m:r>
            <m:t>=</m:t>
          </m:r>
          <m:r>
            <m:t>1</m:t>
          </m:r>
          <m:r>
            <m:t>,</m:t>
          </m:r>
          <m:r>
            <m:t>…</m:t>
          </m:r>
          <m:r>
            <m:t>,</m:t>
          </m:r>
          <m:sSub>
            <m:e>
              <m:r>
                <m:t>n</m:t>
              </m:r>
            </m:e>
            <m:sub>
              <m:r>
                <m:t>i</m:t>
              </m:r>
            </m:sub>
          </m:sSub>
        </m:oMath>
      </m:oMathPara>
    </w:p>
    <w:p>
      <w:pPr>
        <w:pStyle w:val="FirstParagraph"/>
      </w:pPr>
      <w:r>
        <w:t xml:space="preserve">where</w:t>
      </w:r>
      <w:r>
        <w:t xml:space="preserve"> </w:t>
      </w:r>
      <m:oMath>
        <m:r>
          <m:t>i</m:t>
        </m:r>
        <m:r>
          <m:t>=</m:t>
        </m:r>
        <m:r>
          <m:t>1</m:t>
        </m:r>
        <m:r>
          <m:t>,</m:t>
        </m:r>
        <m:r>
          <m:t>…</m:t>
        </m:r>
        <m:r>
          <m:t>,</m:t>
        </m:r>
        <m:r>
          <m:t>N</m:t>
        </m:r>
      </m:oMath>
      <w:r>
        <w:t xml:space="preserve"> </w:t>
      </w:r>
      <w:r>
        <w:t xml:space="preserve">represents the observation’s</w:t>
      </w:r>
      <w:r>
        <w:t xml:space="preserve"> </w:t>
      </w:r>
      <w:r>
        <w:t xml:space="preserve"> </w:t>
      </w:r>
      <w:r>
        <w:t xml:space="preserve">(subject from which the measurement was taken), and</w:t>
      </w:r>
      <w:r>
        <w:t xml:space="preserve"> </w:t>
      </w:r>
      <m:oMath>
        <m:r>
          <m:t>j</m:t>
        </m:r>
        <m:r>
          <m:t>=</m:t>
        </m:r>
        <m:r>
          <m:t>1</m:t>
        </m:r>
        <m:r>
          <m:t>,</m:t>
        </m:r>
        <m:r>
          <m:t>…</m:t>
        </m:r>
        <m:r>
          <m:t>,</m:t>
        </m:r>
        <m:sSub>
          <m:e>
            <m:r>
              <m:t>n</m:t>
            </m:r>
          </m:e>
          <m:sub>
            <m:r>
              <m:t>i</m:t>
            </m:r>
          </m:sub>
        </m:sSub>
      </m:oMath>
      <w:r>
        <w:t xml:space="preserve"> </w:t>
      </w:r>
      <w:r>
        <w:t xml:space="preserve">represents the measurement index taken within subject</w:t>
      </w:r>
      <w:r>
        <w:t xml:space="preserve"> </w:t>
      </w:r>
      <m:oMath>
        <m:r>
          <m:t>i</m:t>
        </m:r>
      </m:oMath>
      <w:r>
        <w:t xml:space="preserve"> </w:t>
      </w:r>
      <w:r>
        <w:t xml:space="preserve">(the repeated measure index within each subject).</w:t>
      </w:r>
    </w:p>
    <w:p>
      <w:pPr>
        <w:pStyle w:val="Heading2"/>
      </w:pPr>
      <w:bookmarkStart w:id="30" w:name="linear-model-lm"/>
      <w:r>
        <w:t xml:space="preserve">Linear Model (LM)</w:t>
      </w:r>
      <w:bookmarkEnd w:id="30"/>
    </w:p>
    <w:p>
      <w:pPr>
        <w:pStyle w:val="FirstParagraph"/>
      </w:pPr>
      <w:r>
        <w:t xml:space="preserve">The linear model may be written as: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ϵ</m:t>
              </m:r>
            </m:e>
            <m:sub>
              <m:r>
                <m:t>i</m:t>
              </m:r>
              <m:r>
                <m:t>j</m:t>
              </m:r>
            </m:sub>
          </m:sSub>
        </m:oMath>
      </m:oMathPara>
    </w:p>
    <w:p>
      <w:pPr>
        <w:pStyle w:val="FirstParagraph"/>
      </w:pPr>
      <w:r>
        <w:t xml:space="preserve">It should be noted that this model does not account for correlation structure in the data, and instead assumes observational independence. Additionally, this method generates estimates of parameters that have population average interpretations.</w:t>
      </w:r>
    </w:p>
    <w:p>
      <w:pPr>
        <w:pStyle w:val="BodyText"/>
      </w:pPr>
      <w:r>
        <w:t xml:space="preserve">The error term in the model, represented by</w:t>
      </w:r>
      <w:r>
        <w:t xml:space="preserve"> </w:t>
      </w:r>
      <m:oMath>
        <m:sSub>
          <m:e>
            <m:r>
              <m:t>ϵ</m:t>
            </m:r>
          </m:e>
          <m:sub>
            <m:r>
              <m:t>i</m:t>
            </m:r>
            <m:r>
              <m:t>j</m:t>
            </m:r>
          </m:sub>
        </m:sSub>
      </m:oMath>
      <w:r>
        <w:t xml:space="preserve"> </w:t>
      </w:r>
      <w:r>
        <w:t xml:space="preserve">is assumed to be a normally distributed random variable with mean zero and variance</w:t>
      </w:r>
      <w:r>
        <w:t xml:space="preserve"> </w:t>
      </w:r>
      <m:oMath>
        <m:sSubSup>
          <m:e>
            <m:r>
              <m:t>σ</m:t>
            </m:r>
          </m:e>
          <m:sub>
            <m:r>
              <m:t>ϵ</m:t>
            </m:r>
          </m:sub>
          <m:sup>
            <m:r>
              <m:t>2</m:t>
            </m:r>
          </m:sup>
        </m:sSubSup>
      </m:oMath>
      <w:r>
        <w:t xml:space="preserve">.</w:t>
      </w:r>
    </w:p>
    <w:p>
      <w:pPr>
        <w:pStyle w:val="Heading2"/>
      </w:pPr>
      <w:bookmarkStart w:id="31" w:name="linear-model-with-fixed-effect-intercept-lm-fe"/>
      <w:r>
        <w:t xml:space="preserve">Linear Model with Fixed-Effect Intercept (LM-FE)</w:t>
      </w:r>
      <w:bookmarkEnd w:id="31"/>
    </w:p>
    <w:p>
      <w:pPr>
        <w:pStyle w:val="FirstParagraph"/>
      </w:pPr>
      <w:r>
        <w:t xml:space="preserve">Adding a subject-specific intercept term to the LM model allows for the accounting of</w:t>
      </w:r>
      <w:r>
        <w:t xml:space="preserve"> </w:t>
      </w:r>
      <w:r>
        <w:t xml:space="preserve"> </w:t>
      </w:r>
      <w:r>
        <w:t xml:space="preserve">within-subject correlation by uniformly shifting the mean of the fitted values specific to a subject. This model is written as: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r>
                <m:t>i</m:t>
              </m:r>
            </m:sub>
          </m:sSub>
          <m:r>
            <m:t>(</m:t>
          </m:r>
          <m:r>
            <m:t>s</m:t>
          </m:r>
          <m:r>
            <m:t>u</m:t>
          </m:r>
          <m:r>
            <m:t>b</m:t>
          </m:r>
          <m:r>
            <m:t>j</m:t>
          </m:r>
          <m:r>
            <m:t>e</m:t>
          </m:r>
          <m:r>
            <m:t>c</m:t>
          </m:r>
          <m:sSub>
            <m:e>
              <m:r>
                <m:t>t</m:t>
              </m:r>
            </m:e>
            <m:sub>
              <m:r>
                <m:t>i</m:t>
              </m:r>
            </m:sub>
          </m:sSub>
          <m:r>
            <m:t>)</m:t>
          </m:r>
          <m:r>
            <m:t>+</m:t>
          </m:r>
          <m:sSub>
            <m:e>
              <m:r>
                <m:t>β</m:t>
              </m:r>
            </m:e>
            <m:sub>
              <m:r>
                <m:t>2</m:t>
              </m:r>
            </m:sub>
          </m:sSub>
          <m:sSub>
            <m:e>
              <m:r>
                <m:t>X</m:t>
              </m:r>
            </m:e>
            <m:sub>
              <m:r>
                <m:t>i</m:t>
              </m:r>
              <m:r>
                <m:t>j</m:t>
              </m:r>
            </m:sub>
          </m:sSub>
          <m:r>
            <m:t>+</m:t>
          </m:r>
          <m:sSub>
            <m:e>
              <m:r>
                <m:t>ϵ</m:t>
              </m:r>
            </m:e>
            <m:sub>
              <m:r>
                <m:t>i</m:t>
              </m:r>
              <m:r>
                <m:t>j</m:t>
              </m:r>
            </m:sub>
          </m:sSub>
        </m:oMath>
      </m:oMathPara>
    </w:p>
    <w:p>
      <w:pPr>
        <w:pStyle w:val="FirstParagraph"/>
      </w:pPr>
      <w:r>
        <w:t xml:space="preserve">where</w:t>
      </w:r>
    </w:p>
    <w:p>
      <w:pPr>
        <w:pStyle w:val="BodyText"/>
      </w:pPr>
      <m:oMathPara>
        <m:oMathParaPr>
          <m:jc m:val="center"/>
        </m:oMathParaPr>
        <m:oMath>
          <m:sSub>
            <m:e>
              <m:r>
                <m:t>β</m:t>
              </m:r>
            </m:e>
            <m:sub>
              <m:r>
                <m:t>1</m:t>
              </m:r>
              <m:r>
                <m:t>i</m:t>
              </m:r>
            </m:sub>
          </m:sSub>
          <m:d>
            <m:dPr>
              <m:begChr m:val="("/>
              <m:endChr m:val=")"/>
              <m:grow/>
            </m:dPr>
            <m:e>
              <m:r>
                <m:t>s</m:t>
              </m:r>
              <m:r>
                <m:t>u</m:t>
              </m:r>
              <m:r>
                <m:t>b</m:t>
              </m:r>
              <m:r>
                <m:t>j</m:t>
              </m:r>
              <m:r>
                <m:t>e</m:t>
              </m:r>
              <m:r>
                <m:t>c</m:t>
              </m:r>
              <m:sSub>
                <m:e>
                  <m:r>
                    <m:t>t</m:t>
                  </m:r>
                </m:e>
                <m:sub>
                  <m:r>
                    <m:t>i</m:t>
                  </m:r>
                </m:sub>
              </m:sSub>
            </m:e>
          </m:d>
          <m:r>
            <m:t>=</m:t>
          </m:r>
          <m:d>
            <m:dPr>
              <m:begChr m:val="{"/>
              <m:endChr m:val=""/>
              <m:grow/>
            </m:dPr>
            <m:e>
              <m:m>
                <m:mPr>
                  <m:baseJc m:val="center"/>
                  <m:plcHide m:val="1"/>
                  <m:mcs>
                    <m:mc>
                      <m:mcPr>
                        <m:mcJc m:val="left"/>
                        <m:count m:val="1"/>
                      </m:mcPr>
                    </m:mc>
                    <m:mc>
                      <m:mcPr>
                        <m:mcJc m:val="left"/>
                        <m:count m:val="1"/>
                      </m:mcPr>
                    </m:mc>
                  </m:mcs>
                </m:mPr>
                <m:mr>
                  <m:e>
                    <m:sSub>
                      <m:e>
                        <m:r>
                          <m:t>β</m:t>
                        </m:r>
                      </m:e>
                      <m:sub>
                        <m:r>
                          <m:t>1</m:t>
                        </m:r>
                        <m:r>
                          <m:t>i</m:t>
                        </m:r>
                      </m:sub>
                    </m:sSub>
                  </m:e>
                  <m:e>
                    <m:r>
                      <m:rPr>
                        <m:sty m:val="p"/>
                      </m:rPr>
                      <m:t>if</m:t>
                    </m:r>
                    <m:r>
                      <m:t> </m:t>
                    </m:r>
                    <m:r>
                      <m:t>s</m:t>
                    </m:r>
                    <m:r>
                      <m:t>u</m:t>
                    </m:r>
                    <m:r>
                      <m:t>b</m:t>
                    </m:r>
                    <m:r>
                      <m:t>j</m:t>
                    </m:r>
                    <m:r>
                      <m:t>e</m:t>
                    </m:r>
                    <m:r>
                      <m:t>c</m:t>
                    </m:r>
                    <m:sSub>
                      <m:e>
                        <m:r>
                          <m:t>t</m:t>
                        </m:r>
                      </m:e>
                      <m:sub>
                        <m:r>
                          <m:t>i</m:t>
                        </m:r>
                      </m:sub>
                    </m:sSub>
                    <m:r>
                      <m:t>=</m:t>
                    </m:r>
                    <m:r>
                      <m:t>i</m:t>
                    </m:r>
                    <m:r>
                      <m:t> </m:t>
                    </m:r>
                    <m:r>
                      <m:rPr>
                        <m:sty m:val="p"/>
                      </m:rPr>
                      <m:t>for</m:t>
                    </m:r>
                    <m:r>
                      <m:t> </m:t>
                    </m:r>
                    <m:r>
                      <m:t>i</m:t>
                    </m:r>
                    <m:r>
                      <m:t>=</m:t>
                    </m:r>
                    <m:r>
                      <m:t>2</m:t>
                    </m:r>
                    <m:r>
                      <m:t>,</m:t>
                    </m:r>
                    <m:r>
                      <m:t>…</m:t>
                    </m:r>
                    <m:r>
                      <m:t>,</m:t>
                    </m:r>
                    <m:r>
                      <m:t>N</m:t>
                    </m:r>
                  </m:e>
                </m:mr>
                <m:mr>
                  <m:e>
                    <m:r>
                      <m:t>0</m:t>
                    </m:r>
                  </m:e>
                  <m:e>
                    <m:r>
                      <m:rPr>
                        <m:sty m:val="p"/>
                      </m:rPr>
                      <m:t>if</m:t>
                    </m:r>
                    <m:r>
                      <m:t> </m:t>
                    </m:r>
                    <m:r>
                      <m:t>s</m:t>
                    </m:r>
                    <m:r>
                      <m:t>u</m:t>
                    </m:r>
                    <m:r>
                      <m:t>b</m:t>
                    </m:r>
                    <m:r>
                      <m:t>j</m:t>
                    </m:r>
                    <m:r>
                      <m:t>e</m:t>
                    </m:r>
                    <m:r>
                      <m:t>c</m:t>
                    </m:r>
                    <m:sSub>
                      <m:e>
                        <m:r>
                          <m:t>t</m:t>
                        </m:r>
                      </m:e>
                      <m:sub>
                        <m:r>
                          <m:t>i</m:t>
                        </m:r>
                      </m:sub>
                    </m:sSub>
                    <m:r>
                      <m:t>≠</m:t>
                    </m:r>
                    <m:r>
                      <m:t>i</m:t>
                    </m:r>
                  </m:e>
                </m:mr>
                <m:mr>
                  <m:e>
                    <m:r>
                      <m:t>0</m:t>
                    </m:r>
                  </m:e>
                  <m:e>
                    <m:r>
                      <m:rPr>
                        <m:sty m:val="p"/>
                      </m:rPr>
                      <m:t>if</m:t>
                    </m:r>
                    <m:r>
                      <m:t> </m:t>
                    </m:r>
                    <m:r>
                      <m:t>i</m:t>
                    </m:r>
                    <m:r>
                      <m:t>=</m:t>
                    </m:r>
                    <m:r>
                      <m:t>1</m:t>
                    </m:r>
                  </m:e>
                </m:mr>
              </m:m>
            </m:e>
          </m:d>
        </m:oMath>
      </m:oMathPara>
    </w:p>
    <w:p>
      <w:pPr>
        <w:pStyle w:val="FirstParagraph"/>
      </w:pPr>
      <w:r>
        <w:t xml:space="preserve">This model adds</w:t>
      </w:r>
      <w:r>
        <w:t xml:space="preserve"> </w:t>
      </w:r>
      <m:oMath>
        <m:r>
          <m:t>N</m:t>
        </m:r>
        <m:r>
          <m:t>−</m:t>
        </m:r>
        <m:r>
          <m:t>1</m:t>
        </m:r>
      </m:oMath>
      <w:r>
        <w:t xml:space="preserve"> </w:t>
      </w:r>
      <w:r>
        <w:t xml:space="preserve">estimated parameters</w:t>
      </w:r>
      <w:r>
        <w:t xml:space="preserve"> </w:t>
      </w:r>
      <m:oMath>
        <m:sSub>
          <m:e>
            <m:acc>
              <m:accPr>
                <m:chr m:val="̂"/>
              </m:accPr>
              <m:e>
                <m:r>
                  <m:t>β</m:t>
                </m:r>
              </m:e>
            </m:acc>
          </m:e>
          <m:sub>
            <m:r>
              <m:t>1</m:t>
            </m:r>
            <m:r>
              <m:t>i</m:t>
            </m:r>
          </m:sub>
        </m:sSub>
      </m:oMath>
      <w:r>
        <w:t xml:space="preserve"> </w:t>
      </w:r>
      <w:r>
        <w:t xml:space="preserve">which represent the average deviation for each subject from the global estimated mean Linear Model (LM).</w:t>
      </w:r>
    </w:p>
    <w:p>
      <w:pPr>
        <w:pStyle w:val="Heading2"/>
      </w:pPr>
      <w:bookmarkStart w:id="32" w:name="linear-mixed-effects-models"/>
      <w:r>
        <w:t xml:space="preserve">Linear Mixed Effects Models</w:t>
      </w:r>
      <w:bookmarkEnd w:id="32"/>
    </w:p>
    <w:p>
      <w:pPr>
        <w:pStyle w:val="FirstParagraph"/>
      </w:pPr>
      <w:r>
        <w:t xml:space="preserve">Linear mixed effects models that incorporate subjects using random effects are the next methods outlined. Linear mixed effects models do not require the assumption of independent observations. Correlation structures such as autoregressive, moving-average, or simply unrestricted (unstructured) can be used. Additionally, if it can be reasonably assumed that the model responses have a multivariate normal distribution, the model parameters can be easily estimated using maximum likelihood estimation techniques such as Restricted Maximum Likelihood estimation (REML)</w:t>
      </w:r>
      <w:r>
        <w:t xml:space="preserve"> </w:t>
      </w:r>
      <w:r>
        <w:t xml:space="preserve">[9]</w:t>
      </w:r>
      <w:r>
        <w:t xml:space="preserve">.</w:t>
      </w:r>
    </w:p>
    <w:p>
      <w:pPr>
        <w:pStyle w:val="Heading3"/>
      </w:pPr>
      <w:bookmarkStart w:id="33" w:name="linear-mixed-effects-model-with-random-intercept-lmm-ri"/>
      <w:r>
        <w:t xml:space="preserve">Linear Mixed Effects Model with Random Intercept (LMM-RI)</w:t>
      </w:r>
      <w:bookmarkEnd w:id="33"/>
    </w:p>
    <w:p>
      <w:pPr>
        <w:pStyle w:val="FirstParagraph"/>
      </w:pPr>
      <w:r>
        <w:t xml:space="preserve">A random intercept linear mixed effects model (LMM-RI) differs from a linear model with subject specific effects in the way that observational correlation is accounted for. Observational correlation has been accounted for in the LM-FE model with specific mean differences by subject. In order for this method to be justified, it must be the case that observations within a subject are uniformly influenced by the nested nature of the sampling method. This assumptions is not always reasonable, and a method that allows for responses within each subject to vary randomly according to which subject they belong to, would be more appropriate. A linear mixed effects model with a random intercept controls for subject-level correlations through the use of subject-specific variances, and therefore accomplishes this desired trait. The LMM-RI model is written as: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sSub>
            <m:e>
              <m:r>
                <m:t>ϵ</m:t>
              </m:r>
            </m:e>
            <m:sub>
              <m:r>
                <m:t>i</m:t>
              </m:r>
              <m:r>
                <m:t>j</m:t>
              </m:r>
            </m:sub>
          </m:sSub>
        </m:oMath>
      </m:oMathPara>
    </w:p>
    <w:p>
      <w:pPr>
        <w:pStyle w:val="FirstParagraph"/>
      </w:pPr>
      <w:r>
        <w:t xml:space="preserve">where</w:t>
      </w:r>
    </w:p>
    <w:p>
      <w:pPr>
        <w:pStyle w:val="BodyText"/>
      </w:pPr>
      <m:oMathPara>
        <m:oMathParaPr>
          <m:jc m:val="center"/>
        </m:oMathParaPr>
        <m:oMath>
          <m:sSub>
            <m:e>
              <m:r>
                <m:t>b</m:t>
              </m:r>
            </m:e>
            <m:sub>
              <m:r>
                <m:t>0</m:t>
              </m:r>
              <m:r>
                <m:t>i</m:t>
              </m:r>
            </m:sub>
          </m:sSub>
          <m:r>
            <m:t>∼</m:t>
          </m:r>
          <m:r>
            <m:t>N</m:t>
          </m:r>
          <m:d>
            <m:dPr>
              <m:begChr m:val="("/>
              <m:endChr m:val=")"/>
              <m:grow/>
            </m:dPr>
            <m:e>
              <m:r>
                <m:t>0</m:t>
              </m:r>
              <m:r>
                <m:t>,</m:t>
              </m:r>
              <m:sSubSup>
                <m:e>
                  <m:r>
                    <m:t>σ</m:t>
                  </m:r>
                </m:e>
                <m:sub>
                  <m:r>
                    <m:t>b</m:t>
                  </m:r>
                </m:sub>
                <m:sup>
                  <m:r>
                    <m:t>2</m:t>
                  </m:r>
                </m:sup>
              </m:sSubSup>
            </m:e>
          </m:d>
          <m:r>
            <m:t> </m:t>
          </m:r>
          <m:sSub>
            <m:e>
              <m:r>
                <m:t>ϵ</m:t>
              </m:r>
            </m:e>
            <m:sub>
              <m:r>
                <m:t>i</m:t>
              </m:r>
              <m:r>
                <m:t>j</m:t>
              </m:r>
            </m:sub>
          </m:sSub>
          <m:r>
            <m:t>∼</m:t>
          </m:r>
          <m:r>
            <m:t>N</m:t>
          </m:r>
          <m:d>
            <m:dPr>
              <m:begChr m:val="("/>
              <m:endChr m:val=")"/>
              <m:grow/>
            </m:dPr>
            <m:e>
              <m:r>
                <m:t>0</m:t>
              </m:r>
              <m:r>
                <m:t>,</m:t>
              </m:r>
              <m:sSubSup>
                <m:e>
                  <m:r>
                    <m:t>σ</m:t>
                  </m:r>
                </m:e>
                <m:sub>
                  <m:r>
                    <m:t>ϵ</m:t>
                  </m:r>
                </m:sub>
                <m:sup>
                  <m:r>
                    <m:t>2</m:t>
                  </m:r>
                </m:sup>
              </m:sSubSup>
            </m:e>
          </m:d>
        </m:oMath>
      </m:oMathPara>
    </w:p>
    <w:p>
      <w:pPr>
        <w:pStyle w:val="FirstParagraph"/>
      </w:pPr>
      <m:oMathPara>
        <m:oMathParaPr>
          <m:jc m:val="center"/>
        </m:oMathParaPr>
        <m:oMath>
          <m:r>
            <m:rPr>
              <m:sty m:val="p"/>
            </m:rPr>
            <m:t>for</m:t>
          </m:r>
          <m:r>
            <m:t> </m:t>
          </m:r>
          <m:r>
            <m:t>i</m:t>
          </m:r>
          <m:r>
            <m:t>∈</m:t>
          </m:r>
          <m:d>
            <m:dPr>
              <m:begChr m:val="{"/>
              <m:endChr m:val="}"/>
              <m:grow/>
            </m:dPr>
            <m:e>
              <m:r>
                <m:t>1</m:t>
              </m:r>
              <m:r>
                <m:t>,</m:t>
              </m:r>
              <m:r>
                <m:t>…</m:t>
              </m:r>
              <m:r>
                <m:t>,</m:t>
              </m:r>
              <m:r>
                <m:t>N</m:t>
              </m:r>
            </m:e>
          </m:d>
          <m:r>
            <m:t> </m:t>
          </m:r>
          <m:r>
            <m:rPr>
              <m:sty m:val="p"/>
            </m:rPr>
            <m:t>and</m:t>
          </m:r>
          <m:r>
            <m:t> </m:t>
          </m:r>
          <m:r>
            <m:t>j</m:t>
          </m:r>
          <m:r>
            <m:t>∈</m:t>
          </m:r>
          <m:d>
            <m:dPr>
              <m:begChr m:val="{"/>
              <m:endChr m:val="}"/>
              <m:grow/>
            </m:dPr>
            <m:e>
              <m:r>
                <m:t>1</m:t>
              </m:r>
              <m:r>
                <m:t>,</m:t>
              </m:r>
              <m:r>
                <m:t>…</m:t>
              </m:r>
              <m:r>
                <m:t>,</m:t>
              </m:r>
              <m:sSub>
                <m:e>
                  <m:r>
                    <m:t>n</m:t>
                  </m:r>
                </m:e>
                <m:sub>
                  <m:r>
                    <m:t>i</m:t>
                  </m:r>
                </m:sub>
              </m:sSub>
            </m:e>
          </m:d>
        </m:oMath>
      </m:oMathPara>
    </w:p>
    <w:p>
      <w:pPr>
        <w:pStyle w:val="FirstParagraph"/>
      </w:pPr>
      <w:r>
        <w:t xml:space="preserve">it is assumed that</w:t>
      </w:r>
      <w:r>
        <w:t xml:space="preserve"> </w:t>
      </w:r>
      <m:oMath>
        <m:sSub>
          <m:e>
            <m:r>
              <m:t>b</m:t>
            </m:r>
          </m:e>
          <m:sub>
            <m:r>
              <m:t>0</m:t>
            </m:r>
            <m:r>
              <m:t>i</m:t>
            </m:r>
          </m:sub>
        </m:sSub>
      </m:oMath>
      <w:r>
        <w:t xml:space="preserve"> </w:t>
      </w:r>
      <w:r>
        <w:t xml:space="preserve">and</w:t>
      </w:r>
      <w:r>
        <w:t xml:space="preserve"> </w:t>
      </w:r>
      <m:oMath>
        <m:sSub>
          <m:e>
            <m:r>
              <m:t>ϵ</m:t>
            </m:r>
          </m:e>
          <m:sub>
            <m:r>
              <m:t>i</m:t>
            </m:r>
            <m:r>
              <m:t>j</m:t>
            </m:r>
          </m:sub>
        </m:sSub>
      </m:oMath>
      <w:r>
        <w:t xml:space="preserve"> </w:t>
      </w:r>
      <w:r>
        <w:t xml:space="preserve">are independent.</w:t>
      </w:r>
    </w:p>
    <w:p>
      <w:pPr>
        <w:pStyle w:val="Heading3"/>
      </w:pPr>
      <w:bookmarkStart w:id="34" w:name="linear-mixed-effect-model-with-random-slope-lmm-rs"/>
      <w:r>
        <w:t xml:space="preserve">Linear Mixed Effect Model with Random Slope (LMM-RS)</w:t>
      </w:r>
      <w:bookmarkEnd w:id="34"/>
    </w:p>
    <w:p>
      <w:pPr>
        <w:pStyle w:val="FirstParagraph"/>
      </w:pPr>
      <w:r>
        <w:t xml:space="preserve">A random slope linear mixed effects model differs from each of the previously considered methods because it allows for distinct relationships for each subject between the predictor and response variables of interest. A model with a subject-specific</w:t>
      </w:r>
      <w:r>
        <w:t xml:space="preserve"> </w:t>
      </w:r>
      <w:r>
        <w:t xml:space="preserve"> </w:t>
      </w:r>
      <w:r>
        <w:t xml:space="preserve">slope term accounts for subject-level observational correlation with expected differences between the subject-specific, predictor-response relationships. However, this method still assumes that observations within subjects are uniformly influenced as a result of this due to the nested sampling method. Sometimes, a method that allows for responses to vary randomly across the predictor-response relationship according to which subject they belong to, would be more appropriate. A linear mixed effects model with a random slope controls for subject-level correlations through the use of subject-specific variances in the relationships between predictor and response, and therefore accomplished this desired trait. The LMM-RS model is written as: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d>
            <m:dPr>
              <m:begChr m:val="["/>
              <m:endChr m:val="]"/>
              <m:grow/>
            </m:dPr>
            <m:e>
              <m:sSub>
                <m:e>
                  <m:r>
                    <m:t>b</m:t>
                  </m:r>
                </m:e>
                <m:sub>
                  <m:r>
                    <m:t>1</m:t>
                  </m:r>
                  <m:r>
                    <m:t>i</m:t>
                  </m:r>
                </m:sub>
              </m:sSub>
              <m:d>
                <m:dPr>
                  <m:begChr m:val="("/>
                  <m:endChr m:val=")"/>
                  <m:grow/>
                </m:dPr>
                <m:e>
                  <m:r>
                    <m:t>s</m:t>
                  </m:r>
                  <m:r>
                    <m:t>u</m:t>
                  </m:r>
                  <m:r>
                    <m:t>b</m:t>
                  </m:r>
                  <m:r>
                    <m:t>j</m:t>
                  </m:r>
                  <m:r>
                    <m:t>e</m:t>
                  </m:r>
                  <m:r>
                    <m:t>c</m:t>
                  </m:r>
                  <m:sSub>
                    <m:e>
                      <m:r>
                        <m:t>t</m:t>
                      </m:r>
                    </m:e>
                    <m:sub>
                      <m:r>
                        <m:t>i</m:t>
                      </m:r>
                    </m:sub>
                  </m:sSub>
                </m:e>
              </m:d>
              <m:sSub>
                <m:e>
                  <m:r>
                    <m:t>X</m:t>
                  </m:r>
                </m:e>
                <m:sub>
                  <m:r>
                    <m:t>i</m:t>
                  </m:r>
                  <m:r>
                    <m:t>j</m:t>
                  </m:r>
                </m:sub>
              </m:sSub>
            </m:e>
          </m:d>
          <m:r>
            <m:t>+</m:t>
          </m:r>
          <m:sSub>
            <m:e>
              <m:r>
                <m:t>ϵ</m:t>
              </m:r>
            </m:e>
            <m:sub>
              <m:r>
                <m:t>i</m:t>
              </m:r>
              <m:r>
                <m:t>j</m:t>
              </m:r>
            </m:sub>
          </m:sSub>
        </m:oMath>
      </m:oMathPara>
    </w:p>
    <w:p>
      <w:pPr>
        <w:pStyle w:val="FirstParagraph"/>
      </w:pPr>
      <w:r>
        <w:t xml:space="preserve">where</w:t>
      </w:r>
    </w:p>
    <w:p>
      <w:pPr>
        <w:pStyle w:val="BodyText"/>
      </w:pPr>
      <m:oMathPara>
        <m:oMathParaPr>
          <m:jc m:val="center"/>
        </m:oMathParaPr>
        <m:oMath>
          <m:r>
            <m:rPr>
              <m:sty m:val="b"/>
            </m:rPr>
            <m:t>b</m:t>
          </m:r>
          <m:r>
            <m:t>=</m:t>
          </m:r>
          <m:d>
            <m:dPr>
              <m:begChr m:val="["/>
              <m:endChr m:val="]"/>
              <m:grow/>
            </m:dPr>
            <m:e>
              <m:m>
                <m:mPr>
                  <m:baseJc m:val="center"/>
                  <m:plcHide m:val="1"/>
                  <m:mcs>
                    <m:mc>
                      <m:mcPr>
                        <m:mcJc m:val="center"/>
                        <m:count m:val="1"/>
                      </m:mcPr>
                    </m:mc>
                  </m:mcs>
                </m:mPr>
                <m:mr>
                  <m:e>
                    <m:sSub>
                      <m:e>
                        <m:r>
                          <m:t>b</m:t>
                        </m:r>
                      </m:e>
                      <m:sub>
                        <m:r>
                          <m:t>0</m:t>
                        </m:r>
                        <m:r>
                          <m:t>i</m:t>
                        </m:r>
                      </m:sub>
                    </m:sSub>
                  </m:e>
                </m:mr>
                <m:mr>
                  <m:e>
                    <m:sSub>
                      <m:e>
                        <m:r>
                          <m:t>b</m:t>
                        </m:r>
                      </m:e>
                      <m:sub>
                        <m:r>
                          <m:t>1</m:t>
                        </m:r>
                        <m:r>
                          <m:t>i</m:t>
                        </m:r>
                      </m:sub>
                    </m:sSub>
                  </m:e>
                </m:mr>
              </m:m>
            </m:e>
          </m:d>
          <m:r>
            <m:t>∼</m:t>
          </m:r>
          <m:r>
            <m:t>N</m:t>
          </m:r>
          <m:d>
            <m:dPr>
              <m:begChr m:val="("/>
              <m:endChr m:val=")"/>
              <m:grow/>
            </m:dPr>
            <m:e>
              <m:r>
                <m:rPr>
                  <m:sty m:val="b"/>
                </m:rPr>
                <m:t>0</m:t>
              </m:r>
              <m:r>
                <m:t>,</m:t>
              </m:r>
              <m:r>
                <m:rPr>
                  <m:sty m:val="b"/>
                </m:rPr>
                <m:t>G</m:t>
              </m:r>
            </m:e>
          </m:d>
        </m:oMath>
      </m:oMathPara>
    </w:p>
    <w:p>
      <w:pPr>
        <w:pStyle w:val="FirstParagraph"/>
      </w:pPr>
      <m:oMathPara>
        <m:oMathParaPr>
          <m:jc m:val="center"/>
        </m:oMathParaPr>
        <m:oMath>
          <m:r>
            <m:t>G</m:t>
          </m:r>
          <m:r>
            <m:t>=</m:t>
          </m:r>
          <m:d>
            <m:dPr>
              <m:begChr m:val="["/>
              <m:endChr m:val="]"/>
              <m:grow/>
            </m:dPr>
            <m:e>
              <m:m>
                <m:mPr>
                  <m:baseJc m:val="center"/>
                  <m:plcHide m:val="1"/>
                  <m:mcs>
                    <m:mc>
                      <m:mcPr>
                        <m:mcJc m:val="center"/>
                        <m:count m:val="1"/>
                      </m:mcPr>
                    </m:mc>
                    <m:mc>
                      <m:mcPr>
                        <m:mcJc m:val="center"/>
                        <m:count m:val="1"/>
                      </m:mcPr>
                    </m:mc>
                  </m:mcs>
                </m:mPr>
                <m:mr>
                  <m:e>
                    <m:sSubSup>
                      <m:e>
                        <m:r>
                          <m:t>σ</m:t>
                        </m:r>
                      </m:e>
                      <m:sub>
                        <m:sSub>
                          <m:e>
                            <m:r>
                              <m:t>b</m:t>
                            </m:r>
                          </m:e>
                          <m:sub>
                            <m:r>
                              <m:t>0</m:t>
                            </m:r>
                          </m:sub>
                        </m:sSub>
                      </m:sub>
                      <m:sup>
                        <m:r>
                          <m:t>2</m:t>
                        </m:r>
                      </m:sup>
                    </m:sSubSup>
                  </m:e>
                  <m:e>
                    <m:sSub>
                      <m:e>
                        <m:r>
                          <m:t>σ</m:t>
                        </m:r>
                      </m:e>
                      <m:sub>
                        <m:sSub>
                          <m:e>
                            <m:r>
                              <m:t>b</m:t>
                            </m:r>
                          </m:e>
                          <m:sub>
                            <m:r>
                              <m:t>01</m:t>
                            </m:r>
                          </m:sub>
                        </m:sSub>
                      </m:sub>
                    </m:sSub>
                  </m:e>
                </m:mr>
                <m:mr>
                  <m:e>
                    <m:sSub>
                      <m:e>
                        <m:r>
                          <m:t>σ</m:t>
                        </m:r>
                      </m:e>
                      <m:sub>
                        <m:sSub>
                          <m:e>
                            <m:r>
                              <m:t>b</m:t>
                            </m:r>
                          </m:e>
                          <m:sub>
                            <m:r>
                              <m:t>10</m:t>
                            </m:r>
                          </m:sub>
                        </m:sSub>
                      </m:sub>
                    </m:sSub>
                  </m:e>
                  <m:e>
                    <m:sSubSup>
                      <m:e>
                        <m:r>
                          <m:t>σ</m:t>
                        </m:r>
                      </m:e>
                      <m:sub>
                        <m:sSub>
                          <m:e>
                            <m:r>
                              <m:t>b</m:t>
                            </m:r>
                          </m:e>
                          <m:sub>
                            <m:r>
                              <m:t>1</m:t>
                            </m:r>
                          </m:sub>
                        </m:sSub>
                      </m:sub>
                      <m:sup>
                        <m:r>
                          <m:t>2</m:t>
                        </m:r>
                      </m:sup>
                    </m:sSubSup>
                  </m:e>
                </m:mr>
              </m:m>
            </m:e>
          </m:d>
        </m:oMath>
      </m:oMathPara>
    </w:p>
    <w:p>
      <w:pPr>
        <w:pStyle w:val="FirstParagraph"/>
      </w:pPr>
      <m:oMathPara>
        <m:oMathParaPr>
          <m:jc m:val="center"/>
        </m:oMathParaPr>
        <m:oMath>
          <m:sSub>
            <m:e>
              <m:r>
                <m:t>ϵ</m:t>
              </m:r>
            </m:e>
            <m:sub>
              <m:r>
                <m:t>i</m:t>
              </m:r>
              <m:r>
                <m:t>j</m:t>
              </m:r>
            </m:sub>
          </m:sSub>
          <m:r>
            <m:t>∼</m:t>
          </m:r>
          <m:r>
            <m:t>N</m:t>
          </m:r>
          <m:d>
            <m:dPr>
              <m:begChr m:val="("/>
              <m:endChr m:val=")"/>
              <m:grow/>
            </m:dPr>
            <m:e>
              <m:r>
                <m:rPr>
                  <m:sty m:val="b"/>
                </m:rPr>
                <m:t>0</m:t>
              </m:r>
              <m:r>
                <m:t>,</m:t>
              </m:r>
              <m:sSubSup>
                <m:e>
                  <m:r>
                    <m:t>σ</m:t>
                  </m:r>
                </m:e>
                <m:sub>
                  <m:r>
                    <m:t>ϵ</m:t>
                  </m:r>
                </m:sub>
                <m:sup>
                  <m:r>
                    <m:t>2</m:t>
                  </m:r>
                </m:sup>
              </m:sSubSup>
              <m:sSub>
                <m:e>
                  <m:r>
                    <m:rPr>
                      <m:sty m:val="b"/>
                    </m:rPr>
                    <m:t>I</m:t>
                  </m:r>
                </m:e>
                <m:sub>
                  <m:sSub>
                    <m:e>
                      <m:r>
                        <m:t>n</m:t>
                      </m:r>
                    </m:e>
                    <m:sub>
                      <m:r>
                        <m:t>i</m:t>
                      </m:r>
                    </m:sub>
                  </m:sSub>
                </m:sub>
              </m:sSub>
            </m:e>
          </m:d>
        </m:oMath>
      </m:oMathPara>
    </w:p>
    <w:p>
      <w:pPr>
        <w:pStyle w:val="Heading2"/>
      </w:pPr>
      <w:bookmarkStart w:id="35" w:name="generalized-estimating-equations-gee"/>
      <w:r>
        <w:t xml:space="preserve">Generalized Estimating Equations (GEE)</w:t>
      </w:r>
      <w:bookmarkEnd w:id="35"/>
    </w:p>
    <w:p>
      <w:pPr>
        <w:pStyle w:val="FirstParagraph"/>
      </w:pPr>
      <w:r>
        <w:t xml:space="preserve">The Generalized Estimating Equation (GEE) method focuses on estimating the fixed effect parameters specified within a model. The method does not directly estimate variances and covariances, but instead approximates these values using a</w:t>
      </w:r>
      <w:r>
        <w:t xml:space="preserve"> </w:t>
      </w:r>
      <w:r>
        <w:t xml:space="preserve">“</w:t>
      </w:r>
      <w:r>
        <w:t xml:space="preserve">working variance-covariance</w:t>
      </w:r>
      <w:r>
        <w:t xml:space="preserve">”</w:t>
      </w:r>
      <w:r>
        <w:t xml:space="preserve"> </w:t>
      </w:r>
      <w:r>
        <w:t xml:space="preserve">structure.</w:t>
      </w:r>
    </w:p>
    <w:p>
      <w:pPr>
        <w:pStyle w:val="BodyText"/>
      </w:pPr>
      <w:r>
        <w:t xml:space="preserve">Procedurally GEE estimates are computed by finding numerical solutions for</w:t>
      </w:r>
      <w:r>
        <w:t xml:space="preserve"> </w:t>
      </w:r>
      <w:r>
        <w:t xml:space="preserve">an</w:t>
      </w:r>
      <w:r>
        <w:t xml:space="preserve"> </w:t>
      </w:r>
      <w:r>
        <w:t xml:space="preserve"> </w:t>
      </w:r>
      <m:oMath>
        <m:r>
          <m:t>U</m:t>
        </m:r>
        <m:r>
          <m:t>(</m:t>
        </m:r>
        <m:r>
          <m:rPr>
            <m:sty m:val="b"/>
          </m:rPr>
          <m:t>β</m:t>
        </m:r>
        <m:r>
          <m:t>)</m:t>
        </m:r>
        <m:r>
          <m:t>=</m:t>
        </m:r>
        <m:r>
          <m:t>0</m:t>
        </m:r>
      </m:oMath>
      <w:r>
        <w:t xml:space="preserve">, where</w:t>
      </w:r>
    </w:p>
    <w:p>
      <w:pPr>
        <w:pStyle w:val="BodyText"/>
      </w:pPr>
    </w:p>
    <w:p>
      <w:pPr>
        <w:pStyle w:val="BodyText"/>
      </w:pPr>
      <w:r>
        <w:t xml:space="preserve">and</w:t>
      </w:r>
      <w:r>
        <w:t xml:space="preserve"> </w:t>
      </w:r>
      <w:r>
        <w:t xml:space="preserve"> </w:t>
      </w:r>
      <w:r>
        <w:t xml:space="preserve">outlines the dependence of the marginal expectation of the response on the covariates through the link function</w:t>
      </w:r>
      <w:r>
        <w:t xml:space="preserve"> </w:t>
      </w:r>
      <m:oMath>
        <m:r>
          <m:t>g</m:t>
        </m:r>
        <m:r>
          <m:t>(</m:t>
        </m:r>
        <m:r>
          <m:t>)</m:t>
        </m:r>
      </m:oMath>
      <w:r>
        <w:t xml:space="preserve">, and therefore:</w:t>
      </w:r>
      <w:r>
        <w:t xml:space="preserve"> </w:t>
      </w:r>
      <w:r>
        <w:t xml:space="preserve"> </w:t>
      </w:r>
      <w:r>
        <w:t xml:space="preserve">The first derivative matrix</w:t>
      </w:r>
      <w:r>
        <w:t xml:space="preserve"> </w:t>
      </w:r>
      <m:oMath>
        <m:sSub>
          <m:e>
            <m:r>
              <m:rPr>
                <m:sty m:val="b"/>
              </m:rPr>
              <m:t>D</m:t>
            </m:r>
          </m:e>
          <m:sub>
            <m:r>
              <m:rPr>
                <m:sty m:val="b"/>
              </m:rPr>
              <m:t>i</m:t>
            </m:r>
          </m:sub>
        </m:sSub>
      </m:oMath>
      <w:r>
        <w:t xml:space="preserve"> </w:t>
      </w:r>
      <w:r>
        <w:t xml:space="preserve">is given by:</w:t>
      </w:r>
    </w:p>
    <w:p>
      <w:pPr>
        <w:pStyle w:val="BodyText"/>
      </w:pPr>
      <m:oMathPara>
        <m:oMathParaPr>
          <m:jc m:val="center"/>
        </m:oMathParaPr>
        <m:oMath>
          <m:sSub>
            <m:e>
              <m:r>
                <m:rPr>
                  <m:sty m:val="b"/>
                </m:rPr>
                <m:t>D</m:t>
              </m:r>
            </m:e>
            <m:sub>
              <m:r>
                <m:t>i</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f>
                      <m:fPr>
                        <m:type m:val="bar"/>
                      </m:fPr>
                      <m:num>
                        <m:r>
                          <m:t>∂</m:t>
                        </m:r>
                        <m:sSub>
                          <m:e>
                            <m:r>
                              <m:t>μ</m:t>
                            </m:r>
                          </m:e>
                          <m:sub>
                            <m:r>
                              <m:t>i</m:t>
                            </m:r>
                            <m:r>
                              <m:t>1</m:t>
                            </m:r>
                          </m:sub>
                        </m:sSub>
                      </m:num>
                      <m:den>
                        <m:sSub>
                          <m:e>
                            <m:r>
                              <m:t>β</m:t>
                            </m:r>
                          </m:e>
                          <m:sub>
                            <m:r>
                              <m:t>1</m:t>
                            </m:r>
                          </m:sub>
                        </m:sSub>
                      </m:den>
                    </m:f>
                  </m:e>
                  <m:e>
                    <m:f>
                      <m:fPr>
                        <m:type m:val="bar"/>
                      </m:fPr>
                      <m:num>
                        <m:r>
                          <m:t>∂</m:t>
                        </m:r>
                        <m:sSub>
                          <m:e>
                            <m:r>
                              <m:t>μ</m:t>
                            </m:r>
                          </m:e>
                          <m:sub>
                            <m:r>
                              <m:t>i</m:t>
                            </m:r>
                            <m:r>
                              <m:t>1</m:t>
                            </m:r>
                          </m:sub>
                        </m:sSub>
                      </m:num>
                      <m:den>
                        <m:sSub>
                          <m:e>
                            <m:r>
                              <m:t>β</m:t>
                            </m:r>
                          </m:e>
                          <m:sub>
                            <m:r>
                              <m:t>2</m:t>
                            </m:r>
                          </m:sub>
                        </m:sSub>
                      </m:den>
                    </m:f>
                  </m:e>
                  <m:e>
                    <m:r>
                      <m:t>⋯</m:t>
                    </m:r>
                  </m:e>
                  <m:e>
                    <m:f>
                      <m:fPr>
                        <m:type m:val="bar"/>
                      </m:fPr>
                      <m:num>
                        <m:r>
                          <m:t>∂</m:t>
                        </m:r>
                        <m:sSub>
                          <m:e>
                            <m:r>
                              <m:t>μ</m:t>
                            </m:r>
                          </m:e>
                          <m:sub>
                            <m:r>
                              <m:t>i</m:t>
                            </m:r>
                            <m:r>
                              <m:t>1</m:t>
                            </m:r>
                          </m:sub>
                        </m:sSub>
                      </m:num>
                      <m:den>
                        <m:sSub>
                          <m:e>
                            <m:r>
                              <m:t>β</m:t>
                            </m:r>
                          </m:e>
                          <m:sub>
                            <m:r>
                              <m:t>p</m:t>
                            </m:r>
                          </m:sub>
                        </m:sSub>
                      </m:den>
                    </m:f>
                  </m:e>
                </m:mr>
                <m:mr>
                  <m:e>
                    <m:f>
                      <m:fPr>
                        <m:type m:val="bar"/>
                      </m:fPr>
                      <m:num>
                        <m:r>
                          <m:t>∂</m:t>
                        </m:r>
                        <m:sSub>
                          <m:e>
                            <m:r>
                              <m:t>μ</m:t>
                            </m:r>
                          </m:e>
                          <m:sub>
                            <m:r>
                              <m:t>i</m:t>
                            </m:r>
                            <m:r>
                              <m:t>2</m:t>
                            </m:r>
                          </m:sub>
                        </m:sSub>
                      </m:num>
                      <m:den>
                        <m:sSub>
                          <m:e>
                            <m:r>
                              <m:t>β</m:t>
                            </m:r>
                          </m:e>
                          <m:sub>
                            <m:r>
                              <m:t>1</m:t>
                            </m:r>
                          </m:sub>
                        </m:sSub>
                      </m:den>
                    </m:f>
                  </m:e>
                  <m:e>
                    <m:f>
                      <m:fPr>
                        <m:type m:val="bar"/>
                      </m:fPr>
                      <m:num>
                        <m:r>
                          <m:t>∂</m:t>
                        </m:r>
                        <m:sSub>
                          <m:e>
                            <m:r>
                              <m:t>μ</m:t>
                            </m:r>
                          </m:e>
                          <m:sub>
                            <m:r>
                              <m:t>i</m:t>
                            </m:r>
                            <m:r>
                              <m:t>2</m:t>
                            </m:r>
                          </m:sub>
                        </m:sSub>
                      </m:num>
                      <m:den>
                        <m:sSub>
                          <m:e>
                            <m:r>
                              <m:t>β</m:t>
                            </m:r>
                          </m:e>
                          <m:sub>
                            <m:r>
                              <m:t>2</m:t>
                            </m:r>
                          </m:sub>
                        </m:sSub>
                      </m:den>
                    </m:f>
                  </m:e>
                  <m:e>
                    <m:r>
                      <m:t>⋯</m:t>
                    </m:r>
                  </m:e>
                  <m:e>
                    <m:f>
                      <m:fPr>
                        <m:type m:val="bar"/>
                      </m:fPr>
                      <m:num>
                        <m:r>
                          <m:t>∂</m:t>
                        </m:r>
                        <m:sSub>
                          <m:e>
                            <m:r>
                              <m:t>μ</m:t>
                            </m:r>
                          </m:e>
                          <m:sub>
                            <m:r>
                              <m:t>i</m:t>
                            </m:r>
                            <m:r>
                              <m:t>2</m:t>
                            </m:r>
                          </m:sub>
                        </m:sSub>
                      </m:num>
                      <m:den>
                        <m:sSub>
                          <m:e>
                            <m:r>
                              <m:t>β</m:t>
                            </m:r>
                          </m:e>
                          <m:sub>
                            <m:r>
                              <m:t>p</m:t>
                            </m:r>
                          </m:sub>
                        </m:sSub>
                      </m:den>
                    </m:f>
                  </m:e>
                </m:mr>
                <m:mr>
                  <m:e>
                    <m:r>
                      <m:t>⋮</m:t>
                    </m:r>
                  </m:e>
                  <m:e>
                    <m:r>
                      <m:t>⋮</m:t>
                    </m:r>
                  </m:e>
                  <m:e>
                    <m:r>
                      <m:t>⋱</m:t>
                    </m:r>
                  </m:e>
                  <m:e>
                    <m:r>
                      <m:t>⋮</m:t>
                    </m:r>
                  </m:e>
                </m:mr>
                <m:mr>
                  <m:e>
                    <m:f>
                      <m:fPr>
                        <m:type m:val="bar"/>
                      </m:fPr>
                      <m:num>
                        <m:r>
                          <m:t>∂</m:t>
                        </m:r>
                        <m:sSub>
                          <m:e>
                            <m:r>
                              <m:t>μ</m:t>
                            </m:r>
                          </m:e>
                          <m:sub>
                            <m:r>
                              <m:t>i</m:t>
                            </m:r>
                            <m:sSub>
                              <m:e>
                                <m:r>
                                  <m:t>n</m:t>
                                </m:r>
                              </m:e>
                              <m:sub>
                                <m:r>
                                  <m:t>i</m:t>
                                </m:r>
                              </m:sub>
                            </m:sSub>
                          </m:sub>
                        </m:sSub>
                      </m:num>
                      <m:den>
                        <m:sSub>
                          <m:e>
                            <m:r>
                              <m:t>β</m:t>
                            </m:r>
                          </m:e>
                          <m:sub>
                            <m:r>
                              <m:t>1</m:t>
                            </m:r>
                          </m:sub>
                        </m:sSub>
                      </m:den>
                    </m:f>
                  </m:e>
                  <m:e>
                    <m:f>
                      <m:fPr>
                        <m:type m:val="bar"/>
                      </m:fPr>
                      <m:num>
                        <m:r>
                          <m:t>∂</m:t>
                        </m:r>
                        <m:sSub>
                          <m:e>
                            <m:r>
                              <m:t>μ</m:t>
                            </m:r>
                          </m:e>
                          <m:sub>
                            <m:r>
                              <m:t>i</m:t>
                            </m:r>
                            <m:sSub>
                              <m:e>
                                <m:r>
                                  <m:t>n</m:t>
                                </m:r>
                              </m:e>
                              <m:sub>
                                <m:r>
                                  <m:t>i</m:t>
                                </m:r>
                              </m:sub>
                            </m:sSub>
                          </m:sub>
                        </m:sSub>
                      </m:num>
                      <m:den>
                        <m:sSub>
                          <m:e>
                            <m:r>
                              <m:t>β</m:t>
                            </m:r>
                          </m:e>
                          <m:sub>
                            <m:r>
                              <m:t>2</m:t>
                            </m:r>
                          </m:sub>
                        </m:sSub>
                      </m:den>
                    </m:f>
                  </m:e>
                  <m:e>
                    <m:r>
                      <m:t>⋯</m:t>
                    </m:r>
                  </m:e>
                  <m:e>
                    <m:f>
                      <m:fPr>
                        <m:type m:val="bar"/>
                      </m:fPr>
                      <m:num>
                        <m:r>
                          <m:t>∂</m:t>
                        </m:r>
                        <m:sSub>
                          <m:e>
                            <m:r>
                              <m:t>μ</m:t>
                            </m:r>
                          </m:e>
                          <m:sub>
                            <m:r>
                              <m:t>i</m:t>
                            </m:r>
                            <m:sSub>
                              <m:e>
                                <m:r>
                                  <m:t>n</m:t>
                                </m:r>
                              </m:e>
                              <m:sub>
                                <m:r>
                                  <m:t>i</m:t>
                                </m:r>
                              </m:sub>
                            </m:sSub>
                          </m:sub>
                        </m:sSub>
                      </m:num>
                      <m:den>
                        <m:sSub>
                          <m:e>
                            <m:r>
                              <m:t>β</m:t>
                            </m:r>
                          </m:e>
                          <m:sub>
                            <m:r>
                              <m:t>p</m:t>
                            </m:r>
                          </m:sub>
                        </m:sSub>
                      </m:den>
                    </m:f>
                  </m:e>
                </m:mr>
              </m:m>
            </m:e>
          </m:d>
        </m:oMath>
      </m:oMathPara>
    </w:p>
    <w:p>
      <w:pPr>
        <w:pStyle w:val="FirstParagraph"/>
      </w:pPr>
      <m:oMath>
        <m:sSub>
          <m:e>
            <m:r>
              <m:rPr>
                <m:sty m:val="b"/>
              </m:rPr>
              <m:t>V</m:t>
            </m:r>
          </m:e>
          <m:sub>
            <m:r>
              <m:t>i</m:t>
            </m:r>
          </m:sub>
        </m:sSub>
      </m:oMath>
      <w:r>
        <w:t xml:space="preserve"> </w:t>
      </w:r>
      <w:r>
        <w:t xml:space="preserve">is the working covariance matrix. This matrix can be estimated from hyper parameters created in the process of numerically solving for the GEE estimates</w:t>
      </w:r>
      <w:r>
        <w:t xml:space="preserve"> </w:t>
      </w:r>
      <m:oMath>
        <m:sSub>
          <m:e>
            <m:r>
              <m:t>β</m:t>
            </m:r>
          </m:e>
          <m:sub>
            <m:r>
              <m:t>G</m:t>
            </m:r>
            <m:r>
              <m:t>E</m:t>
            </m:r>
            <m:r>
              <m:t>E</m:t>
            </m:r>
          </m:sub>
        </m:sSub>
      </m:oMath>
      <w:r>
        <w:t xml:space="preserve"> </w:t>
      </w:r>
      <w:r>
        <w:t xml:space="preserve">that solve</w:t>
      </w:r>
      <w:r>
        <w:t xml:space="preserve"> </w:t>
      </w:r>
      <m:oMath>
        <m:r>
          <m:t>U</m:t>
        </m:r>
        <m:d>
          <m:dPr>
            <m:begChr m:val="("/>
            <m:endChr m:val=")"/>
            <m:grow/>
          </m:dPr>
          <m:e>
            <m:r>
              <m:t>β</m:t>
            </m:r>
          </m:e>
        </m:d>
        <m:r>
          <m:t>=</m:t>
        </m:r>
        <m:r>
          <m:t>0</m:t>
        </m:r>
      </m:oMath>
      <w:r>
        <w:t xml:space="preserve">. Please see Fitzmaurice, Laird, and Ware</w:t>
      </w:r>
      <w:r>
        <w:t xml:space="preserve"> </w:t>
      </w:r>
      <w:r>
        <w:t xml:space="preserve">[9]</w:t>
      </w:r>
      <w:r>
        <w:t xml:space="preserve"> </w:t>
      </w:r>
      <w:r>
        <w:t xml:space="preserve">for more information.</w:t>
      </w:r>
    </w:p>
    <w:p>
      <w:pPr>
        <w:pStyle w:val="BodyText"/>
      </w:pPr>
      <w:r>
        <w:t xml:space="preserve">The GEE algorithm uses the following general steps to converge at an estimate:</w:t>
      </w:r>
    </w:p>
    <w:p>
      <w:pPr>
        <w:pStyle w:val="Compact"/>
        <w:numPr>
          <w:numId w:val="1003"/>
          <w:ilvl w:val="0"/>
        </w:numPr>
      </w:pPr>
      <w:r>
        <w:t xml:space="preserve">Generalized linear modeling methods employing maximum likelihood estimation are used to obtain intial estimates for</w:t>
      </w:r>
      <w:r>
        <w:t xml:space="preserve"> </w:t>
      </w:r>
      <m:oMath>
        <m:r>
          <m:rPr>
            <m:sty m:val="b"/>
          </m:rPr>
          <m:t>β</m:t>
        </m:r>
      </m:oMath>
    </w:p>
    <w:p>
      <w:pPr>
        <w:pStyle w:val="Compact"/>
        <w:numPr>
          <w:numId w:val="1003"/>
          <w:ilvl w:val="0"/>
        </w:numPr>
      </w:pPr>
      <w:r>
        <w:t xml:space="preserve">Estimates for</w:t>
      </w:r>
      <w:r>
        <w:t xml:space="preserve"> </w:t>
      </w:r>
      <m:oMath>
        <m:r>
          <m:rPr>
            <m:sty m:val="b"/>
          </m:rPr>
          <m:t>β</m:t>
        </m:r>
      </m:oMath>
      <w:r>
        <w:t xml:space="preserve"> </w:t>
      </w:r>
      <w:r>
        <w:t xml:space="preserve">(from 1) used to compute hyper-parameters</w:t>
      </w:r>
    </w:p>
    <w:p>
      <w:pPr>
        <w:pStyle w:val="Compact"/>
        <w:numPr>
          <w:numId w:val="1003"/>
          <w:ilvl w:val="0"/>
        </w:numPr>
      </w:pPr>
      <w:r>
        <w:t xml:space="preserve">New estimates for hyper-parameters and working covariance matrix (</w:t>
      </w:r>
      <m:oMath>
        <m:sSub>
          <m:e>
            <m:r>
              <m:rPr>
                <m:sty m:val="b"/>
              </m:rPr>
              <m:t>V</m:t>
            </m:r>
          </m:e>
          <m:sub>
            <m:r>
              <m:t>i</m:t>
            </m:r>
          </m:sub>
        </m:sSub>
      </m:oMath>
      <w:r>
        <w:t xml:space="preserve">) used to obtain new estimates for</w:t>
      </w:r>
      <w:r>
        <w:t xml:space="preserve"> </w:t>
      </w:r>
      <m:oMath>
        <m:r>
          <m:rPr>
            <m:sty m:val="b"/>
          </m:rPr>
          <m:t>β</m:t>
        </m:r>
      </m:oMath>
      <w:r>
        <w:t xml:space="preserve"> </w:t>
      </w:r>
      <w:r>
        <w:t xml:space="preserve">by solving (1)</w:t>
      </w:r>
    </w:p>
    <w:p>
      <w:pPr>
        <w:pStyle w:val="Compact"/>
        <w:numPr>
          <w:numId w:val="1003"/>
          <w:ilvl w:val="0"/>
        </w:numPr>
      </w:pPr>
      <w:r>
        <w:t xml:space="preserve">Repeat Steps 2 &amp; 3 until algorithm converges</w:t>
      </w:r>
    </w:p>
    <w:p>
      <w:pPr>
        <w:pStyle w:val="FirstParagraph"/>
      </w:pPr>
      <w:r>
        <w:t xml:space="preserve">The algorithm is robust to misspecification of the observational covariance structure. So initially incorrect specifications of the working covariance matrix still converge to the appropriate structure form with algorithmic iteration.</w:t>
      </w:r>
    </w:p>
    <w:p>
      <w:pPr>
        <w:pStyle w:val="BodyText"/>
      </w:pPr>
      <w:r>
        <w:t xml:space="preserve">The GEE algorithm is stable, in-part due to the fact that the method estimates population-average effects. Each of the previous methods (model LM withstanding) have subject-specific interpretations, but the GEE algorithm provides marginal parameter estimates. These values do not represent any specific subject, but rather a</w:t>
      </w:r>
      <w:r>
        <w:t xml:space="preserve"> </w:t>
      </w:r>
      <w:r>
        <w:t xml:space="preserve"> </w:t>
      </w:r>
      <w:r>
        <w:t xml:space="preserve">average subject.</w:t>
      </w:r>
    </w:p>
    <w:p>
      <w:pPr>
        <w:pStyle w:val="BodyText"/>
      </w:pPr>
      <w:r>
        <w:t xml:space="preserve">According to Fitzmaurice, Laird, and Ware</w:t>
      </w:r>
      <w:r>
        <w:t xml:space="preserve"> </w:t>
      </w:r>
      <w:r>
        <w:t xml:space="preserve">[9]</w:t>
      </w:r>
      <w:r>
        <w:t xml:space="preserve">, responses modeled with the GEE process need to be stationary, i.e:</w:t>
      </w:r>
    </w:p>
    <w:p>
      <w:pPr>
        <w:pStyle w:val="BodyText"/>
      </w:pPr>
      <m:oMathPara>
        <m:oMathParaPr>
          <m:jc m:val="center"/>
        </m:oMathParaPr>
        <m:oMath>
          <m:r>
            <m:t>E</m:t>
          </m:r>
          <m:d>
            <m:dPr>
              <m:begChr m:val="["/>
              <m:endChr m:val="]"/>
              <m:grow/>
            </m:dPr>
            <m:e>
              <m:sSub>
                <m:e>
                  <m:r>
                    <m:t>Y</m:t>
                  </m:r>
                </m:e>
                <m:sub>
                  <m:r>
                    <m:t>i</m:t>
                  </m:r>
                  <m:r>
                    <m:t>j</m:t>
                  </m:r>
                </m:sub>
              </m:sSub>
              <m:r>
                <m:t>|</m:t>
              </m:r>
              <m:sSub>
                <m:e>
                  <m:r>
                    <m:rPr>
                      <m:sty m:val="b"/>
                    </m:rPr>
                    <m:t>X</m:t>
                  </m:r>
                </m:e>
                <m:sub>
                  <m:r>
                    <m:t>i</m:t>
                  </m:r>
                </m:sub>
              </m:sSub>
            </m:e>
          </m:d>
          <m:r>
            <m:t>=</m:t>
          </m:r>
          <m:r>
            <m:t>E</m:t>
          </m:r>
          <m:d>
            <m:dPr>
              <m:begChr m:val="["/>
              <m:endChr m:val="]"/>
              <m:grow/>
            </m:dPr>
            <m:e>
              <m:sSub>
                <m:e>
                  <m:r>
                    <m:t>Y</m:t>
                  </m:r>
                </m:e>
                <m:sub>
                  <m:r>
                    <m:t>i</m:t>
                  </m:r>
                  <m:r>
                    <m:t>j</m:t>
                  </m:r>
                </m:sub>
              </m:sSub>
              <m:r>
                <m:t>|</m:t>
              </m:r>
              <m:sSub>
                <m:e>
                  <m:r>
                    <m:t>X</m:t>
                  </m:r>
                </m:e>
                <m:sub>
                  <m:r>
                    <m:t>i</m:t>
                  </m:r>
                  <m:r>
                    <m:t>1</m:t>
                  </m:r>
                </m:sub>
              </m:sSub>
              <m:r>
                <m:t>,</m:t>
              </m:r>
              <m:r>
                <m:t>…</m:t>
              </m:r>
              <m:r>
                <m:t>,</m:t>
              </m:r>
              <m:sSub>
                <m:e>
                  <m:r>
                    <m:t>X</m:t>
                  </m:r>
                </m:e>
                <m:sub>
                  <m:r>
                    <m:t>i</m:t>
                  </m:r>
                  <m:sSub>
                    <m:e>
                      <m:r>
                        <m:t>n</m:t>
                      </m:r>
                    </m:e>
                    <m:sub>
                      <m:r>
                        <m:t>i</m:t>
                      </m:r>
                    </m:sub>
                  </m:sSub>
                </m:sub>
              </m:sSub>
            </m:e>
          </m:d>
          <m:r>
            <m:t>=</m:t>
          </m:r>
          <m:r>
            <m:t>E</m:t>
          </m:r>
          <m:d>
            <m:dPr>
              <m:begChr m:val="["/>
              <m:endChr m:val="]"/>
              <m:grow/>
            </m:dPr>
            <m:e>
              <m:sSub>
                <m:e>
                  <m:r>
                    <m:t>Y</m:t>
                  </m:r>
                </m:e>
                <m:sub>
                  <m:r>
                    <m:t>i</m:t>
                  </m:r>
                  <m:r>
                    <m:t>j</m:t>
                  </m:r>
                </m:sub>
              </m:sSub>
              <m:r>
                <m:t>|</m:t>
              </m:r>
              <m:sSub>
                <m:e>
                  <m:r>
                    <m:t>X</m:t>
                  </m:r>
                </m:e>
                <m:sub>
                  <m:r>
                    <m:t>i</m:t>
                  </m:r>
                  <m:r>
                    <m:t>j</m:t>
                  </m:r>
                </m:sub>
              </m:sSub>
            </m:e>
          </m:d>
        </m:oMath>
      </m:oMathPara>
    </w:p>
    <w:p>
      <w:pPr>
        <w:pStyle w:val="FirstParagraph"/>
      </w:pPr>
      <w:r>
        <w:t xml:space="preserve">The scRNA-seq data is assumed to be independent within-subject, therefore:</w:t>
      </w:r>
    </w:p>
    <w:p>
      <w:pPr>
        <w:pStyle w:val="BodyText"/>
      </w:pPr>
      <m:oMathPara>
        <m:oMathParaPr>
          <m:jc m:val="center"/>
        </m:oMathParaPr>
        <m:oMath>
          <m:r>
            <m:t>E</m:t>
          </m:r>
          <m:d>
            <m:dPr>
              <m:begChr m:val="["/>
              <m:endChr m:val="]"/>
              <m:grow/>
            </m:dPr>
            <m:e>
              <m:sSub>
                <m:e>
                  <m:r>
                    <m:t>Y</m:t>
                  </m:r>
                </m:e>
                <m:sub>
                  <m:r>
                    <m:t>i</m:t>
                  </m:r>
                  <m:r>
                    <m:t>j</m:t>
                  </m:r>
                </m:sub>
              </m:sSub>
              <m:r>
                <m:t>|</m:t>
              </m:r>
              <m:sSub>
                <m:e>
                  <m:r>
                    <m:t>X</m:t>
                  </m:r>
                </m:e>
                <m:sub>
                  <m:r>
                    <m:t>i</m:t>
                  </m:r>
                  <m:r>
                    <m:t>j</m:t>
                  </m:r>
                </m:sub>
              </m:sSub>
            </m:e>
          </m:d>
          <m:r>
            <m:t>=</m:t>
          </m:r>
          <m:r>
            <m:t>E</m:t>
          </m:r>
          <m:d>
            <m:dPr>
              <m:begChr m:val="["/>
              <m:endChr m:val="]"/>
              <m:grow/>
            </m:dPr>
            <m:e>
              <m:sSub>
                <m:e>
                  <m:r>
                    <m:t>Y</m:t>
                  </m:r>
                </m:e>
                <m:sub>
                  <m:r>
                    <m:t>i</m:t>
                  </m:r>
                  <m:r>
                    <m:t>j</m:t>
                  </m:r>
                </m:sub>
              </m:sSub>
              <m:r>
                <m:t>|</m:t>
              </m:r>
              <m:sSub>
                <m:e>
                  <m:r>
                    <m:t>X</m:t>
                  </m:r>
                </m:e>
                <m:sub>
                  <m:r>
                    <m:t>i</m:t>
                  </m:r>
                  <m:r>
                    <m:t>j</m:t>
                  </m:r>
                  <m:r>
                    <m:t>′</m:t>
                  </m:r>
                </m:sub>
              </m:sSub>
            </m:e>
          </m:d>
        </m:oMath>
      </m:oMathPara>
    </w:p>
    <w:p>
      <w:pPr>
        <w:pStyle w:val="FirstParagraph"/>
      </w:pPr>
      <m:oMathPara>
        <m:oMathParaPr>
          <m:jc m:val="center"/>
        </m:oMathParaPr>
        <m:oMath>
          <m:r>
            <m:t>∀</m:t>
          </m:r>
          <m:r>
            <m:t>j</m:t>
          </m:r>
          <m:r>
            <m:t>∈</m:t>
          </m:r>
          <m:d>
            <m:dPr>
              <m:begChr m:val="{"/>
              <m:endChr m:val="}"/>
              <m:grow/>
            </m:dPr>
            <m:e>
              <m:r>
                <m:t>1</m:t>
              </m:r>
              <m:r>
                <m:t>,</m:t>
              </m:r>
              <m:r>
                <m:t>…</m:t>
              </m:r>
              <m:r>
                <m:t>,</m:t>
              </m:r>
              <m:sSub>
                <m:e>
                  <m:r>
                    <m:t>n</m:t>
                  </m:r>
                </m:e>
                <m:sub>
                  <m:r>
                    <m:t>i</m:t>
                  </m:r>
                </m:sub>
              </m:sSub>
            </m:e>
          </m:d>
          <m:r>
            <m:t> </m:t>
          </m:r>
          <m:r>
            <m:t>j</m:t>
          </m:r>
          <m:r>
            <m:t>≠</m:t>
          </m:r>
          <m:r>
            <m:t>j</m:t>
          </m:r>
          <m:r>
            <m:t>′</m:t>
          </m:r>
        </m:oMath>
      </m:oMathPara>
    </w:p>
    <w:p>
      <w:pPr>
        <w:pStyle w:val="FirstParagraph"/>
      </w:pPr>
      <w:r>
        <w:t xml:space="preserve">as needed.</w:t>
      </w:r>
    </w:p>
    <w:p>
      <w:pPr>
        <w:pStyle w:val="BodyText"/>
      </w:pPr>
      <w:r>
        <w:t xml:space="preserve">The three-part specification of the GEE framework includes:</w:t>
      </w:r>
    </w:p>
    <w:p>
      <w:pPr>
        <w:pStyle w:val="Compact"/>
        <w:numPr>
          <w:numId w:val="1004"/>
          <w:ilvl w:val="0"/>
        </w:numPr>
      </w:pPr>
      <w:r>
        <w:t xml:space="preserve">The link function and linear predictor</w:t>
      </w:r>
    </w:p>
    <w:p>
      <w:pPr>
        <w:pStyle w:val="Compact"/>
        <w:numPr>
          <w:numId w:val="1004"/>
          <w:ilvl w:val="0"/>
        </w:numPr>
      </w:pPr>
      <w:r>
        <w:t xml:space="preserve">Variance function</w:t>
      </w:r>
    </w:p>
    <w:p>
      <w:pPr>
        <w:pStyle w:val="Compact"/>
        <w:numPr>
          <w:numId w:val="1004"/>
          <w:ilvl w:val="0"/>
        </w:numPr>
      </w:pPr>
      <w:r>
        <w:t xml:space="preserve">A working covariance matrix</w:t>
      </w:r>
    </w:p>
    <w:p>
      <w:pPr>
        <w:pStyle w:val="FirstParagraph"/>
      </w:pPr>
      <w:r>
        <w:t xml:space="preserve">All three items are chosen so that the resulting model estimates are comparable to preceding estimates for intercept and slope. Therefore, the identity link function will be assumed:</w:t>
      </w:r>
    </w:p>
    <w:p>
      <w:pPr>
        <w:pStyle w:val="BodyText"/>
      </w:pPr>
      <m:oMathPara>
        <m:oMathParaPr>
          <m:jc m:val="center"/>
        </m:oMathParaPr>
        <m:oMath>
          <m:r>
            <m:t>g</m:t>
          </m:r>
          <m:r>
            <m:t>(</m:t>
          </m:r>
          <m:r>
            <m:t>x</m:t>
          </m:r>
          <m:r>
            <m:t>)</m:t>
          </m:r>
          <m:r>
            <m:t>=</m:t>
          </m:r>
          <m:r>
            <m:t>x</m:t>
          </m:r>
        </m:oMath>
      </m:oMathPara>
    </w:p>
    <w:p>
      <w:pPr>
        <w:pStyle w:val="FirstParagraph"/>
      </w:pPr>
      <w:r>
        <w:t xml:space="preserve">in conjunction with the linear predictor:</w:t>
      </w:r>
    </w:p>
    <w:p>
      <w:pPr>
        <w:pStyle w:val="BodyText"/>
      </w:pPr>
      <m:oMathPara>
        <m:oMathParaPr>
          <m:jc m:val="center"/>
        </m:oMathParaPr>
        <m:oMath>
          <m:r>
            <m:t>g</m:t>
          </m:r>
          <m:r>
            <m:t>(</m:t>
          </m:r>
          <m:sSub>
            <m:e>
              <m:r>
                <m:t>μ</m:t>
              </m:r>
            </m:e>
            <m:sub>
              <m:r>
                <m:t>i</m:t>
              </m:r>
            </m:sub>
          </m:sSub>
          <m:r>
            <m:t>)</m:t>
          </m:r>
          <m:r>
            <m:t>=</m:t>
          </m:r>
          <m:sSub>
            <m:e>
              <m:r>
                <m:t>η</m:t>
              </m:r>
            </m:e>
            <m:sub>
              <m:r>
                <m:t>i</m:t>
              </m:r>
            </m:sub>
          </m:sSub>
          <m:r>
            <m:t>=</m:t>
          </m:r>
          <m:sSub>
            <m:e>
              <m:r>
                <m:t>β</m:t>
              </m:r>
            </m:e>
            <m:sub>
              <m:r>
                <m:t>0</m:t>
              </m:r>
            </m:sub>
          </m:sSub>
          <m:r>
            <m:t>+</m:t>
          </m:r>
          <m:sSub>
            <m:e>
              <m:r>
                <m:t>β</m:t>
              </m:r>
            </m:e>
            <m:sub>
              <m:r>
                <m:t>1</m:t>
              </m:r>
            </m:sub>
          </m:sSub>
          <m:sSub>
            <m:e>
              <m:r>
                <m:t>X</m:t>
              </m:r>
            </m:e>
            <m:sub>
              <m:r>
                <m:t>i</m:t>
              </m:r>
            </m:sub>
          </m:sSub>
        </m:oMath>
      </m:oMathPara>
    </w:p>
    <w:p>
      <w:pPr>
        <w:pStyle w:val="FirstParagraph"/>
      </w:pPr>
      <w:r>
        <w:t xml:space="preserve">which implies the modeling equation:</w:t>
      </w:r>
    </w:p>
    <w:p>
      <w:pPr>
        <w:pStyle w:val="BodyText"/>
      </w:pPr>
      <m:oMathPara>
        <m:oMathParaPr>
          <m:jc m:val="center"/>
        </m:oMathParaPr>
        <m:oMath>
          <m:r>
            <m:t>E</m:t>
          </m:r>
          <m:d>
            <m:dPr>
              <m:begChr m:val="["/>
              <m:endChr m:val="]"/>
              <m:grow/>
            </m:dPr>
            <m:e>
              <m:sSub>
                <m:e>
                  <m:r>
                    <m:t>Y</m:t>
                  </m:r>
                </m:e>
                <m:sub>
                  <m:r>
                    <m:t>i</m:t>
                  </m:r>
                  <m:r>
                    <m:t>j</m:t>
                  </m:r>
                </m:sub>
              </m:sSub>
            </m:e>
          </m:d>
          <m:r>
            <m:t>=</m:t>
          </m:r>
          <m:sSub>
            <m:e>
              <m:r>
                <m:t>μ</m:t>
              </m:r>
            </m:e>
            <m:sub>
              <m:r>
                <m:t>i</m:t>
              </m:r>
              <m:r>
                <m:t>j</m:t>
              </m:r>
            </m:sub>
          </m:sSub>
          <m:r>
            <m:t>=</m:t>
          </m:r>
          <m:sSub>
            <m:e>
              <m:r>
                <m:t>η</m:t>
              </m:r>
            </m:e>
            <m:sub>
              <m:r>
                <m:t>i</m:t>
              </m:r>
              <m:r>
                <m:t>j</m:t>
              </m:r>
            </m:sub>
          </m:sSub>
          <m:r>
            <m:t>=</m:t>
          </m:r>
          <m:sSub>
            <m:e>
              <m:r>
                <m:t>β</m:t>
              </m:r>
            </m:e>
            <m:sub>
              <m:r>
                <m:t>0</m:t>
              </m:r>
            </m:sub>
          </m:sSub>
          <m:r>
            <m:t>+</m:t>
          </m:r>
          <m:sSub>
            <m:e>
              <m:r>
                <m:t>β</m:t>
              </m:r>
            </m:e>
            <m:sub>
              <m:r>
                <m:t>1</m:t>
              </m:r>
            </m:sub>
          </m:sSub>
          <m:sSub>
            <m:e>
              <m:r>
                <m:t>X</m:t>
              </m:r>
            </m:e>
            <m:sub>
              <m:r>
                <m:t>i</m:t>
              </m:r>
              <m:r>
                <m:t>j</m:t>
              </m:r>
            </m:sub>
          </m:sSub>
        </m:oMath>
      </m:oMathPara>
    </w:p>
    <w:p>
      <w:pPr>
        <w:pStyle w:val="FirstParagraph"/>
      </w:pPr>
      <w:r>
        <w:t xml:space="preserve">Additionally, an identity variance function will be assumed:</w:t>
      </w:r>
      <w:r>
        <w:t xml:space="preserve"> </w:t>
      </w:r>
      <w:r>
        <w:t xml:space="preserve"> </w:t>
      </w:r>
      <w:r>
        <w:t xml:space="preserve">and a working covariance matrix structure for repeated measures that correspond to the assumption of independence of observations within a subject will be specified as:</w:t>
      </w:r>
    </w:p>
    <w:p>
      <w:pPr>
        <w:pStyle w:val="BodyText"/>
      </w:pPr>
      <m:oMathPara>
        <m:oMathParaPr>
          <m:jc m:val="center"/>
        </m:oMathParaPr>
        <m:oMath>
          <m:sSub>
            <m:e>
              <m:d>
                <m:dPr>
                  <m:begChr m:val="["/>
                  <m:endChr m:val="]"/>
                  <m:grow/>
                </m:dPr>
                <m:e>
                  <m:r>
                    <m:t>C</m:t>
                  </m:r>
                  <m:r>
                    <m:t>o</m:t>
                  </m:r>
                  <m:r>
                    <m:t>v</m:t>
                  </m:r>
                  <m:d>
                    <m:dPr>
                      <m:begChr m:val="("/>
                      <m:endChr m:val=")"/>
                      <m:grow/>
                    </m:dPr>
                    <m:e>
                      <m:sSub>
                        <m:e>
                          <m:r>
                            <m:t>Y</m:t>
                          </m:r>
                        </m:e>
                        <m:sub>
                          <m:r>
                            <m:t>i</m:t>
                          </m:r>
                          <m:r>
                            <m:t>j</m:t>
                          </m:r>
                        </m:sub>
                      </m:sSub>
                      <m:r>
                        <m:t>,</m:t>
                      </m:r>
                      <m:sSub>
                        <m:e>
                          <m:r>
                            <m:t>Y</m:t>
                          </m:r>
                        </m:e>
                        <m:sub>
                          <m:r>
                            <m:t>i</m:t>
                          </m:r>
                          <m:r>
                            <m:t>k</m:t>
                          </m:r>
                        </m:sub>
                      </m:sSub>
                    </m:e>
                  </m:d>
                </m:e>
              </m:d>
            </m:e>
            <m:sub>
              <m:r>
                <m:t>j</m:t>
              </m:r>
              <m:r>
                <m:t>k</m:t>
              </m:r>
            </m:sub>
          </m:sSub>
          <m:r>
            <m:t>=</m:t>
          </m:r>
          <m:d>
            <m:dPr>
              <m:begChr m:val="{"/>
              <m:endChr m:val=""/>
              <m:grow/>
            </m:dPr>
            <m:e>
              <m:m>
                <m:mPr>
                  <m:baseJc m:val="center"/>
                  <m:plcHide m:val="1"/>
                  <m:mcs>
                    <m:mc>
                      <m:mcPr>
                        <m:mcJc m:val="left"/>
                        <m:count m:val="1"/>
                      </m:mcPr>
                    </m:mc>
                    <m:mc>
                      <m:mcPr>
                        <m:mcJc m:val="left"/>
                        <m:count m:val="1"/>
                      </m:mcPr>
                    </m:mc>
                  </m:mcs>
                </m:mPr>
                <m:mr>
                  <m:e>
                    <m:r>
                      <m:t>V</m:t>
                    </m:r>
                    <m:r>
                      <m:t>a</m:t>
                    </m:r>
                    <m:r>
                      <m:t>r</m:t>
                    </m:r>
                    <m:d>
                      <m:dPr>
                        <m:begChr m:val="("/>
                        <m:endChr m:val=")"/>
                        <m:grow/>
                      </m:dPr>
                      <m:e>
                        <m:sSub>
                          <m:e>
                            <m:r>
                              <m:t>Y</m:t>
                            </m:r>
                          </m:e>
                          <m:sub>
                            <m:r>
                              <m:t>i</m:t>
                            </m:r>
                            <m:r>
                              <m:t>j</m:t>
                            </m:r>
                          </m:sub>
                        </m:sSub>
                      </m:e>
                    </m:d>
                    <m:r>
                      <m:t> </m:t>
                    </m:r>
                  </m:e>
                  <m:e>
                    <m:r>
                      <m:rPr>
                        <m:sty m:val="p"/>
                      </m:rPr>
                      <m:t>if</m:t>
                    </m:r>
                    <m:r>
                      <m:t> </m:t>
                    </m:r>
                    <m:r>
                      <m:t>j</m:t>
                    </m:r>
                    <m:r>
                      <m:t>=</m:t>
                    </m:r>
                    <m:r>
                      <m:t>k</m:t>
                    </m:r>
                  </m:e>
                </m:mr>
                <m:mr>
                  <m:e>
                    <m:r>
                      <m:t>0</m:t>
                    </m:r>
                    <m:r>
                      <m:t> </m:t>
                    </m:r>
                  </m:e>
                  <m:e>
                    <m:r>
                      <m:rPr>
                        <m:sty m:val="p"/>
                      </m:rPr>
                      <m:t>if</m:t>
                    </m:r>
                    <m:r>
                      <m:t> </m:t>
                    </m:r>
                    <m:r>
                      <m:t>j</m:t>
                    </m:r>
                    <m:r>
                      <m:t>≠</m:t>
                    </m:r>
                    <m:r>
                      <m:t>k</m:t>
                    </m:r>
                  </m:e>
                </m:mr>
              </m:m>
            </m:e>
          </m:d>
        </m:oMath>
      </m:oMathPara>
    </w:p>
    <w:p>
      <w:pPr>
        <w:pStyle w:val="FirstParagraph"/>
      </w:pPr>
      <m:oMathPara>
        <m:oMathParaPr>
          <m:jc m:val="center"/>
        </m:oMathParaPr>
        <m:oMath>
          <m:r>
            <m:t>f</m:t>
          </m:r>
          <m:r>
            <m:t>o</m:t>
          </m:r>
          <m:r>
            <m:t>r</m:t>
          </m:r>
          <m:r>
            <m:t> </m:t>
          </m:r>
          <m:r>
            <m:t>j</m:t>
          </m:r>
          <m:r>
            <m:t>,</m:t>
          </m:r>
          <m:r>
            <m:t>k</m:t>
          </m:r>
          <m:r>
            <m:t>∈</m:t>
          </m:r>
          <m:d>
            <m:dPr>
              <m:begChr m:val="{"/>
              <m:endChr m:val="}"/>
              <m:grow/>
            </m:dPr>
            <m:e>
              <m:r>
                <m:t>1</m:t>
              </m:r>
              <m:r>
                <m:t>,</m:t>
              </m:r>
              <m:r>
                <m:t>…</m:t>
              </m:r>
              <m:r>
                <m:t>,</m:t>
              </m:r>
              <m:sSub>
                <m:e>
                  <m:r>
                    <m:t>n</m:t>
                  </m:r>
                </m:e>
                <m:sub>
                  <m:r>
                    <m:t>i</m:t>
                  </m:r>
                </m:sub>
              </m:sSub>
            </m:e>
          </m:d>
        </m:oMath>
      </m:oMathPara>
    </w:p>
    <w:p>
      <w:pPr>
        <w:pStyle w:val="Heading2"/>
      </w:pPr>
      <w:bookmarkStart w:id="36" w:name="parameter-interpretations"/>
      <w:r>
        <w:t xml:space="preserve">Parameter Interpretations</w:t>
      </w:r>
      <w:bookmarkEnd w:id="36"/>
    </w:p>
    <w:p>
      <w:pPr>
        <w:pStyle w:val="FirstParagraph"/>
      </w:pPr>
      <w:r>
        <w:t xml:space="preserve">The GEE and LM modeling techniques are methods of obtaining estimates of population-averaged parameters. These parameter values are interpreted as contributing to the response of the</w:t>
      </w:r>
      <w:r>
        <w:t xml:space="preserve"> </w:t>
      </w:r>
      <w:r>
        <w:t xml:space="preserve"> </w:t>
      </w:r>
      <w:r>
        <w:t xml:space="preserve">average subject (not representative of any single subject within the sample).</w:t>
      </w:r>
    </w:p>
    <w:p>
      <w:pPr>
        <w:pStyle w:val="BodyText"/>
      </w:pPr>
      <w:r>
        <w:t xml:space="preserve">Suppose that</w:t>
      </w:r>
      <w:r>
        <w:t xml:space="preserve"> </w:t>
      </w:r>
      <m:oMath>
        <m:sSub>
          <m:e>
            <m:acc>
              <m:accPr>
                <m:chr m:val="̂"/>
              </m:accPr>
              <m:e>
                <m:r>
                  <m:t>β</m:t>
                </m:r>
              </m:e>
            </m:acc>
          </m:e>
          <m:sub>
            <m:r>
              <m:t>p</m:t>
            </m:r>
            <m:r>
              <m:t>o</m:t>
            </m:r>
            <m:r>
              <m:t>p</m:t>
            </m:r>
            <m:r>
              <m:t>u</m:t>
            </m:r>
            <m:r>
              <m:t>l</m:t>
            </m:r>
            <m:r>
              <m:t>a</m:t>
            </m:r>
            <m:r>
              <m:t>t</m:t>
            </m:r>
            <m:r>
              <m:t>i</m:t>
            </m:r>
            <m:r>
              <m:t>o</m:t>
            </m:r>
            <m:r>
              <m:t>n</m:t>
            </m:r>
          </m:sub>
        </m:sSub>
      </m:oMath>
      <w:r>
        <w:t xml:space="preserve"> </w:t>
      </w:r>
      <w:r>
        <w:t xml:space="preserve">represents an estimate obtained for the fixed effect slope as obtained by one of the previously describe</w:t>
      </w:r>
      <w:r>
        <w:t xml:space="preserve"> </w:t>
      </w:r>
      <w:r>
        <w:t xml:space="preserve"> </w:t>
      </w:r>
      <w:r>
        <w:t xml:space="preserve">modeling methods. An interpretation of this parameter is:</w:t>
      </w:r>
      <w:r>
        <w:t xml:space="preserve"> </w:t>
      </w:r>
      <w:r>
        <w:rPr>
          <w:b/>
        </w:rPr>
        <w:t xml:space="preserve">across all subjects, a one-unit increase in the predictor (</w:t>
      </w:r>
      <m:oMath>
        <m:sSub>
          <m:e>
            <m:r>
              <m:t>X</m:t>
            </m:r>
          </m:e>
          <m:sub>
            <m:r>
              <m:t>i</m:t>
            </m:r>
            <m:r>
              <m:t>j</m:t>
            </m:r>
          </m:sub>
        </m:sSub>
      </m:oMath>
      <w:r>
        <w:rPr>
          <w:b/>
        </w:rPr>
        <w:t xml:space="preserve">) is associated with a</w:t>
      </w:r>
      <w:r>
        <w:rPr>
          <w:b/>
        </w:rPr>
        <w:t xml:space="preserve"> </w:t>
      </w:r>
      <m:oMath>
        <m:r>
          <m:t>(</m:t>
        </m:r>
        <m:sSub>
          <m:e>
            <m:acc>
              <m:accPr>
                <m:chr m:val="̂"/>
              </m:accPr>
              <m:e>
                <m:r>
                  <m:t>β</m:t>
                </m:r>
              </m:e>
            </m:acc>
          </m:e>
          <m:sub>
            <m:r>
              <m:t>p</m:t>
            </m:r>
            <m:r>
              <m:t>o</m:t>
            </m:r>
            <m:r>
              <m:t>p</m:t>
            </m:r>
            <m:r>
              <m:t>u</m:t>
            </m:r>
            <m:r>
              <m:t>l</m:t>
            </m:r>
            <m:r>
              <m:t>a</m:t>
            </m:r>
            <m:r>
              <m:t>t</m:t>
            </m:r>
            <m:r>
              <m:t>i</m:t>
            </m:r>
            <m:r>
              <m:t>o</m:t>
            </m:r>
            <m:r>
              <m:t>n</m:t>
            </m:r>
          </m:sub>
        </m:sSub>
        <m:r>
          <m:t>)</m:t>
        </m:r>
      </m:oMath>
      <w:r>
        <w:rPr>
          <w:b/>
        </w:rPr>
        <w:t xml:space="preserve"> </w:t>
      </w:r>
      <w:r>
        <w:rPr>
          <w:b/>
        </w:rPr>
        <w:t xml:space="preserve">unit change in the expected outcome (</w:t>
      </w:r>
      <m:oMath>
        <m:sSub>
          <m:e>
            <m:r>
              <m:t>Y</m:t>
            </m:r>
          </m:e>
          <m:sub>
            <m:r>
              <m:t>i</m:t>
            </m:r>
            <m:r>
              <m:t>j</m:t>
            </m:r>
          </m:sub>
        </m:sSub>
      </m:oMath>
      <w:r>
        <w:rPr>
          <w:b/>
        </w:rPr>
        <w:t xml:space="preserve">)</w:t>
      </w:r>
    </w:p>
    <w:p>
      <w:pPr>
        <w:pStyle w:val="BodyText"/>
      </w:pPr>
      <w:r>
        <w:t xml:space="preserve">Conversely, the LM-FE, LMM-RI and LMM-RS modeling techniques are methods of obtaining estimates of subject-specific parameters. These parameter values are interpreted as contributing to the average response having controlled for a constant subject of origin (i.e. the parameter estimate attributable to a single subject within the sample)</w:t>
      </w:r>
    </w:p>
    <w:p>
      <w:pPr>
        <w:pStyle w:val="BodyText"/>
      </w:pPr>
      <w:r>
        <w:t xml:space="preserve">Suppose that</w:t>
      </w:r>
      <w:r>
        <w:t xml:space="preserve"> </w:t>
      </w:r>
      <m:oMath>
        <m:sSub>
          <m:e>
            <m:acc>
              <m:accPr>
                <m:chr m:val="̂"/>
              </m:accPr>
              <m:e>
                <m:r>
                  <m:t>β</m:t>
                </m:r>
              </m:e>
            </m:acc>
          </m:e>
          <m:sub>
            <m:r>
              <m:t>s</m:t>
            </m:r>
            <m:r>
              <m:t>u</m:t>
            </m:r>
            <m:r>
              <m:t>b</m:t>
            </m:r>
            <m:r>
              <m:t>j</m:t>
            </m:r>
            <m:r>
              <m:t>e</m:t>
            </m:r>
            <m:r>
              <m:t>c</m:t>
            </m:r>
            <m:r>
              <m:t>t</m:t>
            </m:r>
          </m:sub>
        </m:sSub>
      </m:oMath>
      <w:r>
        <w:t xml:space="preserve"> </w:t>
      </w:r>
      <w:r>
        <w:t xml:space="preserve">represents an estimate obtained for the fixed effect slope as obtained by one of the previously describe</w:t>
      </w:r>
      <w:r>
        <w:t xml:space="preserve"> </w:t>
      </w:r>
      <w:r>
        <w:t xml:space="preserve"> </w:t>
      </w:r>
      <w:r>
        <w:t xml:space="preserve">modeling methods. An interpretation of this parameter is:</w:t>
      </w:r>
      <w:r>
        <w:t xml:space="preserve"> </w:t>
      </w:r>
      <w:r>
        <w:rPr>
          <w:b/>
        </w:rPr>
        <w:t xml:space="preserve">for a given subject (controlling for the subject of origin) a one-unit increase in the predictor (</w:t>
      </w:r>
      <m:oMath>
        <m:sSub>
          <m:e>
            <m:r>
              <m:t>X</m:t>
            </m:r>
          </m:e>
          <m:sub>
            <m:r>
              <m:t>i</m:t>
            </m:r>
            <m:r>
              <m:t>j</m:t>
            </m:r>
          </m:sub>
        </m:sSub>
      </m:oMath>
      <w:r>
        <w:rPr>
          <w:b/>
        </w:rPr>
        <w:t xml:space="preserve">) is associated with a</w:t>
      </w:r>
      <w:r>
        <w:rPr>
          <w:b/>
        </w:rPr>
        <w:t xml:space="preserve"> </w:t>
      </w:r>
      <m:oMath>
        <m:r>
          <m:t>(</m:t>
        </m:r>
        <m:sSub>
          <m:e>
            <m:acc>
              <m:accPr>
                <m:chr m:val="̂"/>
              </m:accPr>
              <m:e>
                <m:r>
                  <m:t>β</m:t>
                </m:r>
              </m:e>
            </m:acc>
          </m:e>
          <m:sub>
            <m:r>
              <m:t>s</m:t>
            </m:r>
            <m:r>
              <m:t>u</m:t>
            </m:r>
            <m:r>
              <m:t>b</m:t>
            </m:r>
            <m:r>
              <m:t>j</m:t>
            </m:r>
            <m:r>
              <m:t>e</m:t>
            </m:r>
            <m:r>
              <m:t>c</m:t>
            </m:r>
            <m:r>
              <m:t>t</m:t>
            </m:r>
          </m:sub>
        </m:sSub>
        <m:r>
          <m:t>)</m:t>
        </m:r>
      </m:oMath>
      <w:r>
        <w:rPr>
          <w:b/>
        </w:rPr>
        <w:t xml:space="preserve"> </w:t>
      </w:r>
      <w:r>
        <w:rPr>
          <w:b/>
        </w:rPr>
        <w:t xml:space="preserve">unit change in the expected outcome (</w:t>
      </w:r>
      <m:oMath>
        <m:sSub>
          <m:e>
            <m:r>
              <m:t>Y</m:t>
            </m:r>
          </m:e>
          <m:sub>
            <m:r>
              <m:t>i</m:t>
            </m:r>
            <m:r>
              <m:t>j</m:t>
            </m:r>
          </m:sub>
        </m:sSub>
      </m:oMath>
      <w:r>
        <w:rPr>
          <w:b/>
        </w:rPr>
        <w:t xml:space="preserve">).</w:t>
      </w:r>
    </w:p>
    <w:p>
      <w:pPr>
        <w:pStyle w:val="Heading1"/>
      </w:pPr>
      <w:bookmarkStart w:id="37" w:name="results"/>
      <w:r>
        <w:t xml:space="preserve">Results</w:t>
      </w:r>
      <w:bookmarkEnd w:id="37"/>
    </w:p>
    <w:p>
      <w:pPr>
        <w:pStyle w:val="Compact"/>
      </w:pPr>
      <w:r>
        <w:t xml:space="preserve">Displayed in</w:t>
      </w:r>
      <w:r>
        <w:t xml:space="preserve"> </w:t>
      </w:r>
      <w:r>
        <w:t xml:space="preserve"> </w:t>
      </w:r>
      <w:r>
        <w:t xml:space="preserve">-</w:t>
      </w:r>
      <w:r>
        <w:t xml:space="preserve"> </w:t>
      </w:r>
      <w:r>
        <w:t xml:space="preserve"> </w:t>
      </w:r>
      <w:r>
        <w:t xml:space="preserve">below are percent change in: parameter estimate, standard error, and test statistic for the</w:t>
      </w:r>
      <w:r>
        <w:t xml:space="preserve"> </w:t>
      </w:r>
      <m:oMath>
        <m:r>
          <m:t>M</m:t>
        </m:r>
        <m:r>
          <m:t>A</m:t>
        </m:r>
        <m:r>
          <m:t>L</m:t>
        </m:r>
        <m:r>
          <m:t>A</m:t>
        </m:r>
        <m:r>
          <m:t>T</m:t>
        </m:r>
        <m:r>
          <m:t>1</m:t>
        </m:r>
        <m:r>
          <m:t>∼</m:t>
        </m:r>
        <m:r>
          <m:t>C</m:t>
        </m:r>
        <m:r>
          <m:t>D</m:t>
        </m:r>
        <m:r>
          <m:t>19</m:t>
        </m:r>
      </m:oMath>
      <w:r>
        <w:t xml:space="preserve"> </w:t>
      </w:r>
      <w:r>
        <w:t xml:space="preserve">variable pairing in</w:t>
      </w:r>
      <w:r>
        <w:t xml:space="preserve"> </w:t>
      </w:r>
      <w:r>
        <w:t xml:space="preserve"> </w:t>
      </w:r>
      <w:r>
        <w:t xml:space="preserve">and the</w:t>
      </w:r>
      <w:r>
        <w:t xml:space="preserve"> </w:t>
      </w:r>
      <m:oMath>
        <m:r>
          <m:t>F</m:t>
        </m:r>
        <m:r>
          <m:t>B</m:t>
        </m:r>
        <m:r>
          <m:t>L</m:t>
        </m:r>
        <m:r>
          <m:t>N</m:t>
        </m:r>
        <m:r>
          <m:t>1</m:t>
        </m:r>
        <m:r>
          <m:t>∼</m:t>
        </m:r>
        <m:r>
          <m:t>C</m:t>
        </m:r>
        <m:r>
          <m:t>D</m:t>
        </m:r>
        <m:r>
          <m:t>34</m:t>
        </m:r>
      </m:oMath>
      <w:r>
        <w:t xml:space="preserve"> </w:t>
      </w:r>
      <w:r>
        <w:t xml:space="preserve">variable paring in</w:t>
      </w:r>
      <w:r>
        <w:t xml:space="preserve"> </w:t>
      </w:r>
      <w:r>
        <w:t xml:space="preserve">. Where the percent change in estimate is defined as:</w:t>
      </w:r>
    </w:p>
    <w:p>
      <w:pPr>
        <w:pStyle w:val="Compact"/>
      </w:pPr>
      <m:oMathPara>
        <m:oMathParaPr>
          <m:jc m:val="center"/>
        </m:oMathParaPr>
        <m:oMath>
          <m:r>
            <m:rPr>
              <m:sty m:val="p"/>
            </m:rPr>
            <m:t>Percent Change</m:t>
          </m:r>
          <m:r>
            <m:t> </m:t>
          </m:r>
          <m:r>
            <m:t>[</m:t>
          </m:r>
          <m:r>
            <m:t>A</m:t>
          </m:r>
          <m:sSub>
            <m:e>
              <m:r>
                <m:t>]</m:t>
              </m:r>
            </m:e>
            <m:sub>
              <m:r>
                <m:t>i</m:t>
              </m:r>
              <m:r>
                <m:t>j</m:t>
              </m:r>
            </m:sub>
          </m:sSub>
          <m:r>
            <m:t>=</m:t>
          </m:r>
          <m:d>
            <m:dPr>
              <m:begChr m:val="("/>
              <m:endChr m:val=")"/>
              <m:grow/>
            </m:dPr>
            <m:e>
              <m:f>
                <m:fPr>
                  <m:type m:val="bar"/>
                </m:fPr>
                <m:num>
                  <m:sSub>
                    <m:e>
                      <m:r>
                        <m:t>A</m:t>
                      </m:r>
                    </m:e>
                    <m:sub>
                      <m:r>
                        <m:t>j</m:t>
                      </m:r>
                    </m:sub>
                  </m:sSub>
                  <m:r>
                    <m:t>−</m:t>
                  </m:r>
                  <m:sSub>
                    <m:e>
                      <m:r>
                        <m:t>A</m:t>
                      </m:r>
                    </m:e>
                    <m:sub>
                      <m:r>
                        <m:t>i</m:t>
                      </m:r>
                    </m:sub>
                  </m:sSub>
                </m:num>
                <m:den>
                  <m:sSub>
                    <m:e>
                      <m:r>
                        <m:t>A</m:t>
                      </m:r>
                    </m:e>
                    <m:sub>
                      <m:r>
                        <m:t>i</m:t>
                      </m:r>
                    </m:sub>
                  </m:sSub>
                </m:den>
              </m:f>
            </m:e>
          </m:d>
          <m:r>
            <m:t>*</m:t>
          </m:r>
          <m:r>
            <m:t>100</m:t>
          </m:r>
        </m:oMath>
      </m:oMathPara>
    </w:p>
    <w:p>
      <w:pPr>
        <w:pStyle w:val="Heading2"/>
      </w:pPr>
      <w:bookmarkStart w:id="38" w:name="parameter-value-comparisons"/>
      <w:r>
        <w:t xml:space="preserve">Parameter Value Comparisons</w:t>
      </w:r>
      <w:bookmarkEnd w:id="38"/>
    </w:p>
    <w:p>
      <w:pPr>
        <w:pStyle w:val="FirstParagraph"/>
      </w:pPr>
      <w:r>
        <w:t xml:space="preserve">A comparison of main effect slope coefficient, standard error and test statistic across modeling approaches within variable pairings indicates that estimates produced by the LM and GEE methods are numerically indistinguishable at resolutions greater than</w:t>
      </w:r>
      <w:r>
        <w:t xml:space="preserve"> </w:t>
      </w:r>
      <m:oMath>
        <m:sSup>
          <m:e>
            <m:r>
              <m:t>10</m:t>
            </m:r>
          </m:e>
          <m:sup>
            <m:r>
              <m:t>−</m:t>
            </m:r>
            <m:r>
              <m:t>4</m:t>
            </m:r>
          </m:sup>
        </m:sSup>
      </m:oMath>
      <w:r>
        <w:t xml:space="preserve">. The LM-FE and LMM-RI method estimates are also similar since estimates for each parameter type (coefficient, standard error and test statistic) exhibit magnitude and directional similarities in both variable pairings.</w:t>
      </w:r>
    </w:p>
    <w:p>
      <w:pPr>
        <w:pStyle w:val="BodyText"/>
      </w:pPr>
      <w:r>
        <w:t xml:space="preserve">The LMM-RS estimates for the fixed effect slope parameter standard error is the highest when compared to the corresponding estimates within variable pairing as generated by other modeling methods. In contrast, the standard error of the fixed effect slope parameter is lowest for the LMM-RI model within variable pairings. The LM-FE model has a lower fixed effect slope standard error than either the LM or the GEE model within both variable combinations.</w:t>
      </w:r>
    </w:p>
    <w:p>
      <w:pPr>
        <w:pStyle w:val="BodyText"/>
      </w:pPr>
      <w:r>
        <w:t xml:space="preserve">The differences in test statistics of the fixed effect slope parameter for each modeling method within each variable pairing are analogous to the differences in slope coefficients previously noted. In particular, test statistics have similar values between the LM and GEE models as well as between the LM-FE and LMM-RI models. Test statistics calculated for the LMM-RS model have the most irregular values, and also result in calculated p-values that have decreased significance in up to three orders of magnitude of percent change.</w:t>
      </w:r>
    </w:p>
    <w:p>
      <w:pPr>
        <w:pStyle w:val="Heading2"/>
      </w:pPr>
      <w:bookmarkStart w:id="39" w:name="nested-model-comparisons"/>
      <w:r>
        <w:t xml:space="preserve">Nested Model Comparisons</w:t>
      </w:r>
      <w:bookmarkEnd w:id="39"/>
    </w:p>
    <w:p>
      <w:pPr>
        <w:pStyle w:val="FirstParagraph"/>
      </w:pPr>
      <w:r>
        <w:t xml:space="preserve">(</w:t>
      </w:r>
      <w:r>
        <w:t xml:space="preserve">) above is a nested model comparison, the result of which is an F-test statistic indicating that there is very strong evidence to support the inclusion of the subject-specific fixed-effect intercept into the LM model.</w:t>
      </w:r>
    </w:p>
    <w:p>
      <w:pPr>
        <w:pStyle w:val="BodyText"/>
      </w:pPr>
      <w:r>
        <w:t xml:space="preserve">(</w:t>
      </w:r>
      <w:r>
        <w:t xml:space="preserve">) above is a nested model comparison, the result of which is a likelihood ratio statistic indicating that there is very strong evidence to support the inclusion of the subject-specific random effect intercept into the LM model.</w:t>
      </w:r>
    </w:p>
    <w:p>
      <w:pPr>
        <w:pStyle w:val="BodyText"/>
      </w:pPr>
      <w:r>
        <w:t xml:space="preserve">(</w:t>
      </w:r>
      <w:r>
        <w:t xml:space="preserve">) above is a nested model comparison, the result of which is a likelihood ratio statistic idicating that there is very strong evidence to support the inclusion of the subject-specific random effect slope into the LMM-RI model for the</w:t>
      </w:r>
      <w:r>
        <w:t xml:space="preserve"> </w:t>
      </w:r>
      <m:oMath>
        <m:r>
          <m:t>M</m:t>
        </m:r>
        <m:r>
          <m:t>A</m:t>
        </m:r>
        <m:r>
          <m:t>L</m:t>
        </m:r>
        <m:r>
          <m:t>A</m:t>
        </m:r>
        <m:r>
          <m:t>T</m:t>
        </m:r>
        <m:r>
          <m:t>1</m:t>
        </m:r>
        <m:r>
          <m:t>∼</m:t>
        </m:r>
        <m:r>
          <m:t>C</m:t>
        </m:r>
        <m:r>
          <m:t>D</m:t>
        </m:r>
        <m:r>
          <m:t>19</m:t>
        </m:r>
      </m:oMath>
      <w:r>
        <w:t xml:space="preserve"> </w:t>
      </w:r>
      <w:r>
        <w:t xml:space="preserve">variable pairing. However, there is insufficient evidence to support the inclusion of the subject-specific random effect slope into the LMM-RI model for the</w:t>
      </w:r>
      <w:r>
        <w:t xml:space="preserve"> </w:t>
      </w:r>
      <m:oMath>
        <m:r>
          <m:t>F</m:t>
        </m:r>
        <m:r>
          <m:t>B</m:t>
        </m:r>
        <m:r>
          <m:t>L</m:t>
        </m:r>
        <m:r>
          <m:t>N</m:t>
        </m:r>
        <m:r>
          <m:t>1</m:t>
        </m:r>
        <m:r>
          <m:t>∼</m:t>
        </m:r>
        <m:r>
          <m:t>C</m:t>
        </m:r>
        <m:r>
          <m:t>D</m:t>
        </m:r>
        <m:r>
          <m:t>34</m:t>
        </m:r>
      </m:oMath>
      <w:r>
        <w:t xml:space="preserve"> </w:t>
      </w:r>
      <w:r>
        <w:t xml:space="preserve">variable pairing.</w:t>
      </w:r>
    </w:p>
    <w:p>
      <w:pPr>
        <w:pStyle w:val="Heading1"/>
      </w:pPr>
      <w:bookmarkStart w:id="40" w:name="discussion"/>
      <w:r>
        <w:t xml:space="preserve">Discussion</w:t>
      </w:r>
      <w:bookmarkEnd w:id="40"/>
    </w:p>
    <w:p>
      <w:pPr>
        <w:pStyle w:val="FirstParagraph"/>
      </w:pPr>
      <w:r>
        <w:t xml:space="preserve">Here, I compare five modeling strategies for detecting subject level associations in single-cell RNA sequencing data gathered over 27 subjects from a Lupus Nephritis study. I compare estimates of a fixed effect slope parameter generated by five modeling techniques: linear modeling (LM), linear modeling with subjects modeled as fixed effects (LM-FE), linear mixed effects models with subjects modeled as random intercepts (LMM-RI) and random slopes (LMM-RS), and generalized estimating equations (GEE).</w:t>
      </w:r>
    </w:p>
    <w:p>
      <w:pPr>
        <w:pStyle w:val="BodyText"/>
      </w:pPr>
      <w:r>
        <w:t xml:space="preserve">I find that population average models (i.e. LM and GEE) and subject specific intercept models (i.e. LMM-RI and LMM-RS) tend to produce similar results within the same model class (population average or subject specific intercept) but different results between model classes. The highest standard errors are indicated in the LMM-RS model, and the lowest standard errors in the LMM-RI model. LM-FE standard error is also found to be smaller than both LM and GEE standard error values. Nested model comparisons indicate that inclusion of subject specific terms is advisable at all levels (fixed and random, intercept and slope) with exception of the random slope in the</w:t>
      </w:r>
      <w:r>
        <w:t xml:space="preserve"> </w:t>
      </w:r>
      <m:oMath>
        <m:r>
          <m:t>F</m:t>
        </m:r>
        <m:r>
          <m:t>B</m:t>
        </m:r>
        <m:r>
          <m:t>L</m:t>
        </m:r>
        <m:r>
          <m:t>N</m:t>
        </m:r>
        <m:r>
          <m:t>1</m:t>
        </m:r>
        <m:r>
          <m:t>∼</m:t>
        </m:r>
        <m:r>
          <m:t>C</m:t>
        </m:r>
        <m:r>
          <m:t>D</m:t>
        </m:r>
        <m:r>
          <m:t>34</m:t>
        </m:r>
      </m:oMath>
      <w:r>
        <w:t xml:space="preserve"> </w:t>
      </w:r>
      <w:r>
        <w:t xml:space="preserve">variable paring.</w:t>
      </w:r>
    </w:p>
    <w:p>
      <w:pPr>
        <w:pStyle w:val="BodyText"/>
      </w:pPr>
      <w:r>
        <w:t xml:space="preserve">Interpretations of subject specific parameters are contextually authentic provided that they are used in inference conditional to their subject of origin. Conversely, interpretations of population average parameters are accurate when they are used for inference on a population’s hypothetical representation of centrality. Under conditions of linearity and error normality, it can be shown that subject specific parameters are marginal representations of population average parameters. This distinction explains the parameter estimate disparities as estimated between the LM/GEE methods compared to the LM-FE/LMM-RI methods.</w:t>
      </w:r>
    </w:p>
    <w:p>
      <w:pPr>
        <w:pStyle w:val="BodyText"/>
      </w:pPr>
      <w:r>
        <w:t xml:space="preserve">This analysis is subject to several drawbacks and limitations. All the results are based on evidence obtained from just two single-cell RNA sequencing variable pairings. In the future, comparing the consistency of these models over all model pairs is needed. Additionally, single-cell RNA sequencing data is heavily influenced by protocol dependencies and measurement inconsistencies. Quality control must be carefully considered and conducted prior to any analysis.</w:t>
      </w:r>
    </w:p>
    <w:p>
      <w:pPr>
        <w:pStyle w:val="BodyText"/>
      </w:pPr>
      <w:r>
        <w:t xml:space="preserve">The utility and promise of single-cell RNA sequencing data indicates that such data will become more prevalent and will be extended to multiple subject samples. I have presented an initial comparison of methods for detecting subject-level associations in single-cell</w:t>
      </w:r>
      <w:r>
        <w:t xml:space="preserve"> </w:t>
      </w:r>
      <w:r>
        <w:t xml:space="preserve">RNA sequencing data sets.</w:t>
      </w:r>
    </w:p>
    <w:p>
      <w:pPr>
        <w:pStyle w:val="Heading1"/>
      </w:pPr>
      <w:bookmarkStart w:id="41" w:name="appendix"/>
      <w:r>
        <w:t xml:space="preserve">Appendix</w:t>
      </w:r>
      <w:bookmarkEnd w:id="41"/>
    </w:p>
    <w:p>
      <w:pPr>
        <w:pStyle w:val="Heading2"/>
      </w:pPr>
      <w:bookmarkStart w:id="42" w:name="table-a1"/>
      <w:r>
        <w:t xml:space="preserve">Table A1</w:t>
      </w:r>
      <w:bookmarkEnd w:id="42"/>
    </w:p>
    <w:p>
      <w:pPr>
        <w:pStyle w:val="Heading2"/>
      </w:pPr>
      <w:bookmarkStart w:id="43" w:name="table-a2"/>
      <w:r>
        <w:t xml:space="preserve">Table A2</w:t>
      </w:r>
      <w:bookmarkEnd w:id="43"/>
    </w:p>
    <w:p>
      <w:pPr>
        <w:pStyle w:val="Heading2"/>
      </w:pPr>
      <w:bookmarkStart w:id="44" w:name="table-a3"/>
      <w:r>
        <w:t xml:space="preserve">Table A3</w:t>
      </w:r>
      <w:bookmarkEnd w:id="44"/>
    </w:p>
    <w:p>
      <w:pPr>
        <w:pStyle w:val="Heading2"/>
      </w:pPr>
      <w:bookmarkStart w:id="45" w:name="table-a4"/>
      <w:r>
        <w:t xml:space="preserve">Table A4</w:t>
      </w:r>
      <w:bookmarkEnd w:id="45"/>
    </w:p>
    <w:p>
      <w:pPr>
        <w:pStyle w:val="Heading1"/>
      </w:pPr>
      <w:bookmarkStart w:id="46" w:name="code-and-data"/>
      <w:r>
        <w:t xml:space="preserve">Code and Data</w:t>
      </w:r>
      <w:bookmarkEnd w:id="46"/>
    </w:p>
    <w:p>
      <w:pPr>
        <w:pStyle w:val="FirstParagraph"/>
      </w:pPr>
      <w:r>
        <w:t xml:space="preserve">All code for the above analysis was written and evaluated in RStudio Version 1.2.1335, and is available for download at the following GitHub repository:</w:t>
      </w:r>
    </w:p>
    <w:p>
      <w:pPr>
        <w:pStyle w:val="BodyText"/>
      </w:pPr>
      <w:hyperlink r:id="rId47">
        <w:r>
          <w:rPr>
            <w:rStyle w:val="Hyperlink"/>
          </w:rPr>
          <w:t xml:space="preserve">https://github.com/leepanter/MSproject_RBC.git</w:t>
        </w:r>
      </w:hyperlink>
    </w:p>
    <w:p>
      <w:pPr>
        <w:pStyle w:val="BodyText"/>
      </w:pPr>
      <w:r>
        <w:t xml:space="preserve">Additionally, a link to all necessarry and referrence data files (including original data) are contained in the following Google Drive:</w:t>
      </w:r>
    </w:p>
    <w:p>
      <w:pPr>
        <w:pStyle w:val="BodyText"/>
      </w:pPr>
      <w:hyperlink r:id="rId48">
        <w:r>
          <w:rPr>
            <w:rStyle w:val="Hyperlink"/>
          </w:rPr>
          <w:t xml:space="preserve">https://drive.google.com/open?id=1gjHaMJG0Y_kPYWj5bIE4gRJU5z9R2Wqb</w:t>
        </w:r>
      </w:hyperlink>
    </w:p>
    <w:p>
      <w:pPr>
        <w:pStyle w:val="Heading1"/>
      </w:pPr>
      <w:bookmarkStart w:id="49" w:name="references"/>
      <w:r>
        <w:t xml:space="preserve">References</w:t>
      </w:r>
      <w:bookmarkEnd w:id="49"/>
    </w:p>
    <w:bookmarkStart w:id="59" w:name="refs"/>
    <w:bookmarkStart w:id="50" w:name="ref-macaulay2014single"/>
    <w:p>
      <w:pPr>
        <w:pStyle w:val="Bibliography"/>
      </w:pPr>
      <w:r>
        <w:t xml:space="preserve">1. Macaulay IC, Voet T (2014) Single cell genomics: Advances and future perspectives.</w:t>
      </w:r>
      <w:r>
        <w:t xml:space="preserve"> </w:t>
      </w:r>
      <w:r>
        <w:rPr>
          <w:i/>
        </w:rPr>
        <w:t xml:space="preserve">PLoS genetics</w:t>
      </w:r>
      <w:r>
        <w:t xml:space="preserve"> </w:t>
      </w:r>
      <w:r>
        <w:t xml:space="preserve">10: e1004126.</w:t>
      </w:r>
    </w:p>
    <w:bookmarkEnd w:id="50"/>
    <w:bookmarkStart w:id="51" w:name="ref-bacher2016design"/>
    <w:p>
      <w:pPr>
        <w:pStyle w:val="Bibliography"/>
      </w:pPr>
      <w:r>
        <w:t xml:space="preserve">2. Bacher R, Kendziorski C (2016) Design and computational analysis of single-cell rna-sequencing experiments.</w:t>
      </w:r>
      <w:r>
        <w:t xml:space="preserve"> </w:t>
      </w:r>
      <w:r>
        <w:rPr>
          <w:i/>
        </w:rPr>
        <w:t xml:space="preserve">Genome biology</w:t>
      </w:r>
      <w:r>
        <w:t xml:space="preserve"> </w:t>
      </w:r>
      <w:r>
        <w:t xml:space="preserve">17: 63.</w:t>
      </w:r>
    </w:p>
    <w:bookmarkEnd w:id="51"/>
    <w:bookmarkStart w:id="52" w:name="ref-arazi2018immune"/>
    <w:p>
      <w:pPr>
        <w:pStyle w:val="Bibliography"/>
      </w:pPr>
      <w:r>
        <w:t xml:space="preserve">3. Arazi A, Rao DA, Berthier CC, et al. (2018) The immune cell landscape in kidneys of lupus nephritis patients.</w:t>
      </w:r>
      <w:r>
        <w:t xml:space="preserve"> </w:t>
      </w:r>
      <w:r>
        <w:rPr>
          <w:i/>
        </w:rPr>
        <w:t xml:space="preserve">bioRxiv</w:t>
      </w:r>
      <w:r>
        <w:t xml:space="preserve"> </w:t>
      </w:r>
      <w:r>
        <w:t xml:space="preserve">363051.</w:t>
      </w:r>
    </w:p>
    <w:bookmarkEnd w:id="52"/>
    <w:bookmarkStart w:id="53" w:name="ref-flowjov10"/>
    <w:p>
      <w:pPr>
        <w:pStyle w:val="Bibliography"/>
      </w:pPr>
      <w:r>
        <w:t xml:space="preserve">4. FlowJo X V10. 0.7 r2 flowjo.</w:t>
      </w:r>
      <w:r>
        <w:t xml:space="preserve"> </w:t>
      </w:r>
      <w:r>
        <w:rPr>
          <w:i/>
        </w:rPr>
        <w:t xml:space="preserve">LLC https://www flowjo com</w:t>
      </w:r>
      <w:r>
        <w:t xml:space="preserve">.</w:t>
      </w:r>
    </w:p>
    <w:bookmarkEnd w:id="53"/>
    <w:bookmarkStart w:id="54" w:name="ref-hashimshony2016cel"/>
    <w:p>
      <w:pPr>
        <w:pStyle w:val="Bibliography"/>
      </w:pPr>
      <w:r>
        <w:t xml:space="preserve">5. Hashimshony T, Senderovich N, Avital G, et al. (2016) CEL-seq2: Sensitive highly-multiplexed single-cell rna-seq.</w:t>
      </w:r>
      <w:r>
        <w:t xml:space="preserve"> </w:t>
      </w:r>
      <w:r>
        <w:rPr>
          <w:i/>
        </w:rPr>
        <w:t xml:space="preserve">Genome biology</w:t>
      </w:r>
      <w:r>
        <w:t xml:space="preserve"> </w:t>
      </w:r>
      <w:r>
        <w:t xml:space="preserve">17: 77.</w:t>
      </w:r>
    </w:p>
    <w:bookmarkEnd w:id="54"/>
    <w:bookmarkStart w:id="55" w:name="ref-satija2018seurat"/>
    <w:p>
      <w:pPr>
        <w:pStyle w:val="Bibliography"/>
      </w:pPr>
      <w:r>
        <w:t xml:space="preserve">6. Satija R, others (2018) Seurat: Guided clustering tutorial.</w:t>
      </w:r>
      <w:r>
        <w:t xml:space="preserve"> </w:t>
      </w:r>
      <w:r>
        <w:rPr>
          <w:i/>
        </w:rPr>
        <w:t xml:space="preserve">Satija Lab http://satijalab org/seurat/pbmc3k_tutorial html</w:t>
      </w:r>
      <w:r>
        <w:t xml:space="preserve">.</w:t>
      </w:r>
    </w:p>
    <w:bookmarkEnd w:id="55"/>
    <w:bookmarkStart w:id="56" w:name="ref-gutschner2013malat1"/>
    <w:p>
      <w:pPr>
        <w:pStyle w:val="Bibliography"/>
      </w:pPr>
      <w:r>
        <w:t xml:space="preserve">7. Gutschner T, Hämmerle M, Diederichs S (2013) MALAT1—a paradigm for long noncoding rna function in cancer.</w:t>
      </w:r>
      <w:r>
        <w:t xml:space="preserve"> </w:t>
      </w:r>
      <w:r>
        <w:rPr>
          <w:i/>
        </w:rPr>
        <w:t xml:space="preserve">Journal of molecular medicine</w:t>
      </w:r>
      <w:r>
        <w:t xml:space="preserve"> </w:t>
      </w:r>
      <w:r>
        <w:t xml:space="preserve">91: 791–801.</w:t>
      </w:r>
    </w:p>
    <w:bookmarkEnd w:id="56"/>
    <w:bookmarkStart w:id="57" w:name="ref-debeer2002fibulin"/>
    <w:p>
      <w:pPr>
        <w:pStyle w:val="Bibliography"/>
      </w:pPr>
      <w:r>
        <w:t xml:space="preserve">8. Debeer P, Schoenmakers E, Twal W, et al. (2002) The fibulin-1 gene (fbln1) is disrupted in at (12; 22) associated with a complex type of synpolydactyly.</w:t>
      </w:r>
      <w:r>
        <w:t xml:space="preserve"> </w:t>
      </w:r>
      <w:r>
        <w:rPr>
          <w:i/>
        </w:rPr>
        <w:t xml:space="preserve">Journal of medical genetics</w:t>
      </w:r>
      <w:r>
        <w:t xml:space="preserve"> </w:t>
      </w:r>
      <w:r>
        <w:t xml:space="preserve">39: 98–104.</w:t>
      </w:r>
    </w:p>
    <w:bookmarkEnd w:id="57"/>
    <w:bookmarkStart w:id="58" w:name="ref-fitzmaurice2012applied"/>
    <w:p>
      <w:pPr>
        <w:pStyle w:val="Bibliography"/>
      </w:pPr>
      <w:r>
        <w:t xml:space="preserve">9. Fitzmaurice GM, Laird NM, Ware JH (2012) Applied longitudinal analysis, John Wiley &amp; Sons.</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w:t>
      </w:r>
      <w:r>
        <w:t xml:space="preserve"> </w:t>
      </w:r>
      <w:r>
        <w:t xml:space="preserve">University</w:t>
      </w:r>
      <w:r>
        <w:t xml:space="preserve"> </w:t>
      </w:r>
      <w:r>
        <w:t xml:space="preserve">of</w:t>
      </w:r>
      <w:r>
        <w:t xml:space="preserve"> </w:t>
      </w:r>
      <w:r>
        <w:t xml:space="preserve">Colorado-Denver</w:t>
      </w:r>
    </w:p>
  </w:footnote>
  <w:footnote w:id="21">
    <w:p>
      <w:pPr>
        <w:pStyle w:val="FootnoteText"/>
      </w:pPr>
      <w:r>
        <w:rPr>
          <w:rStyle w:val="FootnoteReference"/>
        </w:rPr>
        <w:footnoteRef/>
      </w:r>
      <w:r>
        <w:t xml:space="preserve"> </w:t>
      </w:r>
      <w:r>
        <w:t xml:space="preserve">The</w:t>
      </w:r>
      <w:r>
        <w:t xml:space="preserve"> </w:t>
      </w:r>
      <w:r>
        <w:t xml:space="preserve">University</w:t>
      </w:r>
      <w:r>
        <w:t xml:space="preserve"> </w:t>
      </w:r>
      <w:r>
        <w:t xml:space="preserve">of</w:t>
      </w:r>
      <w:r>
        <w:t xml:space="preserve"> </w:t>
      </w:r>
      <w:r>
        <w:t xml:space="preserve">Colorado-Denver</w:t>
      </w:r>
    </w:p>
  </w:footnote>
  <w:footnote w:id="22">
    <w:p>
      <w:pPr>
        <w:pStyle w:val="FootnoteText"/>
      </w:pPr>
      <w:r>
        <w:rPr>
          <w:rStyle w:val="FootnoteReference"/>
        </w:rPr>
        <w:footnoteRef/>
      </w:r>
      <w:r>
        <w:t xml:space="preserve"> </w:t>
      </w:r>
      <w:r>
        <w:t xml:space="preserve">The</w:t>
      </w:r>
      <w:r>
        <w:t xml:space="preserve"> </w:t>
      </w:r>
      <w:r>
        <w:t xml:space="preserve">University</w:t>
      </w:r>
      <w:r>
        <w:t xml:space="preserve"> </w:t>
      </w:r>
      <w:r>
        <w:t xml:space="preserve">of</w:t>
      </w:r>
      <w:r>
        <w:t xml:space="preserve"> </w:t>
      </w:r>
      <w:r>
        <w:t xml:space="preserve">Florida</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drive.google.com/open?id=1gjHaMJG0Y_kPYWj5bIE4gRJU5z9R2Wqb" TargetMode="External" /><Relationship Type="http://schemas.openxmlformats.org/officeDocument/2006/relationships/hyperlink" Id="rId47" Target="https://github.com/leepanter/MSproject_RBC.git" TargetMode="External" /><Relationship Type="http://schemas.openxmlformats.org/officeDocument/2006/relationships/hyperlink" Id="rId26" Target="https://www.immport.org/shared/study/SDY997" TargetMode="External" /></Relationships>
</file>

<file path=word/_rels/footnotes.xml.rels><?xml version="1.0" encoding="UTF-8"?>
<Relationships xmlns="http://schemas.openxmlformats.org/package/2006/relationships"><Relationship Type="http://schemas.openxmlformats.org/officeDocument/2006/relationships/hyperlink" Id="rId48" Target="https://drive.google.com/open?id=1gjHaMJG0Y_kPYWj5bIE4gRJU5z9R2Wqb" TargetMode="External" /><Relationship Type="http://schemas.openxmlformats.org/officeDocument/2006/relationships/hyperlink" Id="rId47" Target="https://github.com/leepanter/MSproject_RBC.git" TargetMode="External" /><Relationship Type="http://schemas.openxmlformats.org/officeDocument/2006/relationships/hyperlink" Id="rId26" Target="https://www.immport.org/shared/study/SDY9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Audrey Hendricks, PhD-Committee Chair and Advisor; Stephanie Santorico, PhD-Committee Member; Rhonda Bacher, PhD-Committee Member</dc:creator>
  <cp:keywords/>
  <dcterms:created xsi:type="dcterms:W3CDTF">2020-03-26T03:15:53Z</dcterms:created>
  <dcterms:modified xsi:type="dcterms:W3CDTF">2020-03-26T03:15:53Z</dcterms:modified>
</cp:coreProperties>
</file>