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2"/>
        </w:rPr>
        <w:t>FOWAC 对比方法调研与组合实验方案</w:t>
        <w:br/>
        <w:t>（侧重 2025–2026 年类增量学习与开集识别方法）</w:t>
      </w:r>
    </w:p>
    <w:p>
      <w:pPr>
        <w:jc w:val="center"/>
      </w:pPr>
      <w:r>
        <w:rPr>
          <w:rFonts w:ascii="Arial" w:hAnsi="Arial" w:eastAsia="Microsoft YaHei"/>
          <w:i/>
          <w:sz w:val="20"/>
        </w:rPr>
        <w:t>用途：用于 Few-Shot Open-World Audio Classification 论文实验对比设计</w:t>
      </w:r>
    </w:p>
    <w:p>
      <w:pPr>
        <w:pStyle w:val="Heading1"/>
      </w:pPr>
      <w:r>
        <w:t>1. 设计原则：为什么要组合 CIL/FSCIL 与 OSR 方法？</w:t>
      </w:r>
    </w:p>
    <w:p>
      <w:pPr>
        <w:spacing w:after="80"/>
        <w:ind w:left="216"/>
      </w:pPr>
      <w:r>
        <w:rPr>
          <w:rFonts w:ascii="Arial" w:hAnsi="Arial" w:eastAsia="Microsoft YaHei"/>
          <w:sz w:val="18"/>
        </w:rPr>
        <w:t>FOWAC 的完整流程不是单一的类增量学习，也不是单一的开集识别，而是 “未知检测 → 未知样本聚类发现 → 新类增量吸收”。因此，实验对比建议采用组合式基线：CIL/FSCIL 更新器 + OSR 检测器 + clustering discovery。这样可以公平比较完整开放世界管线，而不是只比较其中一个模块。</w:t>
      </w:r>
    </w:p>
    <w:p>
      <w:pPr>
        <w:spacing w:after="80"/>
        <w:ind w:left="216"/>
      </w:pPr>
      <w:r>
        <w:rPr>
          <w:rFonts w:ascii="Arial" w:hAnsi="Arial" w:eastAsia="Microsoft YaHei"/>
          <w:sz w:val="18"/>
        </w:rPr>
        <w:t>推荐统一协议：所有方法使用相同音频特征输入（log-Mel/MFCC），相同 base/incremental split，相同 unknown clustering 设置，相同评价指标（Inc_acc、All_acc、AA、AUROC、FPR95、NMI/ARI）。</w:t>
      </w:r>
    </w:p>
    <w:p>
      <w:pPr>
        <w:spacing w:after="80"/>
        <w:ind w:left="216"/>
      </w:pPr>
      <w:r>
        <w:rPr>
          <w:rFonts w:ascii="Arial" w:hAnsi="Arial" w:eastAsia="Microsoft YaHei"/>
          <w:sz w:val="18"/>
        </w:rPr>
        <w:t>统一组合形式： Baseline = Incremental Learner + Open-set Detector + Unknown Clustering/Prototype Update。</w:t>
      </w:r>
    </w:p>
    <w:p>
      <w:pPr>
        <w:pStyle w:val="Heading1"/>
      </w:pPr>
      <w:r>
        <w:t>2. 2025–2026 类增量 / 少样本类增量候选方法</w:t>
      </w:r>
    </w:p>
    <w:p>
      <w:pPr>
        <w:spacing w:after="80"/>
        <w:ind w:left="216"/>
      </w:pPr>
      <w:r>
        <w:rPr>
          <w:rFonts w:ascii="Arial" w:hAnsi="Arial" w:eastAsia="Microsoft YaHei"/>
          <w:sz w:val="18"/>
        </w:rPr>
        <w:t>下表优先列 2025–2026 年方法。2024 年方法建议只保留少量强基线（如 EASE、FCS、OrCo、ASP），其余放入补充材料。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cantSplit/>
        </w:trPr>
        <w:tc>
          <w:tcPr>
            <w:tcW w:type="dxa" w:w="144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方法</w:t>
            </w:r>
          </w:p>
        </w:tc>
        <w:tc>
          <w:tcPr>
            <w:tcW w:type="dxa" w:w="115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年份/会议</w:t>
            </w:r>
          </w:p>
        </w:tc>
        <w:tc>
          <w:tcPr>
            <w:tcW w:type="dxa" w:w="1296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类型</w:t>
            </w:r>
          </w:p>
        </w:tc>
        <w:tc>
          <w:tcPr>
            <w:tcW w:type="dxa" w:w="3456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核心思想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代码状态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在 FOWAC 中的实现方式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推荐组合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SEC-Prompt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2025 / CVPR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FSCIL / Prompt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Semantic Complementary Prompting：利用语义互补 prompt 缓解 few-shot 增量中的 stability-plasticity 矛盾。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官方 GitHub 可用。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若采用 CLAP/AudioCLIP/AST 作为音频-文本或音频视觉式 backbone，可将类名文本 prompt 替换为音频类别标签。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SEC-Prompt + Energy / DNPG / UTL + KMeans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BiMC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2025 / CVPR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Training-free FSCIL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Bi-level Modality Calibration：基于预训练视觉语言模型，训练自由地校准视觉/文本模态。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官方 GitHub 可用。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适合带类名语义的音频任务；用 CLAP 文本-音频 embedding 替换 CLIP image-text embedding。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BiMC + Energy / UTL + KMeans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Tri-WE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2025 / CVPR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FSCIL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Tripartite Weight-Space Ensemble：在权重空间组合 base/novel/adaptive 权重，允许 few-shot 阶段更新整个模型。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CVF/arXiv 可查；代码需核实或复现。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把音频 encoder 的 classifier weights 视为权重空间，增量新类用 few-shot 或聚类原型初始化，再做 ensemble。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Tri-WE + Mahalanobis / Energy + KMeans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CL-LoRA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2025 / CVPR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Rehearsal-free CIL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Continual Low-Rank Adaptation：双 adapter 结构，task-shared adapter 学跨任务知识，task-specific adapter 学新任务特征。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官方 PyTorch 代码可用。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若 backbone 是 AST/ViT/CLAP，可在 Transformer 层加 LoRA；ResNet 版本可作为不完全同构基线或换用 AST。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CL-LoRA + Energy / OpenMax + KMeans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DIA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2025 / CVPR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Non-exemplar CIL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Dynamic Integration of Task-Specific Adapters：TSAI 动态整合 task-specific adapters，并用 patch-level distillation / feature reconstruction 保持旧边界。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论文称代码公开；优先复现核心 adapter-integration。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每个 session 训练/加载一个轻量 adapter，未知聚类后形成新 task，动态整合 adapter 做全类识别。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DIA + OpenMax / Energy + KMeans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Order-Robust CIL / GDSG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2025 / CVPR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CIL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Graph-driven Dynamic Similarity Grouping：针对类到达顺序敏感问题，用图驱动相似性分组增强 order robustness。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CVF 页面可查；代码需核实。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适合验证 FOWAC 在不同 session 顺序下的鲁棒性；把发现的新类按相似图分组后更新。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GDSG + Energy + KMeans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LGSP-Prompt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2025 / ICCV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FSCIL / Prompt pool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研究 prompt pool 在 FSCIL 中的退化问题，提出 Local-Global Spatial Prompt，结合局部空间特征与全局频域表征。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官方代码已释放。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音频谱图天然有时频结构，可把 spatial prompt 解释为 time-frequency prompt。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LGSP-Prompt + DNPG / UTL + KMeans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Lark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2025 / ICCV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FSCIL / LoRA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Low-Rank Updates After Knowledge Localization：先定位关键知识，再对少量权重做低秩更新，避免直接 fine-tuning 的遗忘。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CVF 论文可查；代码需核实。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用于 AST/ViT/CLAP backbone；在增量 session 只更新 localization 后选中的 LoRA 参数。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Lark + Energy / DNPG + KMeans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MACIL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2025 / ICML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Task-agnostic CIL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Mean-shift compensation + covariance calibration + feature-level self-distillation，用于缓解 semantic drift。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官方 GitHub 可用。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音频聚类新类后估计均值/协方差；用 MACIL 校准旧/新类特征统计。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MACIL + Mahalanobis / Energy + adaptive clustering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N2L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2026 / ICLR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VLM CIL with unlabeled data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Naming to Learn：每个新类只有未标记数据和类名集合，通过 VLM 语义完成类增量学习。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官方 GitHub 可用。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非常接近开放世界未标记设定；用音频类名和 CLAP/AudioCLIP 实现 “name-to-audio” 适配。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N2L + UTL / Energy + KMeans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GCMR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2026 / IJCV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FSCIL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Generative Co-Memory Regularization：建立 representation memory 和 weight memory，联合正则化增量学习。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arXiv/IJCV 已收；代码未稳定确认。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以音频类均值特征和分类器权重作为双记忆；新类聚类后更新 memory。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GCMR + Energy / DNPG + KMeans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SPRINT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2026 / arXiv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Semi-supervised FSCIL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Mixed episodic training + confidence pseudo-labeling；强调 unlabeled stream 对 novel class 表征的补充。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arXiv；领域是 tabular，代码需核实。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思路可迁移到音频：对 unknown clustering 高置信样本伪标注，增强新类原型。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SPRINT-style pseudo-labeling + Energy + KMeans</w:t>
            </w:r>
          </w:p>
        </w:tc>
      </w:tr>
    </w:tbl>
    <w:p/>
    <w:p>
      <w:pPr>
        <w:pStyle w:val="Heading1"/>
      </w:pPr>
      <w:r>
        <w:t>3. 2025–2026 开集识别 / 开放世界候选方法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cantSplit/>
        </w:trPr>
        <w:tc>
          <w:tcPr>
            <w:tcW w:type="dxa" w:w="172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方法</w:t>
            </w:r>
          </w:p>
        </w:tc>
        <w:tc>
          <w:tcPr>
            <w:tcW w:type="dxa" w:w="115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年份/会议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类型</w:t>
            </w:r>
          </w:p>
        </w:tc>
        <w:tc>
          <w:tcPr>
            <w:tcW w:type="dxa" w:w="331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核心思想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代码状态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在 FOWAC 中的实现方式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推荐组合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UTL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2025 / ICCV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CLIP-based FSOR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Unknown Text Learning：学习 unknown words / unknown text，与 known prompts 对比学习，解决 unknown 文本不可得问题。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论文中给出 GitHub。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若采用 CLAP/AudioCLIP，可把 unknown text 学习扩展到 audio-text 空间；适合 few-shot open-set detector。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SEC-Prompt/BiMC/N2L + UTL + KMeans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COSTARR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2025 / ICCV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OSR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提出 attenuation hypothesis：训练中小权重会抑制有助于区分 known/unknown 的特征；通过恢复/利用被衰减信息提升 novelty detection。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CVF 论文可查；代码需核实。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作为 detector 插在增量前：先训练 closed-set audio classifier，再用 attenuation score 判 unknown。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CL-LoRA/DIA + COSTARR + KMeans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OSLoPrompt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2025 / CVPR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Low-shot open-set DG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面向 low-shot open-set domain generalization 的 CLIP prompt-learning 框架，强调低样本和 open-set 样本检测。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CVF 论文可查；代码需核实。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适合跨数据集音频实验；若有域偏移（LS→NS），可作为 domain-generalizable OSR detector。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BiMC/SEC-Prompt + OSLoPrompt + KMeans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Open Set Label Shift with OOD Reference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2025 / CVPR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Open-set label shift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测试时使用 OOD reference 估计 open-set label shift，做 OSLS-MLE/MAP 校正。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官方 GitHub 可用。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可用于校正在线 session 中 known/unknown 比例变化；作为 detection 后的先验校准模块。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Energy/OpenMax + OSLS calibration + CIL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SASep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2025 / CVPR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3D OSR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Saliency-Aware Structured Separation：分解重要/非重要部分，合成 pseudo-unknown，增强 known/unknown margin。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CVF 页面可查；偏 3D。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思想可迁移为音频时频显著区域分解；实现成本较高，建议作为可选对比。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SASep-style pseudo unknown + OrCo/FCS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MPBR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2025 / ICCV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Open-set fine-grained recognition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Multimodal Progressive Bidirectional Reasoning，用于 open-set fine-grained recognition。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CVF 论文可查；代码需核实。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若 NSynth/鸟声/细粒度声纹任务中类别相似度高，可作为 fine-grained OSR 对比。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MPBR + prototype update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PCLAE-CTPN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2025 / IEEE TSP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Audio OSR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预训练 contrastive language-audio encoder + collaborative prototype learning；classification loss 增强 known compactness，open-space loss 拉开 unknown。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论文可查。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音频强基线：用其 prototype classifier 做 known/unknown 检测，再对 unknown KMeans 并原型更新。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PCLAE-CTPN + KMeans + ProtoUpdate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FEC-OSL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2026 / IEEE TIFS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Open-world semi-supervised learning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End-to-end open-set semi-supervised learning：energy-based known/unknown 边界 + adaptive deep clustering。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论文可查；领域为加密流量。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流程与 FOWAC 高度相似：可复现 energy detector + adaptive clustering + incremental update。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Energy + adaptive clustering + prototype/gallery update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FOAC-AIFP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2026 / IEEE TASLP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Few-shot open-set audio classification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Attention information-fused prototypes：PGFC 生成 few-shot class prototypes，PGOC 生成 open-set prototype。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官方代码链接在论文中。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最接近音频 FSOS 强基线；扩展到 online：FOAC-AIFP 先拒识 unknown，再 clustering 与 prototype update。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FOAC-AIFP + KMeans + ProtoUpdate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Incremental Open-Set UAV RF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2026 / ICC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Incremental OSR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RF UAV open-world 框架：OSR 分离 unknown，KMeans/GMM 聚类发现新 UAV 类，memory-bounded replay 增量吸收。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arXiv 2026；代码未确认。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结构与 FOWAC 类似，可作为跨模态参考实现：检测器 + 聚类有效性选择 + replay/update。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Energy/OpenMax + KMeans/GMM + replay update</w:t>
            </w:r>
          </w:p>
        </w:tc>
      </w:tr>
    </w:tbl>
    <w:p/>
    <w:p>
      <w:pPr>
        <w:pStyle w:val="Heading1"/>
      </w:pPr>
      <w:r>
        <w:t>4. 建议保留的 2024 强基线（不宜过多）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rPr>
          <w:cantSplit/>
        </w:trPr>
        <w:tc>
          <w:tcPr>
            <w:tcW w:type="dxa" w:w="172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方法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年份/会议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类型</w:t>
            </w:r>
          </w:p>
        </w:tc>
        <w:tc>
          <w:tcPr>
            <w:tcW w:type="dxa" w:w="936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保留理由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EASE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2024 / CVPR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PTM-based CIL</w:t>
            </w:r>
          </w:p>
        </w:tc>
        <w:tc>
          <w:tcPr>
            <w:tcW w:type="dxa" w:w="93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Expandable Subspace Ensemble；强 CIL 基线，可与 Energy/OpenMax/DNPG 组合。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FCS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2024 / CVPR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Non-exemplar CIL</w:t>
            </w:r>
          </w:p>
        </w:tc>
        <w:tc>
          <w:tcPr>
            <w:tcW w:type="dxa" w:w="93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Feature Calibration and Separation；适合 prototype correction 对比。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OrCo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2024 / CVPR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FSCIL</w:t>
            </w:r>
          </w:p>
        </w:tc>
        <w:tc>
          <w:tcPr>
            <w:tcW w:type="dxa" w:w="93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Orthogonality and Contrast；适合 few-shot 增量强基线。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ASP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2024 / ECCV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Prompt FSCIL</w:t>
            </w:r>
          </w:p>
        </w:tc>
        <w:tc>
          <w:tcPr>
            <w:tcW w:type="dxa" w:w="93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Attention-aware self-adaptive prompt；若采用 ViT/AST 可用。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DNPG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2024 / ACM MM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FSOR</w:t>
            </w:r>
          </w:p>
        </w:tc>
        <w:tc>
          <w:tcPr>
            <w:tcW w:type="dxa" w:w="93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Diversified Negative Prototypes Generator；与对偶负原型思想最接近，建议保留。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OPP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2024 / Pattern Recognition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FSOR</w:t>
            </w:r>
          </w:p>
        </w:tc>
        <w:tc>
          <w:tcPr>
            <w:tcW w:type="dxa" w:w="93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Overall Positive Prototype；轻量阈值/距离式 FSOR baseline。</w:t>
            </w:r>
          </w:p>
        </w:tc>
      </w:tr>
    </w:tbl>
    <w:p/>
    <w:p>
      <w:pPr>
        <w:pStyle w:val="Heading1"/>
      </w:pPr>
      <w:r>
        <w:t>5. 推荐的最终组合对比方法</w:t>
      </w:r>
    </w:p>
    <w:p>
      <w:pPr>
        <w:spacing w:after="80"/>
        <w:ind w:left="216"/>
      </w:pPr>
      <w:r>
        <w:rPr>
          <w:rFonts w:ascii="Arial" w:hAnsi="Arial" w:eastAsia="Microsoft YaHei"/>
          <w:sz w:val="18"/>
        </w:rPr>
        <w:t>若实验资源有限，优先选择 B1、B3、B5、B8、B9、B12、B13；这样覆盖 2025/2026、prompt/LoRA/prototype/audio-specific/open-world 几类代表方法。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rPr>
          <w:cantSplit/>
        </w:trPr>
        <w:tc>
          <w:tcPr>
            <w:tcW w:type="dxa" w:w="72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编号</w:t>
            </w:r>
          </w:p>
        </w:tc>
        <w:tc>
          <w:tcPr>
            <w:tcW w:type="dxa" w:w="331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组合方法</w:t>
            </w:r>
          </w:p>
        </w:tc>
        <w:tc>
          <w:tcPr>
            <w:tcW w:type="dxa" w:w="3456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组成</w:t>
            </w:r>
          </w:p>
        </w:tc>
        <w:tc>
          <w:tcPr>
            <w:tcW w:type="dxa" w:w="676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推荐理由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B1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SEC-Prompt + UTL + KMeans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2025 prompt FSCIL + 2025 FSOR + clustering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强；适合 CLAP/AudioCLIP/AST 语义音频设置。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B2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BiMC + Energy/UTL + KMeans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2025 training-free FSCIL + OSR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强；训练成本低，适合类名语义可用的数据集。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B3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CL-LoRA + Energy + KMeans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2025 rehearsal-free CIL + classic OSR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强；如果采用 Transformer 音频主干，很合适。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B4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DIA + OpenMax/Energy + KMeans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2025 adapter CIL + OSR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中强；体现 adapter-based CIL 对比。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B5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Tri-WE + Mahalanobis/Energy + KMeans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2025 FSCIL + distance/energy OSR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强；与 few-shot 增量设置贴近。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B6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LGSP-Prompt + DNPG/UTL + KMeans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2025 prompt FSCIL + FSOR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强；音频谱图可解释为时频 spatial prompt。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B7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Lark + Energy/DNPG + KMeans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2025 LoRA FSCIL + OSR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中强；可作为低秩更新增量基线。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B8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MACIL + Mahalanobis/Energy + adaptive clustering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2025 CIL + statistical calibration + OSR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强；与 prototype/statistics gallery 很可比。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B9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N2L + UTL/Energy + KMeans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2026 unlabeled VLM-CIL + OSR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非常推荐；贴近 “unlabeled stream + class name” 开放世界设定。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B10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GCMR + Energy/DNPG + KMeans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2026 FSCIL + co-memory regularization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推荐；与双记忆/原型库更新相关。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B11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FEC-OSL-style Energy + adaptive clustering + prototype update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2026 open-world semi-supervised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推荐；完整 open-world pipeline 对比。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B12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FOAC-AIFP + KMeans + ProtoUpdate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2026 audio FSOS + clustering/update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必须做；最接近音频 few-shot open-set 任务。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B13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PCLAE-CTPN + KMeans + ProtoUpdate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2025 audio OSR + clustering/update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必须做；音频开集专用方法。</w:t>
            </w:r>
          </w:p>
        </w:tc>
      </w:tr>
    </w:tbl>
    <w:p/>
    <w:p>
      <w:pPr>
        <w:pStyle w:val="Heading1"/>
      </w:pPr>
      <w:r>
        <w:t>6. 统一实现协议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</w:trPr>
        <w:tc>
          <w:tcPr>
            <w:tcW w:type="dxa" w:w="216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项目</w:t>
            </w:r>
          </w:p>
        </w:tc>
        <w:tc>
          <w:tcPr>
            <w:tcW w:type="dxa" w:w="1224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建议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输入统一</w:t>
            </w:r>
          </w:p>
        </w:tc>
        <w:tc>
          <w:tcPr>
            <w:tcW w:type="dxa" w:w="12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所有方法使用相同音频特征：log-Mel 或 MFCC。若方法需要图像/ViT 输入，则将谱图作为单通道或三通道 image-like input。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主干统一</w:t>
            </w:r>
          </w:p>
        </w:tc>
        <w:tc>
          <w:tcPr>
            <w:tcW w:type="dxa" w:w="12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ResNet18 版本用于 prototype 方法；ViT/AST/CLAP 版本用于 prompt/LoRA/VLM 方法。论文中需声明 backbone 是否相同，避免不公平比较。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OSR 阈值</w:t>
            </w:r>
          </w:p>
        </w:tc>
        <w:tc>
          <w:tcPr>
            <w:tcW w:type="dxa" w:w="12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阈值 τ 不应在测试 unknown 上调参；建议用 validation pseudo-unknown 或 base holdout 类估计。报告 AUROC 时无需固定阈值。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未知聚类</w:t>
            </w:r>
          </w:p>
        </w:tc>
        <w:tc>
          <w:tcPr>
            <w:tcW w:type="dxa" w:w="12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默认 KMeans；可补充 HDBSCAN/GMM。若每 session 已知新增类数 N，则 KMeans 的 k=N；开放设置可用 silhouette/DBI 估计 k。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增量更新</w:t>
            </w:r>
          </w:p>
        </w:tc>
        <w:tc>
          <w:tcPr>
            <w:tcW w:type="dxa" w:w="12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将 unknown clusters 的中心作为新类 prototype；CIL/FSCIL 方法根据其原有机制更新 classifier/adapters/prompts/memory。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评价指标</w:t>
            </w:r>
          </w:p>
        </w:tc>
        <w:tc>
          <w:tcPr>
            <w:tcW w:type="dxa" w:w="12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Known/old accuracy, Inc_acc, All_acc, Average Accuracy (AA), AUROC, FPR95, OSCR；若强调 discovery，补充 NMI/ARI。</w:t>
            </w:r>
          </w:p>
        </w:tc>
      </w:tr>
    </w:tbl>
    <w:p/>
    <w:p>
      <w:pPr>
        <w:pStyle w:val="Heading1"/>
      </w:pPr>
      <w:r>
        <w:t>7. 论文实验表格模板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cantSplit/>
        </w:trPr>
        <w:tc>
          <w:tcPr>
            <w:tcW w:type="dxa" w:w="360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Method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OSR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Discovery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Incremental update</w:t>
            </w:r>
          </w:p>
        </w:tc>
        <w:tc>
          <w:tcPr>
            <w:tcW w:type="dxa" w:w="115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AUROC</w:t>
            </w:r>
          </w:p>
        </w:tc>
        <w:tc>
          <w:tcPr>
            <w:tcW w:type="dxa" w:w="115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Inc_acc</w:t>
            </w:r>
          </w:p>
        </w:tc>
        <w:tc>
          <w:tcPr>
            <w:tcW w:type="dxa" w:w="115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All_acc</w:t>
            </w:r>
          </w:p>
        </w:tc>
        <w:tc>
          <w:tcPr>
            <w:tcW w:type="dxa" w:w="115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AA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EASE + Energy + KMeans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KMeans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EASE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SEC-Prompt + UTL + KMeans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UTL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KMeans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SEC-Prompt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CL-LoRA + Energy + KMeans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KMeans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CL-LoRA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Tri-WE + Mahalanobis + KMeans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Mahalanobis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KMeans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Tri-WE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LGSP-Prompt + DNPG + KMeans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DNPG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KMeans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LGSP-Prompt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MACIL + Energy + Adaptive Clustering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KMeans/GMM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MACIL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N2L + UTL + KMeans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UTL/Energy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KMeans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N2L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FOAC-AIFP + KMeans + ProtoUpdate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PGOC/Distance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KMeans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Prototype update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PCLAE-CTPN + KMeans + ProtoUpdate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Radius/Distance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KMeans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Prototype update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Ours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Dual-prototype OSR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Clustering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Dual-prototype gallery update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</w:tr>
    </w:tbl>
    <w:p/>
    <w:p>
      <w:pPr>
        <w:pStyle w:val="Heading1"/>
      </w:pPr>
      <w:r>
        <w:t>8. 推荐的论文叙述方式</w:t>
      </w:r>
    </w:p>
    <w:p>
      <w:pPr>
        <w:spacing w:after="80"/>
        <w:ind w:left="216"/>
      </w:pPr>
      <w:r>
        <w:rPr>
          <w:rFonts w:ascii="Arial" w:hAnsi="Arial" w:eastAsia="Microsoft YaHei"/>
          <w:sz w:val="18"/>
        </w:rPr>
        <w:t>建议主表中 2025–2026 方法占 70% 以上，2024 方法只保留 2–4 个强基线。主表可以选择：SEC-Prompt、CL-LoRA、Tri-WE、LGSP-Prompt、MACIL、N2L、GCMR、FOAC-AIFP、PCLAE-CTPN、FEC-OSL-style。补充材料再放 EASE、FCS、OrCo、ASP、DNPG、OPP。</w:t>
      </w:r>
    </w:p>
    <w:p>
      <w:pPr>
        <w:spacing w:after="80"/>
        <w:ind w:left="216"/>
      </w:pPr>
      <w:r>
        <w:rPr>
          <w:rFonts w:ascii="Arial" w:hAnsi="Arial" w:eastAsia="Microsoft YaHei"/>
          <w:sz w:val="18"/>
        </w:rPr>
        <w:t>可写成：Since no existing method directly addresses the complete FOWAC setting, we construct strong composite baselines by pairing representative recent class-incremental learners with open-set detectors and clustering-based discovery. This protocol enables fair comparison under the same online open-world stream.</w:t>
      </w:r>
    </w:p>
    <w:p>
      <w:pPr>
        <w:pStyle w:val="Heading1"/>
      </w:pPr>
      <w:r>
        <w:t>9. 参考文献与代码入口</w:t>
      </w:r>
    </w:p>
    <w:p>
      <w:pPr>
        <w:spacing w:after="80"/>
        <w:ind w:left="216"/>
      </w:pPr>
      <w:r>
        <w:rPr>
          <w:rFonts w:ascii="Arial" w:hAnsi="Arial" w:eastAsia="Microsoft YaHei"/>
          <w:sz w:val="18"/>
        </w:rPr>
        <w:t>[1] Liu and Yang, SEC-Prompt: SEmantic Complementary Prompting for Few-Shot Class-Incremental Learning, CVPR 2025. https://openaccess.thecvf.com/content/CVPR2025/html/Liu_SEC-PromptSEmantic_Complementary_Prompting_for_Few-Shot_Class-Incremental_Learning_CVPR_2025_paper.html</w:t>
      </w:r>
    </w:p>
    <w:p>
      <w:pPr>
        <w:spacing w:after="80"/>
        <w:ind w:left="216"/>
      </w:pPr>
      <w:r>
        <w:rPr>
          <w:rFonts w:ascii="Arial" w:hAnsi="Arial" w:eastAsia="Microsoft YaHei"/>
          <w:sz w:val="18"/>
        </w:rPr>
        <w:t>[2] Chen et al., Enhancing Few-Shot Class-Incremental Learning via Training-Free Bi-Level Modality Calibration, CVPR 2025. https://openaccess.thecvf.com/content/CVPR2025/html/Chen_Enhancing_Few-Shot_Class-Incremental_Learning_via_Training-Free_Bi-Level_Modality_Calibration_CVPR_2025_paper.html</w:t>
      </w:r>
    </w:p>
    <w:p>
      <w:pPr>
        <w:spacing w:after="80"/>
        <w:ind w:left="216"/>
      </w:pPr>
      <w:r>
        <w:rPr>
          <w:rFonts w:ascii="Arial" w:hAnsi="Arial" w:eastAsia="Microsoft YaHei"/>
          <w:sz w:val="18"/>
        </w:rPr>
        <w:t>[3] Lee et al., Tripartite Weight-Space Ensemble for Few-Shot Class-Incremental Learning, CVPR 2025. https://openaccess.thecvf.com/content/CVPR2025/html/Lee_Tripartite_Weight-Space_Ensemble_for_Few-Shot_Class-Incremental_Learning_CVPR_2025_paper.html</w:t>
      </w:r>
    </w:p>
    <w:p>
      <w:pPr>
        <w:spacing w:after="80"/>
        <w:ind w:left="216"/>
      </w:pPr>
      <w:r>
        <w:rPr>
          <w:rFonts w:ascii="Arial" w:hAnsi="Arial" w:eastAsia="Microsoft YaHei"/>
          <w:sz w:val="18"/>
        </w:rPr>
        <w:t>[4] He et al., CL-LoRA: Continual Low-Rank Adaptation for Rehearsal-Free Class-Incremental Learning, CVPR 2025. https://openaccess.thecvf.com/content/CVPR2025/html/He_CL-LoRA_Continual_Low-Rank_Adaptation_for_Rehearsal-Free_Class-Incremental_Learning_CVPR_2025_paper.html</w:t>
      </w:r>
    </w:p>
    <w:p>
      <w:pPr>
        <w:spacing w:after="80"/>
        <w:ind w:left="216"/>
      </w:pPr>
      <w:r>
        <w:rPr>
          <w:rFonts w:ascii="Arial" w:hAnsi="Arial" w:eastAsia="Microsoft YaHei"/>
          <w:sz w:val="18"/>
        </w:rPr>
        <w:t>[5] Li et al., Dynamic Integration of Task-Specific Adapters for Class Incremental Learning, CVPR 2025. https://openaccess.thecvf.com/content/CVPR2025/html/Li_Dynamic_Integration_of_Task-Specific_Adapters_for_Class_Incremental_Learning_CVPR_2025_paper.html</w:t>
      </w:r>
    </w:p>
    <w:p>
      <w:pPr>
        <w:spacing w:after="80"/>
        <w:ind w:left="216"/>
      </w:pPr>
      <w:r>
        <w:rPr>
          <w:rFonts w:ascii="Arial" w:hAnsi="Arial" w:eastAsia="Microsoft YaHei"/>
          <w:sz w:val="18"/>
        </w:rPr>
        <w:t>[6] Lai et al., Order-Robust Class Incremental Learning: Graph-Driven Dynamic Similarity Grouping, CVPR 2025. https://openaccess.thecvf.com/content/CVPR2025/html/Lai_Order-Robust_Class_Incremental_Learning_Graph-Driven_Dynamic_Similarity_Grouping_CVPR_2025_paper.html</w:t>
      </w:r>
    </w:p>
    <w:p>
      <w:pPr>
        <w:spacing w:after="80"/>
        <w:ind w:left="216"/>
      </w:pPr>
      <w:r>
        <w:rPr>
          <w:rFonts w:ascii="Arial" w:hAnsi="Arial" w:eastAsia="Microsoft YaHei"/>
          <w:sz w:val="18"/>
        </w:rPr>
        <w:t>[7] Jiang et al., Revisiting Pool-based Prompt Learning for Few-shot Class-incremental Learning, ICCV 2025. https://openaccess.thecvf.com/content/ICCV2025/html/Jiang_Revisiting_Pool-based_Prompt_Learning_for_Few-shot_Class-incremental_Learning_ICCV_2025_paper.html</w:t>
      </w:r>
    </w:p>
    <w:p>
      <w:pPr>
        <w:spacing w:after="80"/>
        <w:ind w:left="216"/>
      </w:pPr>
      <w:r>
        <w:rPr>
          <w:rFonts w:ascii="Arial" w:hAnsi="Arial" w:eastAsia="Microsoft YaHei"/>
          <w:sz w:val="18"/>
        </w:rPr>
        <w:t>[8] Shi et al., Lark: Low-Rank Updates After Knowledge Localization for Few-shot Class-Incremental Learning, ICCV 2025. https://openaccess.thecvf.com/content/ICCV2025/html/Shi_Lark_Low-Rank_Updates_After_Knowledge_Localization_for_Few-shot_Class-Incremental_Learning_ICCV_2025_paper.html</w:t>
      </w:r>
    </w:p>
    <w:p>
      <w:pPr>
        <w:spacing w:after="80"/>
        <w:ind w:left="216"/>
      </w:pPr>
      <w:r>
        <w:rPr>
          <w:rFonts w:ascii="Arial" w:hAnsi="Arial" w:eastAsia="Microsoft YaHei"/>
          <w:sz w:val="18"/>
        </w:rPr>
        <w:t>[9] Li et al., Naming to Learn: Class Incremental Learning for Vision-Language Model with Unlabeled Data, ICLR 2026. https://github.com/zhoujiahuan1991/ICLR2026-N2L</w:t>
      </w:r>
    </w:p>
    <w:p>
      <w:pPr>
        <w:spacing w:after="80"/>
        <w:ind w:left="216"/>
      </w:pPr>
      <w:r>
        <w:rPr>
          <w:rFonts w:ascii="Arial" w:hAnsi="Arial" w:eastAsia="Microsoft YaHei"/>
          <w:sz w:val="18"/>
        </w:rPr>
        <w:t>[10] Bao et al., Few-shot Class-Incremental Learning via Generative Co-Memory Regularization, IJCV 2026. https://arxiv.org/abs/2601.07117</w:t>
      </w:r>
    </w:p>
    <w:p>
      <w:pPr>
        <w:spacing w:after="80"/>
        <w:ind w:left="216"/>
      </w:pPr>
      <w:r>
        <w:rPr>
          <w:rFonts w:ascii="Arial" w:hAnsi="Arial" w:eastAsia="Microsoft YaHei"/>
          <w:sz w:val="18"/>
        </w:rPr>
        <w:t>[11] Suleymanov et al., SPRINT: Semi-supervised Prototypical Representation for Few-Shot Class-Incremental Tabular Learning, arXiv 2026. https://arxiv.org/abs/2603.04321</w:t>
      </w:r>
    </w:p>
    <w:p>
      <w:pPr>
        <w:spacing w:after="80"/>
        <w:ind w:left="216"/>
      </w:pPr>
      <w:r>
        <w:rPr>
          <w:rFonts w:ascii="Arial" w:hAnsi="Arial" w:eastAsia="Microsoft YaHei"/>
          <w:sz w:val="18"/>
        </w:rPr>
        <w:t>[12] Ma et al., Unknown Text Learning for CLIP-based Few-Shot Open-set Recognition, ICCV 2025. https://openaccess.thecvf.com/content/ICCV2025/html/Ma_Unknown_Text_Learning_for_CLIP-based_Few-Shot_Open-set_Recognition_ICCV_2025_paper.html</w:t>
      </w:r>
    </w:p>
    <w:p>
      <w:pPr>
        <w:spacing w:after="80"/>
        <w:ind w:left="216"/>
      </w:pPr>
      <w:r>
        <w:rPr>
          <w:rFonts w:ascii="Arial" w:hAnsi="Arial" w:eastAsia="Microsoft YaHei"/>
          <w:sz w:val="18"/>
        </w:rPr>
        <w:t>[13] Rabinowitz et al., COSTARR: Consolidated Open Set Technique with Attenuation for Robust Recognition, ICCV 2025. https://openaccess.thecvf.com/content/ICCV2025/html/Rabinowitz_COSTARR_Consolidated_Open_Set_Technique_with_Attenuation_for_Robust_Recognition_ICCV_2025_paper.html</w:t>
      </w:r>
    </w:p>
    <w:p>
      <w:pPr>
        <w:spacing w:after="80"/>
        <w:ind w:left="216"/>
      </w:pPr>
      <w:r>
        <w:rPr>
          <w:rFonts w:ascii="Arial" w:hAnsi="Arial" w:eastAsia="Microsoft YaHei"/>
          <w:sz w:val="18"/>
        </w:rPr>
        <w:t>[14] Ye et al., Open Set Label Shift with Test Time Out-of-Distribution Reference, CVPR 2025. https://openaccess.thecvf.com/content/CVPR2025/papers/Ye_Open_Set_Label_Shift_with_Test_Time_Out-of-Distribution_Reference_CVPR_2025_paper.pdf</w:t>
      </w:r>
    </w:p>
    <w:p>
      <w:pPr>
        <w:spacing w:after="80"/>
        <w:ind w:left="216"/>
      </w:pPr>
      <w:r>
        <w:rPr>
          <w:rFonts w:ascii="Arial" w:hAnsi="Arial" w:eastAsia="Microsoft YaHei"/>
          <w:sz w:val="18"/>
        </w:rPr>
        <w:t>[15] Liu et al., Incremental Learning-Based Open-Set Classification of Unknown UAVs via RF Signal Semantics, ICC 2026. https://arxiv.org/abs/2603.24268</w:t>
      </w:r>
    </w:p>
    <w:p>
      <w:pPr>
        <w:spacing w:after="80"/>
        <w:ind w:left="216"/>
      </w:pPr>
      <w:r>
        <w:rPr>
          <w:rFonts w:ascii="Arial" w:hAnsi="Arial" w:eastAsia="Microsoft YaHei"/>
          <w:sz w:val="18"/>
        </w:rPr>
        <w:t>[16] Yang et al., Collaborative Transformer Prototype Network With Pretrained Contrastive Language-Audio Encoder for Open Set Audio Recognition, IEEE TSP 2025.</w:t>
      </w:r>
    </w:p>
    <w:p>
      <w:pPr>
        <w:spacing w:after="80"/>
        <w:ind w:left="216"/>
      </w:pPr>
      <w:r>
        <w:rPr>
          <w:rFonts w:ascii="Arial" w:hAnsi="Arial" w:eastAsia="Microsoft YaHei"/>
          <w:sz w:val="18"/>
        </w:rPr>
        <w:t>[17] Yang et al., End-to-End Open-Set Semi-Supervised Learning for Fine-Grained Encrypted Traffic Classification, IEEE TIFS 2026.</w:t>
      </w:r>
    </w:p>
    <w:p>
      <w:pPr>
        <w:spacing w:after="80"/>
        <w:ind w:left="216"/>
      </w:pPr>
      <w:r>
        <w:rPr>
          <w:rFonts w:ascii="Arial" w:hAnsi="Arial" w:eastAsia="Microsoft YaHei"/>
          <w:sz w:val="18"/>
        </w:rPr>
        <w:t>[18] Li et al., Few-Shot Open-Set Audio Classification Using Attention Information-Fused Prototypes, IEEE TASLP 2026.</w:t>
      </w:r>
    </w:p>
    <w:sectPr w:rsidR="00FC693F" w:rsidRPr="0006063C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