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B6B4" w14:textId="3D6F75F8" w:rsidR="00D555B4" w:rsidRDefault="007B4848" w:rsidP="007B4848">
      <w:pPr>
        <w:pStyle w:val="Heading1"/>
      </w:pPr>
      <w:r>
        <w:t xml:space="preserve">Benford Oddities in </w:t>
      </w:r>
      <w:r w:rsidR="001E4822">
        <w:t xml:space="preserve">2020 </w:t>
      </w:r>
      <w:r>
        <w:t xml:space="preserve">County Level </w:t>
      </w:r>
      <w:r w:rsidR="001E4822">
        <w:t xml:space="preserve">US Presidential </w:t>
      </w:r>
      <w:r>
        <w:t>Election Data</w:t>
      </w:r>
    </w:p>
    <w:p w14:paraId="598527A0" w14:textId="7FF94037" w:rsidR="007B4848" w:rsidRDefault="007B4848" w:rsidP="007B4848">
      <w:r>
        <w:t>Lee Prevost, 11/20/24</w:t>
      </w:r>
    </w:p>
    <w:p w14:paraId="22CD3247" w14:textId="0E85ADE4" w:rsidR="007B4848" w:rsidRDefault="007B4848" w:rsidP="007B4848">
      <w:r>
        <w:t>I’m aware of discussions that Benford’s Law is misused in the study of elections, particularly in its use on precinct level data.</w:t>
      </w:r>
      <w:r>
        <w:rPr>
          <w:rStyle w:val="EndnoteReference"/>
        </w:rPr>
        <w:endnoteReference w:id="1"/>
      </w:r>
    </w:p>
    <w:p w14:paraId="70A7B86B" w14:textId="7D483F88" w:rsidR="007B4848" w:rsidRDefault="007B4848" w:rsidP="007B4848">
      <w:pPr>
        <w:rPr>
          <w:noProof/>
        </w:rPr>
      </w:pPr>
      <w:r>
        <w:t>However, in studying the result of the 2020 election using a dataset from Harvard Dataverse</w:t>
      </w:r>
      <w:r w:rsidR="001E4822">
        <w:t>/MIT Election Lab</w:t>
      </w:r>
      <w:r>
        <w:t xml:space="preserve"> on county level election data since 2000, I’m finding Benford’s Law to apply very well.</w:t>
      </w:r>
      <w:r w:rsidRPr="007B4848">
        <w:rPr>
          <w:noProof/>
        </w:rPr>
        <w:t xml:space="preserve"> </w:t>
      </w:r>
    </w:p>
    <w:p w14:paraId="3846CB6F" w14:textId="77777777" w:rsidR="007B4848" w:rsidRDefault="007B4848" w:rsidP="007B4848">
      <w:pPr>
        <w:rPr>
          <w:noProof/>
        </w:rPr>
      </w:pPr>
    </w:p>
    <w:p w14:paraId="56C75928" w14:textId="12D9600F" w:rsidR="007B4848" w:rsidRDefault="007B4848" w:rsidP="007B4848">
      <w:r>
        <w:rPr>
          <w:noProof/>
        </w:rPr>
        <w:drawing>
          <wp:inline distT="0" distB="0" distL="0" distR="0" wp14:anchorId="51510776" wp14:editId="0DF78FFF">
            <wp:extent cx="5080000" cy="3810000"/>
            <wp:effectExtent l="0" t="0" r="6350" b="0"/>
            <wp:docPr id="182261991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19913" name="Picture 1" descr="A graph with blue and orang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63" cy="38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C4E4" w14:textId="3E2FE4E6" w:rsidR="007B4848" w:rsidRDefault="007B4848" w:rsidP="007B4848">
      <w:r>
        <w:t xml:space="preserve">Using </w:t>
      </w:r>
      <w:r w:rsidR="0067706F">
        <w:t xml:space="preserve">MAD or </w:t>
      </w:r>
      <w:r>
        <w:t>“median absolute deviation” as the error scoring methodology as prescribed by David G. Banks</w:t>
      </w:r>
      <w:r w:rsidR="0067706F">
        <w:rPr>
          <w:rStyle w:val="EndnoteReference"/>
        </w:rPr>
        <w:endnoteReference w:id="2"/>
      </w:r>
      <w:r>
        <w:t xml:space="preserve">, I am finding the error rates for all elections since 2000 to be well withing the range of conformity outlined </w:t>
      </w:r>
      <w:r w:rsidR="0067706F">
        <w:t>by Nigrini</w:t>
      </w:r>
      <w:r w:rsidR="001E4822">
        <w:t>.</w:t>
      </w:r>
      <w:r w:rsidR="0067706F">
        <w:rPr>
          <w:rStyle w:val="EndnoteReference"/>
        </w:rPr>
        <w:endnoteReference w:id="3"/>
      </w:r>
      <w:r w:rsidR="0067706F">
        <w:t xml:space="preserve"> </w:t>
      </w:r>
      <w:r w:rsidR="001E4822">
        <w:t>All total counts are in Nigrini’s “Acceptable Conformity” range.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848" w14:paraId="31E71B10" w14:textId="77777777" w:rsidTr="007B4848">
        <w:tc>
          <w:tcPr>
            <w:tcW w:w="4675" w:type="dxa"/>
          </w:tcPr>
          <w:p w14:paraId="0AC7E821" w14:textId="56BD261F" w:rsidR="007B4848" w:rsidRDefault="0067706F" w:rsidP="007B4848">
            <w:r>
              <w:t>Guidelines</w:t>
            </w:r>
          </w:p>
        </w:tc>
        <w:tc>
          <w:tcPr>
            <w:tcW w:w="4675" w:type="dxa"/>
          </w:tcPr>
          <w:p w14:paraId="3220DDBB" w14:textId="1B5B7EFE" w:rsidR="007B4848" w:rsidRDefault="0067706F" w:rsidP="007B4848">
            <w:r>
              <w:t>MAD</w:t>
            </w:r>
          </w:p>
        </w:tc>
      </w:tr>
      <w:tr w:rsidR="0067706F" w14:paraId="6F30625C" w14:textId="77777777" w:rsidTr="007B4848">
        <w:tc>
          <w:tcPr>
            <w:tcW w:w="4675" w:type="dxa"/>
          </w:tcPr>
          <w:p w14:paraId="0A05FD46" w14:textId="632CB11F" w:rsidR="0067706F" w:rsidRDefault="0067706F" w:rsidP="0067706F">
            <w:r>
              <w:t>Close Conformity</w:t>
            </w:r>
          </w:p>
        </w:tc>
        <w:tc>
          <w:tcPr>
            <w:tcW w:w="4675" w:type="dxa"/>
          </w:tcPr>
          <w:p w14:paraId="22D20C58" w14:textId="6412355B" w:rsidR="0067706F" w:rsidRDefault="0067706F" w:rsidP="0067706F">
            <w:r>
              <w:t>0.000 to 0.004</w:t>
            </w:r>
          </w:p>
        </w:tc>
      </w:tr>
      <w:tr w:rsidR="0067706F" w14:paraId="578F8751" w14:textId="77777777" w:rsidTr="007B4848">
        <w:tc>
          <w:tcPr>
            <w:tcW w:w="4675" w:type="dxa"/>
          </w:tcPr>
          <w:p w14:paraId="2E3A4DD2" w14:textId="131D0EA8" w:rsidR="0067706F" w:rsidRDefault="0067706F" w:rsidP="0067706F">
            <w:r>
              <w:t>Acceptable Conformity</w:t>
            </w:r>
          </w:p>
        </w:tc>
        <w:tc>
          <w:tcPr>
            <w:tcW w:w="4675" w:type="dxa"/>
          </w:tcPr>
          <w:p w14:paraId="0DC8486F" w14:textId="60162F66" w:rsidR="0067706F" w:rsidRDefault="0067706F" w:rsidP="0067706F">
            <w:r>
              <w:t>0.004 to 0.008</w:t>
            </w:r>
          </w:p>
        </w:tc>
      </w:tr>
      <w:tr w:rsidR="0067706F" w14:paraId="1515A25C" w14:textId="77777777" w:rsidTr="007B4848">
        <w:tc>
          <w:tcPr>
            <w:tcW w:w="4675" w:type="dxa"/>
          </w:tcPr>
          <w:p w14:paraId="384702B9" w14:textId="36FBC32E" w:rsidR="0067706F" w:rsidRDefault="0067706F" w:rsidP="0067706F">
            <w:r>
              <w:t>Marginally Acceptable Conformity</w:t>
            </w:r>
          </w:p>
        </w:tc>
        <w:tc>
          <w:tcPr>
            <w:tcW w:w="4675" w:type="dxa"/>
          </w:tcPr>
          <w:p w14:paraId="174033F3" w14:textId="08FFB700" w:rsidR="0067706F" w:rsidRDefault="0067706F" w:rsidP="0067706F">
            <w:r>
              <w:t>0.008 to 0.012</w:t>
            </w:r>
          </w:p>
        </w:tc>
      </w:tr>
      <w:tr w:rsidR="0067706F" w14:paraId="4236BA04" w14:textId="77777777" w:rsidTr="007B4848">
        <w:tc>
          <w:tcPr>
            <w:tcW w:w="4675" w:type="dxa"/>
          </w:tcPr>
          <w:p w14:paraId="160228E8" w14:textId="27992A9B" w:rsidR="0067706F" w:rsidRDefault="0067706F" w:rsidP="0067706F">
            <w:r>
              <w:t>Nonconformity</w:t>
            </w:r>
          </w:p>
        </w:tc>
        <w:tc>
          <w:tcPr>
            <w:tcW w:w="4675" w:type="dxa"/>
          </w:tcPr>
          <w:p w14:paraId="6BE819E8" w14:textId="566F5AEA" w:rsidR="0067706F" w:rsidRDefault="0067706F" w:rsidP="0067706F">
            <w:r>
              <w:t>Greater than 0.012</w:t>
            </w:r>
          </w:p>
        </w:tc>
      </w:tr>
    </w:tbl>
    <w:p w14:paraId="001CB2B5" w14:textId="77777777" w:rsidR="007B4848" w:rsidRDefault="007B4848" w:rsidP="007B4848"/>
    <w:p w14:paraId="09A29BAF" w14:textId="02CD6F24" w:rsidR="007B4848" w:rsidRDefault="007B4848" w:rsidP="007B4848">
      <w:r>
        <w:rPr>
          <w:noProof/>
        </w:rPr>
        <w:lastRenderedPageBreak/>
        <w:drawing>
          <wp:inline distT="0" distB="0" distL="0" distR="0" wp14:anchorId="3705726E" wp14:editId="0A1A5A92">
            <wp:extent cx="4052044" cy="7937500"/>
            <wp:effectExtent l="0" t="0" r="5715" b="6350"/>
            <wp:docPr id="137521813" name="Picture 2" descr="A graph of a number of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813" name="Picture 2" descr="A graph of a number of blue and white ba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98" cy="79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44AC" w14:textId="2E27CB96" w:rsidR="00F81900" w:rsidRDefault="00F81900" w:rsidP="007B4848">
      <w:r>
        <w:t>Note: MAE (Mean Absolute Error as defined in sci-kit learn) is equivalent to “MAD”</w:t>
      </w:r>
    </w:p>
    <w:p w14:paraId="688B23FE" w14:textId="77777777" w:rsidR="00F81900" w:rsidRDefault="00F81900" w:rsidP="007B4848">
      <w:r>
        <w:lastRenderedPageBreak/>
        <w:t>The comparison of error rates of elections 2000-2020:</w:t>
      </w:r>
    </w:p>
    <w:p w14:paraId="43E6928D" w14:textId="77777777" w:rsidR="00F81900" w:rsidRDefault="00F81900" w:rsidP="007B4848">
      <w:r>
        <w:rPr>
          <w:noProof/>
        </w:rPr>
        <w:drawing>
          <wp:inline distT="0" distB="0" distL="0" distR="0" wp14:anchorId="559E52A1" wp14:editId="62EEAAFE">
            <wp:extent cx="5852160" cy="4389120"/>
            <wp:effectExtent l="0" t="0" r="0" b="0"/>
            <wp:docPr id="1656899367" name="Picture 4" descr="A graph of the united states presidential el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99367" name="Picture 4" descr="A graph of the united states presidential election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5974" w14:textId="7922B780" w:rsidR="007B4848" w:rsidRDefault="0067706F" w:rsidP="007B4848">
      <w:r>
        <w:t xml:space="preserve">I </w:t>
      </w:r>
      <w:r w:rsidR="00C8518C">
        <w:t>conclude</w:t>
      </w:r>
      <w:r>
        <w:t xml:space="preserve"> that the county level data, which is not artificially constrained by the </w:t>
      </w:r>
      <w:r w:rsidR="00C8518C">
        <w:t>boundaries</w:t>
      </w:r>
      <w:r>
        <w:t xml:space="preserve"> of a precinct</w:t>
      </w:r>
      <w:r w:rsidR="00C8518C">
        <w:t xml:space="preserve">, </w:t>
      </w:r>
      <w:r>
        <w:t>follows Benford closely.</w:t>
      </w:r>
    </w:p>
    <w:p w14:paraId="03BB3927" w14:textId="6813AADD" w:rsidR="0067706F" w:rsidRDefault="001E4822" w:rsidP="007B4848">
      <w:r>
        <w:t xml:space="preserve">Even </w:t>
      </w:r>
      <w:r w:rsidR="00C8518C">
        <w:t>though</w:t>
      </w:r>
      <w:r>
        <w:t xml:space="preserve"> the party level and total county level data seems to closely conform, I </w:t>
      </w:r>
      <w:r w:rsidR="0067706F">
        <w:t>do find that Benford’s Law breaks down when used with calculated data such as vote margins.</w:t>
      </w:r>
      <w:r w:rsidR="00D97940">
        <w:t xml:space="preserve">  </w:t>
      </w:r>
    </w:p>
    <w:p w14:paraId="430829F5" w14:textId="77777777" w:rsidR="00D97940" w:rsidRDefault="00D97940" w:rsidP="007B4848"/>
    <w:p w14:paraId="6207A5A0" w14:textId="5BE470F7" w:rsidR="00D97940" w:rsidRDefault="00D97940" w:rsidP="00D97940">
      <w:pPr>
        <w:pStyle w:val="Heading2"/>
      </w:pPr>
      <w:r>
        <w:t>Closer Inspection of Party Level Data</w:t>
      </w:r>
    </w:p>
    <w:p w14:paraId="5D60B7C7" w14:textId="690AE532" w:rsidR="0067706F" w:rsidRDefault="0067706F" w:rsidP="007B4848">
      <w:r>
        <w:t>The seemingly close conformity to Benford’s Law encouraged me to look closer at actual digit anomalies over the course of elections.</w:t>
      </w:r>
    </w:p>
    <w:p w14:paraId="690A73BF" w14:textId="0B1ABACE" w:rsidR="00D97940" w:rsidRDefault="00D97940" w:rsidP="007B4848">
      <w:r>
        <w:t xml:space="preserve">Raw Benford digit county frequencies are in my </w:t>
      </w:r>
      <w:hyperlink r:id="rId11" w:history="1">
        <w:r w:rsidR="00C8518C" w:rsidRPr="003F56E9">
          <w:rPr>
            <w:rStyle w:val="Hyperlink"/>
          </w:rPr>
          <w:t>repo</w:t>
        </w:r>
      </w:hyperlink>
      <w:r>
        <w:t xml:space="preserve"> along with all sources and methods.  </w:t>
      </w:r>
    </w:p>
    <w:p w14:paraId="6B6A0721" w14:textId="607FC425" w:rsidR="00D97940" w:rsidRDefault="00D97940" w:rsidP="007B4848">
      <w:r>
        <w:t>I applied a z-score to all Benford digit count frequencies and then filtered on z-scores whose absolute values were greater than two.   This produced an anomalous result list of elections and parties which had vote counts with z-score frequencies that were more than 2 standard deviations from the expected Benford count.</w:t>
      </w:r>
    </w:p>
    <w:p w14:paraId="4768F19A" w14:textId="77777777" w:rsidR="00D97940" w:rsidRDefault="00D97940" w:rsidP="007B484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227"/>
        <w:gridCol w:w="769"/>
        <w:gridCol w:w="658"/>
        <w:gridCol w:w="658"/>
        <w:gridCol w:w="709"/>
      </w:tblGrid>
      <w:tr w:rsidR="00D97940" w14:paraId="07BE1B33" w14:textId="77777777">
        <w:trPr>
          <w:divId w:val="1467314915"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D471E" w14:textId="77777777" w:rsidR="00D97940" w:rsidRDefault="00D9794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lastRenderedPageBreak/>
              <w:t>Benford Anomalies 2000-2020</w:t>
            </w:r>
          </w:p>
        </w:tc>
      </w:tr>
      <w:tr w:rsidR="00D97940" w14:paraId="48618418" w14:textId="77777777">
        <w:trPr>
          <w:divId w:val="14673149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62A14" w14:textId="77777777" w:rsidR="00D97940" w:rsidRDefault="00D9794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party</w:t>
            </w:r>
          </w:p>
        </w:tc>
        <w:tc>
          <w:tcPr>
            <w:tcW w:w="0" w:type="auto"/>
            <w:vAlign w:val="center"/>
            <w:hideMark/>
          </w:tcPr>
          <w:p w14:paraId="0A28FDBD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DEMOCRAT</w:t>
            </w:r>
          </w:p>
        </w:tc>
        <w:tc>
          <w:tcPr>
            <w:tcW w:w="0" w:type="auto"/>
            <w:vAlign w:val="center"/>
            <w:hideMark/>
          </w:tcPr>
          <w:p w14:paraId="619ADF2D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GREEN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709EF0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348E0BA5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</w:t>
            </w:r>
          </w:p>
        </w:tc>
      </w:tr>
      <w:tr w:rsidR="00D97940" w14:paraId="5A3C8AE2" w14:textId="77777777">
        <w:trPr>
          <w:divId w:val="14673149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56DAD" w14:textId="77777777" w:rsidR="00D97940" w:rsidRDefault="00D9794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11D6156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4F2BF1C3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63E6B7A7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25207E80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6AA1BF80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2012</w:t>
            </w:r>
          </w:p>
        </w:tc>
      </w:tr>
      <w:tr w:rsidR="00D97940" w14:paraId="7498855E" w14:textId="77777777">
        <w:trPr>
          <w:divId w:val="14673149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8E3D4" w14:textId="77777777" w:rsidR="00D97940" w:rsidRDefault="00D9794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digits</w:t>
            </w:r>
          </w:p>
        </w:tc>
        <w:tc>
          <w:tcPr>
            <w:tcW w:w="0" w:type="auto"/>
            <w:vAlign w:val="center"/>
            <w:hideMark/>
          </w:tcPr>
          <w:p w14:paraId="6D393326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6C31AA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BA2026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702007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899EAA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D97940" w14:paraId="4E320AD5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1A416E66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</w:t>
            </w:r>
          </w:p>
        </w:tc>
        <w:tc>
          <w:tcPr>
            <w:tcW w:w="0" w:type="auto"/>
            <w:shd w:val="clear" w:color="auto" w:fill="B3DF72"/>
            <w:vAlign w:val="center"/>
            <w:hideMark/>
          </w:tcPr>
          <w:p w14:paraId="5B350436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0.65%</w:t>
            </w:r>
          </w:p>
        </w:tc>
        <w:tc>
          <w:tcPr>
            <w:tcW w:w="0" w:type="auto"/>
            <w:shd w:val="clear" w:color="auto" w:fill="F98E52"/>
            <w:vAlign w:val="center"/>
            <w:hideMark/>
          </w:tcPr>
          <w:p w14:paraId="1BEF7E8F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1.45%</w:t>
            </w:r>
          </w:p>
        </w:tc>
        <w:tc>
          <w:tcPr>
            <w:tcW w:w="0" w:type="auto"/>
            <w:shd w:val="clear" w:color="auto" w:fill="A50026"/>
            <w:vAlign w:val="center"/>
            <w:hideMark/>
          </w:tcPr>
          <w:p w14:paraId="4DD6FFDA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1.94%</w:t>
            </w:r>
          </w:p>
        </w:tc>
        <w:tc>
          <w:tcPr>
            <w:tcW w:w="0" w:type="auto"/>
            <w:shd w:val="clear" w:color="auto" w:fill="FDAF62"/>
            <w:vAlign w:val="center"/>
            <w:hideMark/>
          </w:tcPr>
          <w:p w14:paraId="4C22281C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1.36%</w:t>
            </w:r>
          </w:p>
        </w:tc>
        <w:tc>
          <w:tcPr>
            <w:tcW w:w="0" w:type="auto"/>
            <w:shd w:val="clear" w:color="auto" w:fill="148E4B"/>
            <w:vAlign w:val="center"/>
            <w:hideMark/>
          </w:tcPr>
          <w:p w14:paraId="556992D0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0.18%</w:t>
            </w:r>
          </w:p>
        </w:tc>
      </w:tr>
      <w:tr w:rsidR="00D97940" w14:paraId="0690058D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70D65BFA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2.0</w:t>
            </w:r>
          </w:p>
        </w:tc>
        <w:tc>
          <w:tcPr>
            <w:tcW w:w="0" w:type="auto"/>
            <w:shd w:val="clear" w:color="auto" w:fill="84CA66"/>
            <w:vAlign w:val="center"/>
            <w:hideMark/>
          </w:tcPr>
          <w:p w14:paraId="6A93746A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0.49%</w:t>
            </w:r>
          </w:p>
        </w:tc>
        <w:tc>
          <w:tcPr>
            <w:tcW w:w="0" w:type="auto"/>
            <w:shd w:val="clear" w:color="auto" w:fill="51B35E"/>
            <w:vAlign w:val="center"/>
            <w:hideMark/>
          </w:tcPr>
          <w:p w14:paraId="35E5E43E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0.35%</w:t>
            </w:r>
          </w:p>
        </w:tc>
        <w:tc>
          <w:tcPr>
            <w:tcW w:w="0" w:type="auto"/>
            <w:shd w:val="clear" w:color="auto" w:fill="006837"/>
            <w:vAlign w:val="center"/>
            <w:hideMark/>
          </w:tcPr>
          <w:p w14:paraId="4F720147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0.02%</w:t>
            </w:r>
          </w:p>
        </w:tc>
        <w:tc>
          <w:tcPr>
            <w:tcW w:w="0" w:type="auto"/>
            <w:shd w:val="clear" w:color="auto" w:fill="E9F6A1"/>
            <w:vAlign w:val="center"/>
            <w:hideMark/>
          </w:tcPr>
          <w:p w14:paraId="63A7EA11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0.87%</w:t>
            </w:r>
          </w:p>
        </w:tc>
        <w:tc>
          <w:tcPr>
            <w:tcW w:w="0" w:type="auto"/>
            <w:shd w:val="clear" w:color="auto" w:fill="FECC7B"/>
            <w:vAlign w:val="center"/>
            <w:hideMark/>
          </w:tcPr>
          <w:p w14:paraId="3BCB6FE2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1.25%</w:t>
            </w:r>
          </w:p>
        </w:tc>
      </w:tr>
      <w:tr w:rsidR="00D97940" w14:paraId="4C38E6B7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5E319A88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3.0</w:t>
            </w:r>
          </w:p>
        </w:tc>
        <w:tc>
          <w:tcPr>
            <w:tcW w:w="0" w:type="auto"/>
            <w:shd w:val="clear" w:color="auto" w:fill="4EB15D"/>
            <w:vAlign w:val="center"/>
            <w:hideMark/>
          </w:tcPr>
          <w:p w14:paraId="300248F8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0.35%</w:t>
            </w:r>
          </w:p>
        </w:tc>
        <w:tc>
          <w:tcPr>
            <w:tcW w:w="0" w:type="auto"/>
            <w:shd w:val="clear" w:color="auto" w:fill="F1F9AC"/>
            <w:vAlign w:val="center"/>
            <w:hideMark/>
          </w:tcPr>
          <w:p w14:paraId="62B62BB5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0.91%</w:t>
            </w:r>
          </w:p>
        </w:tc>
        <w:tc>
          <w:tcPr>
            <w:tcW w:w="0" w:type="auto"/>
            <w:shd w:val="clear" w:color="auto" w:fill="05713C"/>
            <w:vAlign w:val="center"/>
            <w:hideMark/>
          </w:tcPr>
          <w:p w14:paraId="01B7A1E3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0.07%</w:t>
            </w:r>
          </w:p>
        </w:tc>
        <w:tc>
          <w:tcPr>
            <w:tcW w:w="0" w:type="auto"/>
            <w:shd w:val="clear" w:color="auto" w:fill="199750"/>
            <w:vAlign w:val="center"/>
            <w:hideMark/>
          </w:tcPr>
          <w:p w14:paraId="7CCA40DA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0.21%</w:t>
            </w:r>
          </w:p>
        </w:tc>
        <w:tc>
          <w:tcPr>
            <w:tcW w:w="0" w:type="auto"/>
            <w:shd w:val="clear" w:color="auto" w:fill="FECE7C"/>
            <w:vAlign w:val="center"/>
            <w:hideMark/>
          </w:tcPr>
          <w:p w14:paraId="7626DEA9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1.24%</w:t>
            </w:r>
          </w:p>
        </w:tc>
      </w:tr>
      <w:tr w:rsidR="00D97940" w14:paraId="14C9657E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3DF7D4EB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4.0</w:t>
            </w:r>
          </w:p>
        </w:tc>
        <w:tc>
          <w:tcPr>
            <w:tcW w:w="0" w:type="auto"/>
            <w:shd w:val="clear" w:color="auto" w:fill="BD1726"/>
            <w:vAlign w:val="center"/>
            <w:hideMark/>
          </w:tcPr>
          <w:p w14:paraId="67B01E6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1.85%</w:t>
            </w:r>
          </w:p>
        </w:tc>
        <w:tc>
          <w:tcPr>
            <w:tcW w:w="0" w:type="auto"/>
            <w:shd w:val="clear" w:color="auto" w:fill="3FAA59"/>
            <w:vAlign w:val="center"/>
            <w:hideMark/>
          </w:tcPr>
          <w:p w14:paraId="6A8C1A61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0.31%</w:t>
            </w:r>
          </w:p>
        </w:tc>
        <w:tc>
          <w:tcPr>
            <w:tcW w:w="0" w:type="auto"/>
            <w:shd w:val="clear" w:color="auto" w:fill="CDEA83"/>
            <w:vAlign w:val="center"/>
            <w:hideMark/>
          </w:tcPr>
          <w:p w14:paraId="1BDCF2D4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0.75%</w:t>
            </w:r>
          </w:p>
        </w:tc>
        <w:tc>
          <w:tcPr>
            <w:tcW w:w="0" w:type="auto"/>
            <w:shd w:val="clear" w:color="auto" w:fill="138C4A"/>
            <w:vAlign w:val="center"/>
            <w:hideMark/>
          </w:tcPr>
          <w:p w14:paraId="065C5E99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0.17%</w:t>
            </w:r>
          </w:p>
        </w:tc>
        <w:tc>
          <w:tcPr>
            <w:tcW w:w="0" w:type="auto"/>
            <w:shd w:val="clear" w:color="auto" w:fill="06733D"/>
            <w:vAlign w:val="center"/>
            <w:hideMark/>
          </w:tcPr>
          <w:p w14:paraId="20A5D42C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0.07%</w:t>
            </w:r>
          </w:p>
        </w:tc>
      </w:tr>
      <w:tr w:rsidR="00D97940" w14:paraId="02F9B37B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0D474D85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5.0</w:t>
            </w:r>
          </w:p>
        </w:tc>
        <w:tc>
          <w:tcPr>
            <w:tcW w:w="0" w:type="auto"/>
            <w:shd w:val="clear" w:color="auto" w:fill="FCA55D"/>
            <w:vAlign w:val="center"/>
            <w:hideMark/>
          </w:tcPr>
          <w:p w14:paraId="0375AA62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1.39%</w:t>
            </w:r>
          </w:p>
        </w:tc>
        <w:tc>
          <w:tcPr>
            <w:tcW w:w="0" w:type="auto"/>
            <w:shd w:val="clear" w:color="auto" w:fill="249D53"/>
            <w:vAlign w:val="center"/>
            <w:hideMark/>
          </w:tcPr>
          <w:p w14:paraId="54161484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0.25%</w:t>
            </w:r>
          </w:p>
        </w:tc>
        <w:tc>
          <w:tcPr>
            <w:tcW w:w="0" w:type="auto"/>
            <w:shd w:val="clear" w:color="auto" w:fill="57B65F"/>
            <w:vAlign w:val="center"/>
            <w:hideMark/>
          </w:tcPr>
          <w:p w14:paraId="6E1DFE84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0.37%</w:t>
            </w:r>
          </w:p>
        </w:tc>
        <w:tc>
          <w:tcPr>
            <w:tcW w:w="0" w:type="auto"/>
            <w:shd w:val="clear" w:color="auto" w:fill="D3EC87"/>
            <w:vAlign w:val="center"/>
            <w:hideMark/>
          </w:tcPr>
          <w:p w14:paraId="0FBA03BE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0.77%</w:t>
            </w:r>
          </w:p>
        </w:tc>
        <w:tc>
          <w:tcPr>
            <w:tcW w:w="0" w:type="auto"/>
            <w:shd w:val="clear" w:color="auto" w:fill="199750"/>
            <w:vAlign w:val="center"/>
            <w:hideMark/>
          </w:tcPr>
          <w:p w14:paraId="6E2E582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0.21%</w:t>
            </w:r>
          </w:p>
        </w:tc>
      </w:tr>
      <w:tr w:rsidR="00D97940" w14:paraId="66CABEB7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40673659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6.0</w:t>
            </w:r>
          </w:p>
        </w:tc>
        <w:tc>
          <w:tcPr>
            <w:tcW w:w="0" w:type="auto"/>
            <w:shd w:val="clear" w:color="auto" w:fill="1E9A51"/>
            <w:vAlign w:val="center"/>
            <w:hideMark/>
          </w:tcPr>
          <w:p w14:paraId="529CC4CE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0.23%</w:t>
            </w:r>
          </w:p>
        </w:tc>
        <w:tc>
          <w:tcPr>
            <w:tcW w:w="0" w:type="auto"/>
            <w:shd w:val="clear" w:color="auto" w:fill="2DA155"/>
            <w:vAlign w:val="center"/>
            <w:hideMark/>
          </w:tcPr>
          <w:p w14:paraId="633706D3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0.27%</w:t>
            </w:r>
          </w:p>
        </w:tc>
        <w:tc>
          <w:tcPr>
            <w:tcW w:w="0" w:type="auto"/>
            <w:shd w:val="clear" w:color="auto" w:fill="026C39"/>
            <w:vAlign w:val="center"/>
            <w:hideMark/>
          </w:tcPr>
          <w:p w14:paraId="510DAD62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0.04%</w:t>
            </w:r>
          </w:p>
        </w:tc>
        <w:tc>
          <w:tcPr>
            <w:tcW w:w="0" w:type="auto"/>
            <w:shd w:val="clear" w:color="auto" w:fill="ABDB6D"/>
            <w:vAlign w:val="center"/>
            <w:hideMark/>
          </w:tcPr>
          <w:p w14:paraId="14C1758D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0.62%</w:t>
            </w:r>
          </w:p>
        </w:tc>
        <w:tc>
          <w:tcPr>
            <w:tcW w:w="0" w:type="auto"/>
            <w:shd w:val="clear" w:color="auto" w:fill="118848"/>
            <w:vAlign w:val="center"/>
            <w:hideMark/>
          </w:tcPr>
          <w:p w14:paraId="5CC759BE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0.15%</w:t>
            </w:r>
          </w:p>
        </w:tc>
      </w:tr>
      <w:tr w:rsidR="00D97940" w14:paraId="138A2B16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0B035384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7.0</w:t>
            </w:r>
          </w:p>
        </w:tc>
        <w:tc>
          <w:tcPr>
            <w:tcW w:w="0" w:type="auto"/>
            <w:shd w:val="clear" w:color="auto" w:fill="5AB760"/>
            <w:vAlign w:val="center"/>
            <w:hideMark/>
          </w:tcPr>
          <w:p w14:paraId="19A7AB0C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0.38%</w:t>
            </w:r>
          </w:p>
        </w:tc>
        <w:tc>
          <w:tcPr>
            <w:tcW w:w="0" w:type="auto"/>
            <w:shd w:val="clear" w:color="auto" w:fill="DCF08F"/>
            <w:vAlign w:val="center"/>
            <w:hideMark/>
          </w:tcPr>
          <w:p w14:paraId="5059B8C2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0.80%</w:t>
            </w:r>
          </w:p>
        </w:tc>
        <w:tc>
          <w:tcPr>
            <w:tcW w:w="0" w:type="auto"/>
            <w:shd w:val="clear" w:color="auto" w:fill="0F8446"/>
            <w:vAlign w:val="center"/>
            <w:hideMark/>
          </w:tcPr>
          <w:p w14:paraId="1D11DCAB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0.14%</w:t>
            </w:r>
          </w:p>
        </w:tc>
        <w:tc>
          <w:tcPr>
            <w:tcW w:w="0" w:type="auto"/>
            <w:shd w:val="clear" w:color="auto" w:fill="15904C"/>
            <w:vAlign w:val="center"/>
            <w:hideMark/>
          </w:tcPr>
          <w:p w14:paraId="514B5F11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0.18%</w:t>
            </w:r>
          </w:p>
        </w:tc>
        <w:tc>
          <w:tcPr>
            <w:tcW w:w="0" w:type="auto"/>
            <w:shd w:val="clear" w:color="auto" w:fill="BE1827"/>
            <w:vAlign w:val="center"/>
            <w:hideMark/>
          </w:tcPr>
          <w:p w14:paraId="538AEBF0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1.84%</w:t>
            </w:r>
          </w:p>
        </w:tc>
      </w:tr>
      <w:tr w:rsidR="00D97940" w14:paraId="618DB20E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36A396C0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8.0</w:t>
            </w:r>
          </w:p>
        </w:tc>
        <w:tc>
          <w:tcPr>
            <w:tcW w:w="0" w:type="auto"/>
            <w:shd w:val="clear" w:color="auto" w:fill="108647"/>
            <w:vAlign w:val="center"/>
            <w:hideMark/>
          </w:tcPr>
          <w:p w14:paraId="3CDB2096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0.15%</w:t>
            </w:r>
          </w:p>
        </w:tc>
        <w:tc>
          <w:tcPr>
            <w:tcW w:w="0" w:type="auto"/>
            <w:shd w:val="clear" w:color="auto" w:fill="54B45F"/>
            <w:vAlign w:val="center"/>
            <w:hideMark/>
          </w:tcPr>
          <w:p w14:paraId="3D7DF65B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0.37%</w:t>
            </w:r>
          </w:p>
        </w:tc>
        <w:tc>
          <w:tcPr>
            <w:tcW w:w="0" w:type="auto"/>
            <w:shd w:val="clear" w:color="auto" w:fill="A5D86A"/>
            <w:vAlign w:val="center"/>
            <w:hideMark/>
          </w:tcPr>
          <w:p w14:paraId="2460CF10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0.59%</w:t>
            </w:r>
          </w:p>
        </w:tc>
        <w:tc>
          <w:tcPr>
            <w:tcW w:w="0" w:type="auto"/>
            <w:shd w:val="clear" w:color="auto" w:fill="33A456"/>
            <w:vAlign w:val="center"/>
            <w:hideMark/>
          </w:tcPr>
          <w:p w14:paraId="30F44FA9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0.28%</w:t>
            </w:r>
          </w:p>
        </w:tc>
        <w:tc>
          <w:tcPr>
            <w:tcW w:w="0" w:type="auto"/>
            <w:shd w:val="clear" w:color="auto" w:fill="0B7D42"/>
            <w:vAlign w:val="center"/>
            <w:hideMark/>
          </w:tcPr>
          <w:p w14:paraId="27A0DEB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0.11%</w:t>
            </w:r>
          </w:p>
        </w:tc>
      </w:tr>
      <w:tr w:rsidR="00D97940" w14:paraId="45914A22" w14:textId="77777777">
        <w:trPr>
          <w:divId w:val="1467314915"/>
          <w:tblCellSpacing w:w="15" w:type="dxa"/>
        </w:trPr>
        <w:tc>
          <w:tcPr>
            <w:tcW w:w="0" w:type="auto"/>
            <w:vAlign w:val="center"/>
            <w:hideMark/>
          </w:tcPr>
          <w:p w14:paraId="13F4A22C" w14:textId="77777777" w:rsidR="00D97940" w:rsidRDefault="00D9794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9.0</w:t>
            </w:r>
          </w:p>
        </w:tc>
        <w:tc>
          <w:tcPr>
            <w:tcW w:w="0" w:type="auto"/>
            <w:shd w:val="clear" w:color="auto" w:fill="17934E"/>
            <w:vAlign w:val="center"/>
            <w:hideMark/>
          </w:tcPr>
          <w:p w14:paraId="2AFE38B8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0.20%</w:t>
            </w:r>
          </w:p>
        </w:tc>
        <w:tc>
          <w:tcPr>
            <w:tcW w:w="0" w:type="auto"/>
            <w:shd w:val="clear" w:color="auto" w:fill="36A657"/>
            <w:vAlign w:val="center"/>
            <w:hideMark/>
          </w:tcPr>
          <w:p w14:paraId="75D2B04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0.29%</w:t>
            </w:r>
          </w:p>
        </w:tc>
        <w:tc>
          <w:tcPr>
            <w:tcW w:w="0" w:type="auto"/>
            <w:shd w:val="clear" w:color="auto" w:fill="08773F"/>
            <w:vAlign w:val="center"/>
            <w:hideMark/>
          </w:tcPr>
          <w:p w14:paraId="2EC2626D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0.09%</w:t>
            </w:r>
          </w:p>
        </w:tc>
        <w:tc>
          <w:tcPr>
            <w:tcW w:w="0" w:type="auto"/>
            <w:shd w:val="clear" w:color="auto" w:fill="60BA62"/>
            <w:vAlign w:val="center"/>
            <w:hideMark/>
          </w:tcPr>
          <w:p w14:paraId="7246AB2A" w14:textId="77777777" w:rsidR="00D97940" w:rsidRDefault="00D97940">
            <w:pPr>
              <w:rPr>
                <w:rFonts w:eastAsia="Times New Roman"/>
                <w:color w:val="F1F1F1"/>
              </w:rPr>
            </w:pPr>
            <w:r>
              <w:rPr>
                <w:rFonts w:eastAsia="Times New Roman"/>
                <w:color w:val="F1F1F1"/>
              </w:rPr>
              <w:t>0.40%</w:t>
            </w:r>
          </w:p>
        </w:tc>
        <w:tc>
          <w:tcPr>
            <w:tcW w:w="0" w:type="auto"/>
            <w:shd w:val="clear" w:color="auto" w:fill="98D368"/>
            <w:vAlign w:val="center"/>
            <w:hideMark/>
          </w:tcPr>
          <w:p w14:paraId="1C21539C" w14:textId="77777777" w:rsidR="00D97940" w:rsidRDefault="00D9794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0.56%</w:t>
            </w:r>
          </w:p>
        </w:tc>
      </w:tr>
    </w:tbl>
    <w:p w14:paraId="24DB1829" w14:textId="5538AFD1" w:rsidR="00D97940" w:rsidRDefault="00D97940" w:rsidP="007B4848"/>
    <w:p w14:paraId="00928A74" w14:textId="77777777" w:rsidR="00CD6FF0" w:rsidRDefault="00CD6FF0">
      <w:r>
        <w:br w:type="page"/>
      </w:r>
    </w:p>
    <w:p w14:paraId="0294556A" w14:textId="0DCCB042" w:rsidR="00F81900" w:rsidRDefault="00F81900">
      <w:r>
        <w:lastRenderedPageBreak/>
        <w:t>A closer inspection of the one major party’s vote in 2020 yields this error rate at the digit frequency levels:</w:t>
      </w:r>
    </w:p>
    <w:p w14:paraId="01DF8612" w14:textId="2893E015" w:rsidR="001E4822" w:rsidRDefault="00F8190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C08538E" wp14:editId="6297F2B0">
            <wp:extent cx="5852160" cy="4389120"/>
            <wp:effectExtent l="0" t="0" r="0" b="0"/>
            <wp:docPr id="1123136697" name="Picture 3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36697" name="Picture 3" descr="A graph of a bar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822">
        <w:br w:type="page"/>
      </w:r>
    </w:p>
    <w:p w14:paraId="091DF0AA" w14:textId="5D899329" w:rsidR="001E4822" w:rsidRDefault="001E4822" w:rsidP="001E4822">
      <w:pPr>
        <w:pStyle w:val="Heading2"/>
      </w:pPr>
      <w:r>
        <w:lastRenderedPageBreak/>
        <w:t>Conclusion</w:t>
      </w:r>
    </w:p>
    <w:p w14:paraId="5C6EB552" w14:textId="216B0931" w:rsidR="00D97940" w:rsidRDefault="00D97940" w:rsidP="007B4848">
      <w:r>
        <w:t>The significance of th</w:t>
      </w:r>
      <w:r w:rsidR="001E4822">
        <w:t>ese anomalies</w:t>
      </w:r>
      <w:r>
        <w:t>:</w:t>
      </w:r>
    </w:p>
    <w:p w14:paraId="7ED5CDE3" w14:textId="4FEBB764" w:rsidR="001E4822" w:rsidRDefault="00D97940" w:rsidP="00D97940">
      <w:pPr>
        <w:pStyle w:val="ListParagraph"/>
        <w:numPr>
          <w:ilvl w:val="0"/>
          <w:numId w:val="2"/>
        </w:numPr>
      </w:pPr>
      <w:r>
        <w:t xml:space="preserve">Of all party level and total presidential election results from 2000-2020, there were </w:t>
      </w:r>
      <w:r w:rsidR="001E4822">
        <w:t>5</w:t>
      </w:r>
      <w:r>
        <w:t xml:space="preserve"> counts that were </w:t>
      </w:r>
      <w:r w:rsidR="001E4822">
        <w:t>deemed suspicious</w:t>
      </w:r>
      <w:r>
        <w:t xml:space="preserve"> </w:t>
      </w:r>
      <w:r w:rsidR="001E4822">
        <w:t>by the z-score screen</w:t>
      </w:r>
      <w:r>
        <w:t>.</w:t>
      </w:r>
      <w:r w:rsidR="001E4822">
        <w:t xml:space="preserve">  </w:t>
      </w:r>
    </w:p>
    <w:p w14:paraId="2A102237" w14:textId="5D90F960" w:rsidR="00D97940" w:rsidRDefault="001E4822" w:rsidP="00D97940">
      <w:pPr>
        <w:pStyle w:val="ListParagraph"/>
        <w:numPr>
          <w:ilvl w:val="0"/>
          <w:numId w:val="2"/>
        </w:numPr>
      </w:pPr>
      <w:r>
        <w:t>Of those 5, one was in 2009, and two each in 2012 and 2020.</w:t>
      </w:r>
    </w:p>
    <w:p w14:paraId="6CDA01E7" w14:textId="3F38D848" w:rsidR="00D97940" w:rsidRDefault="001E4822" w:rsidP="001E4822">
      <w:pPr>
        <w:pStyle w:val="ListParagraph"/>
        <w:numPr>
          <w:ilvl w:val="0"/>
          <w:numId w:val="2"/>
        </w:numPr>
      </w:pPr>
      <w:r>
        <w:t>My focus has been on 2020.  Of the two in 2020, only one involved a major political party’s vote (Democrat).</w:t>
      </w:r>
    </w:p>
    <w:p w14:paraId="74AACEAC" w14:textId="0E4F6041" w:rsidR="00D97940" w:rsidRPr="007B4848" w:rsidRDefault="00D97940" w:rsidP="00D97940">
      <w:pPr>
        <w:pStyle w:val="ListParagraph"/>
        <w:numPr>
          <w:ilvl w:val="0"/>
          <w:numId w:val="2"/>
        </w:numPr>
      </w:pPr>
      <w:r>
        <w:t>It seem</w:t>
      </w:r>
      <w:r w:rsidR="001E4822">
        <w:t>s</w:t>
      </w:r>
      <w:r>
        <w:t xml:space="preserve"> that a closer inspection of those counties whose votes shifted outside of the norm to a digit of 4 or from a digit of 5 would be worthwhile.</w:t>
      </w:r>
      <w:r w:rsidR="001E4822">
        <w:t xml:space="preserve"> </w:t>
      </w:r>
    </w:p>
    <w:sectPr w:rsidR="00D97940" w:rsidRPr="007B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B36F8" w14:textId="77777777" w:rsidR="004D56B4" w:rsidRDefault="004D56B4" w:rsidP="007B4848">
      <w:pPr>
        <w:spacing w:after="0" w:line="240" w:lineRule="auto"/>
      </w:pPr>
      <w:r>
        <w:separator/>
      </w:r>
    </w:p>
  </w:endnote>
  <w:endnote w:type="continuationSeparator" w:id="0">
    <w:p w14:paraId="4322E987" w14:textId="77777777" w:rsidR="004D56B4" w:rsidRDefault="004D56B4" w:rsidP="007B4848">
      <w:pPr>
        <w:spacing w:after="0" w:line="240" w:lineRule="auto"/>
      </w:pPr>
      <w:r>
        <w:continuationSeparator/>
      </w:r>
    </w:p>
  </w:endnote>
  <w:endnote w:id="1">
    <w:p w14:paraId="396CAE17" w14:textId="0E2AB2CB" w:rsidR="007B4848" w:rsidRDefault="007B4848">
      <w:pPr>
        <w:pStyle w:val="EndnoteText"/>
      </w:pPr>
      <w:r>
        <w:rPr>
          <w:rStyle w:val="EndnoteReference"/>
        </w:rPr>
        <w:endnoteRef/>
      </w:r>
      <w:r>
        <w:t xml:space="preserve"> Walter Mebane, </w:t>
      </w:r>
      <w:r w:rsidRPr="007B4848">
        <w:t>https://websites.umich.edu/~wmebane/inapB.pdf</w:t>
      </w:r>
    </w:p>
  </w:endnote>
  <w:endnote w:id="2">
    <w:p w14:paraId="5116BC3F" w14:textId="4C6595D8" w:rsidR="0067706F" w:rsidRDefault="0067706F">
      <w:pPr>
        <w:pStyle w:val="EndnoteText"/>
      </w:pPr>
      <w:r>
        <w:rPr>
          <w:rStyle w:val="EndnoteReference"/>
        </w:rPr>
        <w:endnoteRef/>
      </w:r>
      <w:r>
        <w:t xml:space="preserve"> David G. Banks, </w:t>
      </w:r>
      <w:hyperlink r:id="rId1" w:history="1">
        <w:r w:rsidRPr="0067706F">
          <w:rPr>
            <w:rStyle w:val="Hyperlink"/>
          </w:rPr>
          <w:t>Get M.A.D with the Numbers</w:t>
        </w:r>
      </w:hyperlink>
      <w:r>
        <w:t>!, Fraud Magazine, September/October 2000</w:t>
      </w:r>
    </w:p>
  </w:endnote>
  <w:endnote w:id="3">
    <w:p w14:paraId="05FC0C30" w14:textId="4163AB85" w:rsidR="0067706F" w:rsidRDefault="0067706F">
      <w:pPr>
        <w:pStyle w:val="EndnoteText"/>
      </w:pPr>
      <w:r>
        <w:rPr>
          <w:rStyle w:val="EndnoteReference"/>
        </w:rPr>
        <w:endnoteRef/>
      </w:r>
      <w:r>
        <w:t xml:space="preserve"> Nigrini, “Digital Analysis Using Benford’s Law.”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86202" w14:textId="77777777" w:rsidR="004D56B4" w:rsidRDefault="004D56B4" w:rsidP="007B4848">
      <w:pPr>
        <w:spacing w:after="0" w:line="240" w:lineRule="auto"/>
      </w:pPr>
      <w:r>
        <w:separator/>
      </w:r>
    </w:p>
  </w:footnote>
  <w:footnote w:type="continuationSeparator" w:id="0">
    <w:p w14:paraId="784894D3" w14:textId="77777777" w:rsidR="004D56B4" w:rsidRDefault="004D56B4" w:rsidP="007B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A2C5C"/>
    <w:multiLevelType w:val="hybridMultilevel"/>
    <w:tmpl w:val="E3A61AFA"/>
    <w:lvl w:ilvl="0" w:tplc="211EF5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30B6B"/>
    <w:multiLevelType w:val="hybridMultilevel"/>
    <w:tmpl w:val="08C6EA48"/>
    <w:lvl w:ilvl="0" w:tplc="786E92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02026">
    <w:abstractNumId w:val="0"/>
  </w:num>
  <w:num w:numId="2" w16cid:durableId="1288581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48"/>
    <w:rsid w:val="000136A1"/>
    <w:rsid w:val="001E4822"/>
    <w:rsid w:val="003C462B"/>
    <w:rsid w:val="003F56E9"/>
    <w:rsid w:val="004D56B4"/>
    <w:rsid w:val="0067706F"/>
    <w:rsid w:val="007B4848"/>
    <w:rsid w:val="00C8518C"/>
    <w:rsid w:val="00CD6FF0"/>
    <w:rsid w:val="00D555B4"/>
    <w:rsid w:val="00D97940"/>
    <w:rsid w:val="00F8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39FB"/>
  <w15:chartTrackingRefBased/>
  <w15:docId w15:val="{AD9AA3C9-6183-4B7E-8127-BB5083B2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48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48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48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4848"/>
    <w:rPr>
      <w:vertAlign w:val="superscript"/>
    </w:rPr>
  </w:style>
  <w:style w:type="table" w:styleId="TableGrid">
    <w:name w:val="Table Grid"/>
    <w:basedOn w:val="TableNormal"/>
    <w:uiPriority w:val="39"/>
    <w:rsid w:val="007B4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7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3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eprevost/pres_elect_U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nfordonline.net/ARTICLES/banks_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C93C5-0654-44A2-881F-EBE57BDD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Prevost</dc:creator>
  <cp:keywords/>
  <dc:description/>
  <cp:lastModifiedBy>Lee Prevost</cp:lastModifiedBy>
  <cp:revision>3</cp:revision>
  <cp:lastPrinted>2024-11-20T14:30:00Z</cp:lastPrinted>
  <dcterms:created xsi:type="dcterms:W3CDTF">2024-11-20T13:44:00Z</dcterms:created>
  <dcterms:modified xsi:type="dcterms:W3CDTF">2024-11-20T14:37:00Z</dcterms:modified>
</cp:coreProperties>
</file>