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1200"/>
        <w:jc w:val="center"/>
      </w:pPr>
      <w:r>
        <w:rPr>
          <w:b/>
          <w:bCs/>
          <w:color w:val="43A047"/>
          <w:sz w:val="24"/>
          <w:szCs w:val="24"/>
        </w:rPr>
        <w:t xml:space="preserve">대한민국 장년층이 대한민국을 새롭게 만든다</w:t>
      </w:r>
    </w:p>
    <w:p>
      <w:pPr>
        <w:spacing w:after="60"/>
        <w:jc w:val="center"/>
      </w:pPr>
      <w:r>
        <w:rPr>
          <w:b/>
          <w:bCs/>
          <w:color w:val="1B5E20"/>
          <w:sz w:val="30"/>
          <w:szCs w:val="30"/>
        </w:rPr>
        <w:t xml:space="preserve">자연돌봄공동체 사회적협동조합</w:t>
      </w:r>
    </w:p>
    <w:p>
      <w:pPr>
        <w:pStyle w:val="Title"/>
      </w:pPr>
      <w:r>
        <w:t xml:space="preserve">종합 사업계획서</w:t>
      </w:r>
    </w:p>
    <w:p>
      <w:pPr>
        <w:spacing w:after="200"/>
        <w:jc w:val="center"/>
      </w:pPr>
      <w:r>
        <w:rPr>
          <w:b/>
          <w:bCs/>
          <w:color w:val="1B5E20"/>
          <w:sz w:val="40"/>
          <w:szCs w:val="40"/>
        </w:rPr>
        <w:t xml:space="preserve">및 재무 시뮬레이션</w:t>
      </w:r>
    </w:p>
    <w:p>
      <w:pPr>
        <w:spacing w:after="2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8F5E9" w:sz="4"/>
              <w:left w:val="single" w:color="2E7D32" w:sz="18"/>
              <w:bottom w:val="single" w:color="E8F5E9" w:sz="4"/>
              <w:right w:val="single" w:color="E8F5E9" w:sz="4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r>
              <w:rPr>
                <w:b/>
                <w:bCs/>
                <w:color w:val="1B5E20"/>
              </w:rPr>
              <w:t xml:space="preserve">이 문서의 위치 — </w:t>
            </w:r>
            <w:r>
              <w:t xml:space="preserve">「백서」가 철학·구조를, 「실무 실행계획서」가 시간순 실행을 다룬다면, 본 사업계획서는 ‘돈이 어떻게 흐르는가’를 보여줍니다.</w:t>
            </w:r>
          </w:p>
          <w:p>
            <w:r>
              <w:t xml:space="preserve">백서의 철학과 실무 실행계획서의 단계별 규모(씨앗기 2~20명 → 성장기 20~80명 → 완성기 80~200명)를 기준으로, 조합원 재정구조·소득순환·시설투자(CAPEX)·현금흐름·위기대응을 하나의 재무 모델로 통합했습니다.</w:t>
            </w:r>
          </w:p>
        </w:tc>
      </w:tr>
    </w:tbl>
    <w:p>
      <w:pPr>
        <w:spacing w:after="200"/>
      </w:pPr>
    </w:p>
    <w:p>
      <w:pPr>
        <w:spacing w:after="40" w:before="0" w:line="276"/>
        <w:jc w:val="center"/>
      </w:pPr>
      <w:r>
        <w:rPr>
          <w:b w:val="false"/>
          <w:bCs w:val="false"/>
          <w:i w:val="false"/>
          <w:iCs w:val="false"/>
          <w:color w:val="555555"/>
        </w:rPr>
        <w:t xml:space="preserve">2026년   |   자연돌봄공동체 사회적협동조합 설립 준비위원회</w:t>
      </w:r>
    </w:p>
    <w:p>
      <w:pPr>
        <w:spacing w:after="120" w:before="0" w:line="276"/>
        <w:jc w:val="center"/>
      </w:pPr>
      <w:r>
        <w:rPr>
          <w:b w:val="false"/>
          <w:bCs w:val="false"/>
          <w:i w:val="false"/>
          <w:iCs w:val="false"/>
          <w:color w:val="555555"/>
        </w:rPr>
        <w:t xml:space="preserve">대표  이 상 석    ☎ 010-2521-2030</w:t>
      </w:r>
    </w:p>
    <w:p>
      <w:r>
        <w:br w:type="page"/>
      </w:r>
    </w:p>
    <w:p>
      <w:pPr>
        <w:pStyle w:val="Heading1"/>
      </w:pPr>
      <w:r>
        <w:t xml:space="preserve">목  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핵심 재무 파라미터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항목</w:t>
            </w:r>
          </w:p>
        </w:tc>
        <w:tc>
          <w:tcPr>
            <w:tcW w:type="dxa" w:w="6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기준값</w:t>
            </w:r>
          </w:p>
        </w:tc>
      </w:tr>
      <w:tr>
        <w:tc>
          <w:tcPr>
            <w:tcW w:type="dxa" w:w="2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근거 문서</w:t>
            </w:r>
          </w:p>
        </w:tc>
        <w:tc>
          <w:tcPr>
            <w:tcW w:type="dxa" w:w="6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백서 / 실무 실행계획서 / 조합원·괴산군·ESG 제안서</w:t>
            </w:r>
          </w:p>
        </w:tc>
      </w:tr>
      <w:tr>
        <w:tc>
          <w:tcPr>
            <w:tcW w:type="dxa" w:w="2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월 정기 분담금</w:t>
            </w:r>
          </w:p>
        </w:tc>
        <w:tc>
          <w:tcPr>
            <w:tcW w:type="dxa" w:w="6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1인당 170만원 (식대·관리비·1차 상호돌봄·의료 연계 포함)</w:t>
            </w:r>
          </w:p>
        </w:tc>
      </w:tr>
      <w:tr>
        <w:tc>
          <w:tcPr>
            <w:tcW w:type="dxa" w:w="2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입주 보증금</w:t>
            </w:r>
          </w:p>
        </w:tc>
        <w:tc>
          <w:tcPr>
            <w:tcW w:type="dxa" w:w="6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1인당 2,000만원 (창립총회 승인, 퇴거 시 반환)</w:t>
            </w:r>
          </w:p>
        </w:tc>
      </w:tr>
      <w:tr>
        <w:tc>
          <w:tcPr>
            <w:tcW w:type="dxa" w:w="2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출자금</w:t>
            </w:r>
          </w:p>
        </w:tc>
        <w:tc>
          <w:tcPr>
            <w:tcW w:type="dxa" w:w="6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1좌 10만원, 최소 10좌(100만원) — 조합원 자격·의결권의 기초</w:t>
            </w:r>
          </w:p>
        </w:tc>
      </w:tr>
      <w:tr>
        <w:tc>
          <w:tcPr>
            <w:tcW w:type="dxa" w:w="2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내부 일자리 소득</w:t>
            </w:r>
          </w:p>
        </w:tc>
        <w:tc>
          <w:tcPr>
            <w:tcW w:type="dxa" w:w="6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월 200만원~ (오중돌봄·5대 사회적기업 참여 시)</w:t>
            </w:r>
          </w:p>
        </w:tc>
      </w:tr>
      <w:tr>
        <w:tc>
          <w:tcPr>
            <w:tcW w:type="dxa" w:w="2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단계 구분</w:t>
            </w:r>
          </w:p>
        </w:tc>
        <w:tc>
          <w:tcPr>
            <w:tcW w:type="dxa" w:w="6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씨앗기(2~20명) · 성장기(20~80명) · 완성기(80~200명) — 실무계획서와 동일</w:t>
            </w:r>
          </w:p>
        </w:tc>
      </w:tr>
      <w:tr>
        <w:tc>
          <w:tcPr>
            <w:tcW w:type="dxa" w:w="2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돌봄코인 환산</w:t>
            </w:r>
          </w:p>
        </w:tc>
        <w:tc>
          <w:tcPr>
            <w:tcW w:type="dxa" w:w="6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1코인 = 1만원 (내부 회계 환산 기준, 외부 매매·환전 불가, 총회 조정)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8F5E9" w:sz="4"/>
              <w:left w:val="single" w:color="2E7D32" w:sz="18"/>
              <w:bottom w:val="single" w:color="E8F5E9" w:sz="4"/>
              <w:right w:val="single" w:color="E8F5E9" w:sz="4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r>
              <w:rPr>
                <w:b/>
                <w:bCs/>
                <w:color w:val="1B5E20"/>
              </w:rPr>
              <w:t xml:space="preserve">핵심 재무 원칙 — </w:t>
            </w:r>
            <w:r>
              <w:t xml:space="preserve">① 돌봄코인의 ‘1코인=1만원’은 외부 화폐가 아니라 분담금 차감을 계산하기 위한 내부 회계 환산 기준이며, 백서 부록 C(매매·투기·외부환전 금지)를 그대로 유지합니다. ② 출자금(조합 가입·의결권, 1좌 10만원)과 입주보증금(시설 투자 재원, 1인 2,000만원)을 별개 항목으로 명확히 구분합니다.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제1장  조합원 재정 기본 구조</w:t>
      </w:r>
    </w:p>
    <w:p>
      <w:pPr>
        <w:pStyle w:val="Heading2"/>
      </w:pPr>
      <w:r>
        <w:t xml:space="preserve">1.1  출자금과 입주보증금의 구분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누구나 출자금(최소 100만원)으로 조합원이 될 수 있으며, 실제로 공동체에 입주하여 거주공간을 사용하는 시점에 별도로 입주보증금(2,000만원)을 납부합니다. 본 장 이하의 모든 재무 시뮬레이션은 ‘입주자’를 기준으로 합니다.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700"/>
        <w:gridCol w:w="4160"/>
      </w:tblGrid>
      <w:tr>
        <w:trPr>
          <w:tblHeader/>
        </w:trPr>
        <w:tc>
          <w:tcPr>
            <w:tcW w:type="dxa" w:w="1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구분</w:t>
            </w:r>
          </w:p>
        </w:tc>
        <w:tc>
          <w:tcPr>
            <w:tcW w:type="dxa" w:w="3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출자금 (조합원 자격)</w:t>
            </w:r>
          </w:p>
        </w:tc>
        <w:tc>
          <w:tcPr>
            <w:tcW w:type="dxa" w:w="4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입주보증금 (시설 이용 자격)</w:t>
            </w:r>
          </w:p>
        </w:tc>
      </w:tr>
      <w:tr>
        <w:tc>
          <w:tcPr>
            <w:tcW w:type="dxa" w:w="1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금액</w:t>
            </w:r>
          </w:p>
        </w:tc>
        <w:tc>
          <w:tcPr>
            <w:tcW w:type="dxa" w:w="3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1좌 10만원, 최소 10좌(100만원)</w:t>
            </w:r>
          </w:p>
        </w:tc>
        <w:tc>
          <w:tcPr>
            <w:tcW w:type="dxa" w:w="4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1인당 2,000만원 — 입주 시점 별도 납부</w:t>
            </w:r>
          </w:p>
        </w:tc>
      </w:tr>
      <w:tr>
        <w:tc>
          <w:tcPr>
            <w:tcW w:type="dxa" w:w="1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성격</w:t>
            </w:r>
          </w:p>
        </w:tc>
        <w:tc>
          <w:tcPr>
            <w:tcW w:type="dxa" w:w="3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협동조합 가입 요건, 의결권의 기초</w:t>
            </w:r>
          </w:p>
        </w:tc>
        <w:tc>
          <w:tcPr>
            <w:tcW w:type="dxa" w:w="4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공동시설(주거동·공동동) 투자 재원에 대한 조합원 개인 지분 — 입주자 한정</w:t>
            </w:r>
          </w:p>
        </w:tc>
      </w:tr>
      <w:tr>
        <w:tc>
          <w:tcPr>
            <w:tcW w:type="dxa" w:w="1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반환</w:t>
            </w:r>
          </w:p>
        </w:tc>
        <w:tc>
          <w:tcPr>
            <w:tcW w:type="dxa" w:w="3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탈퇴 시 정관에 따라 환급</w:t>
            </w:r>
          </w:p>
        </w:tc>
        <w:tc>
          <w:tcPr>
            <w:tcW w:type="dxa" w:w="4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퇴거 시 반환 (제11장 Exit 프로토콜)</w:t>
            </w:r>
          </w:p>
        </w:tc>
      </w:tr>
    </w:tbl>
    <w:p>
      <w:pPr>
        <w:pStyle w:val="Heading2"/>
      </w:pPr>
      <w:r>
        <w:t xml:space="preserve">1.2  조합원 기본 재정 요율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항목</w:t>
            </w:r>
          </w:p>
        </w:tc>
        <w:tc>
          <w:tcPr>
            <w:tcW w:type="dxa" w:w="6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내용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입주 보증금</w:t>
            </w:r>
          </w:p>
        </w:tc>
        <w:tc>
          <w:tcPr>
            <w:tcW w:type="dxa" w:w="6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1인당 2,000만원 (창립총회 승인). 퇴거 시 반환. 초기에는 에스크로 계좌에 격리 보존 후 착공 시 인프라 자본으로 결합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월 정기 분담금</w:t>
            </w:r>
          </w:p>
        </w:tc>
        <w:tc>
          <w:tcPr>
            <w:tcW w:type="dxa" w:w="6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1인당 월 170만원 — 공동식당 주 7일 식대, 무장애 주거 관리비, 1차 상호돌봄 및 의료 연계 서비스 일체 포함</w:t>
            </w:r>
          </w:p>
        </w:tc>
      </w:tr>
    </w:tbl>
    <w:p>
      <w:pPr>
        <w:pStyle w:val="Heading2"/>
      </w:pPr>
      <w:r>
        <w:t xml:space="preserve">1.3  공동체 내 소득 순환 메커니즘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핵심세대·파트너세대 조합원이 공동체 내부의 오중 돌봄(아동 양육·노인 요양·유기견 관리 등) 및 5대 사회적기업에 고용·참여할 경우, 월 200만원 이상의 소득 기회를 보장합니다.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8F5E9" w:sz="4"/>
              <w:left w:val="single" w:color="2E7D32" w:sz="18"/>
              <w:bottom w:val="single" w:color="E8F5E9" w:sz="4"/>
              <w:right w:val="single" w:color="E8F5E9" w:sz="4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r>
              <w:rPr>
                <w:b/>
                <w:bCs/>
                <w:color w:val="1B5E20"/>
              </w:rPr>
              <w:t xml:space="preserve">체감 고정비 제로(0)화 — </w:t>
            </w:r>
            <w:r>
              <w:t xml:space="preserve">월 분담금(170만원)보다 내부 노동 소득(200만원)이 크기 때문에, 적극적으로 활동하는 조합원은 실질 체감 생활비 0원을 구현하며 매달 약 30만원의 현금흐름을 순수하게 창출합니다.</w:t>
            </w:r>
          </w:p>
        </w:tc>
      </w:tr>
    </w:tbl>
    <w:p>
      <w:pPr>
        <w:pStyle w:val="Heading2"/>
      </w:pPr>
      <w:r>
        <w:t xml:space="preserve">1.4  취약계층 상생형 펀딩 메커니즘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항목</w:t>
            </w:r>
          </w:p>
        </w:tc>
        <w:tc>
          <w:tcPr>
            <w:tcW w:type="dxa" w:w="6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내용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보증금 선대여 제도</w:t>
            </w:r>
          </w:p>
        </w:tc>
        <w:tc>
          <w:tcPr>
            <w:tcW w:type="dxa" w:w="6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초기 보증금 2,000만원 마련이 어려운 사회적 취약계층(청년 창업자, 장애인 가구 등)에게 조합 책임출자금 및 민간 ESG 매칭펀드를 통해 보증금을 무이자로 선대여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노동 상환 프로토콜</w:t>
            </w:r>
          </w:p>
        </w:tc>
        <w:tc>
          <w:tcPr>
            <w:tcW w:type="dxa" w:w="6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입주 후 공동체 내 일자리(월 200만원 소득)에 참여 → 월 분담금 170만원을 차감한 잔여 소득 중 일부를 보증금 원금으로 순차 상환</w:t>
            </w:r>
          </w:p>
        </w:tc>
      </w:tr>
    </w:tbl>
    <w:p>
      <w:pPr>
        <w:pStyle w:val="Heading3"/>
      </w:pPr>
      <w:r>
        <w:t xml:space="preserve">1.5  취약계층 감면 및 우선입주 제도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비용을 이유로 공동체의 문이 닫히지 않도록, 다음의 감면·우선입주 트랙을 병행합니다.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4760"/>
        <w:gridCol w:w="2500"/>
      </w:tblGrid>
      <w:tr>
        <w:trPr>
          <w:tblHeader/>
        </w:trPr>
        <w:tc>
          <w:tcPr>
            <w:tcW w:type="dxa" w:w="21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대상</w:t>
            </w:r>
          </w:p>
        </w:tc>
        <w:tc>
          <w:tcPr>
            <w:tcW w:type="dxa" w:w="4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지원 내용</w:t>
            </w:r>
          </w:p>
        </w:tc>
        <w:tc>
          <w:tcPr>
            <w:tcW w:type="dxa" w:w="2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재원</w:t>
            </w:r>
          </w:p>
        </w:tc>
      </w:tr>
      <w:tr>
        <w:tc>
          <w:tcPr>
            <w:tcW w:type="dxa" w:w="21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기초생활수급 조합원</w:t>
            </w:r>
          </w:p>
        </w:tc>
        <w:tc>
          <w:tcPr>
            <w:tcW w:type="dxa" w:w="4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월 분담금의 일부 감면 (지자체 연계 + 공동체 공익기금)</w:t>
            </w:r>
          </w:p>
        </w:tc>
        <w:tc>
          <w:tcPr>
            <w:tcW w:type="dxa" w:w="2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지자체 사회복지 예산 + 환원기금</w:t>
            </w:r>
          </w:p>
        </w:tc>
      </w:tr>
      <w:tr>
        <w:tc>
          <w:tcPr>
            <w:tcW w:type="dxa" w:w="21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차상위계층 조합원</w:t>
            </w:r>
          </w:p>
        </w:tc>
        <w:tc>
          <w:tcPr>
            <w:tcW w:type="dxa" w:w="4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월 분담금 일부 감면</w:t>
            </w:r>
          </w:p>
        </w:tc>
        <w:tc>
          <w:tcPr>
            <w:tcW w:type="dxa" w:w="2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지자체 연계 + 환원기금</w:t>
            </w:r>
          </w:p>
        </w:tc>
      </w:tr>
      <w:tr>
        <w:tc>
          <w:tcPr>
            <w:tcW w:type="dxa" w:w="21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보증금 납부 곤란자</w:t>
            </w:r>
          </w:p>
        </w:tc>
        <w:tc>
          <w:tcPr>
            <w:tcW w:type="dxa" w:w="4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무보증금/선대여 입주 (클러스터별 1~2명 한도, 운영위 심의)</w:t>
            </w:r>
          </w:p>
        </w:tc>
        <w:tc>
          <w:tcPr>
            <w:tcW w:type="dxa" w:w="2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조합 책임출자금·ESG 매칭</w:t>
            </w:r>
          </w:p>
        </w:tc>
      </w:tr>
      <w:tr>
        <w:tc>
          <w:tcPr>
            <w:tcW w:type="dxa" w:w="21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고독·독거 추천 어르신</w:t>
            </w:r>
          </w:p>
        </w:tc>
        <w:tc>
          <w:tcPr>
            <w:tcW w:type="dxa" w:w="4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지자체 사회복지사 추천 시 오중돌봄 우선 수용권</w:t>
            </w:r>
          </w:p>
        </w:tc>
        <w:tc>
          <w:tcPr>
            <w:tcW w:type="dxa" w:w="2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사회적 가치 실현 목적</w:t>
            </w:r>
          </w:p>
        </w:tc>
      </w:tr>
    </w:tbl>
    <w:p>
      <w:pPr>
        <w:pStyle w:val="Heading2"/>
      </w:pPr>
      <w:r>
        <w:t xml:space="preserve">1.6  주체별 현금흐름 페르소나</w:t>
      </w:r>
    </w:p>
    <w:p>
      <w:pPr>
        <w:pStyle w:val="Heading3"/>
      </w:pPr>
      <w:r>
        <w:t xml:space="preserve">케이스 A. 자립형 액티브 시니어 (만 66세, 퇴직 교사)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구분</w:t>
            </w:r>
          </w:p>
        </w:tc>
        <w:tc>
          <w:tcPr>
            <w:tcW w:type="dxa" w:w="7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인풋(유입)</w:t>
            </w:r>
          </w:p>
        </w:tc>
        <w:tc>
          <w:tcPr>
            <w:tcW w:type="dxa" w:w="7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입주보증금 2,000만원 납부. 매달 연금 중 170만원을 분담금으로 납부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활동</w:t>
            </w:r>
          </w:p>
        </w:tc>
        <w:tc>
          <w:tcPr>
            <w:tcW w:type="dxa" w:w="7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아동 그룹홈 방과후 학습 지도 및 유기견 치유 스태프 참여 (월 80시간)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아웃풋(소득)</w:t>
            </w:r>
          </w:p>
        </w:tc>
        <w:tc>
          <w:tcPr>
            <w:tcW w:type="dxa" w:w="7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공동체 일자리 급여 월 200만원 수령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rPr>
                <w:b/>
                <w:bCs/>
              </w:rPr>
              <w:t xml:space="preserve">Net Cash Flow</w:t>
            </w:r>
          </w:p>
        </w:tc>
        <w:tc>
          <w:tcPr>
            <w:tcW w:type="dxa" w:w="7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rPr>
                <w:b/>
                <w:bCs/>
              </w:rPr>
              <w:t xml:space="preserve">매달 +30만원의 순수 현금 흑자 + 주거·식사 완전 해결</w:t>
            </w:r>
          </w:p>
        </w:tc>
      </w:tr>
    </w:tbl>
    <w:p>
      <w:pPr>
        <w:pStyle w:val="Heading3"/>
      </w:pPr>
      <w:r>
        <w:t xml:space="preserve">케이스 B. 상생형 취약계층 (만 28세, 발달장애 청년 가구)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구분</w:t>
            </w:r>
          </w:p>
        </w:tc>
        <w:tc>
          <w:tcPr>
            <w:tcW w:type="dxa" w:w="7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인풋(유입)</w:t>
            </w:r>
          </w:p>
        </w:tc>
        <w:tc>
          <w:tcPr>
            <w:tcW w:type="dxa" w:w="7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입주보증금 2,000만원은 조합 기금에서 선대여 (본인 부담 0원). 월 분담금 170만원 상정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활동</w:t>
            </w:r>
          </w:p>
        </w:tc>
        <w:tc>
          <w:tcPr>
            <w:tcW w:type="dxa" w:w="7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친환경 가구·주택 사업 법인의 가구 제작 공정 보호고용 (전일제)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아웃풋(소득)</w:t>
            </w:r>
          </w:p>
        </w:tc>
        <w:tc>
          <w:tcPr>
            <w:tcW w:type="dxa" w:w="7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장애인 고용장려금 연계 정식 급여 월 200만원 수령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rPr>
                <w:b/>
                <w:bCs/>
              </w:rPr>
              <w:t xml:space="preserve">정산</w:t>
            </w:r>
          </w:p>
        </w:tc>
        <w:tc>
          <w:tcPr>
            <w:tcW w:type="dxa" w:w="7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rPr>
                <w:b/>
                <w:bCs/>
              </w:rPr>
              <w:t xml:space="preserve">급여 200만원 중 170만원은 분담금 자동 차감, 20만원 보증금 상환, 10만원 가처분 → 8.3년 근무 시 보증금 2,000만원 완납 후 온전한 조합 지분 확보</w:t>
            </w:r>
          </w:p>
        </w:tc>
      </w:tr>
    </w:tbl>
    <w:p>
      <w:pPr>
        <w:pStyle w:val="Heading2"/>
      </w:pPr>
      <w:r>
        <w:t xml:space="preserve">1.7  삶의 전환(재기) 경로 — 취약계층 상생의 사람 이야기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취약계층 상생형 입주는 단순한 비용 지원을 넘어, 사회와 멀어졌던 사람이 다시 ‘주체’로 서는 재기 경로다. 들어와 노동으로 기여하고, 원하면 자격을 갖춰 돌봄을 받던 자리에서 돌봄을 주는 자리로 전환한다.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구분</w:t>
            </w:r>
          </w:p>
        </w:tc>
        <w:tc>
          <w:tcPr>
            <w:tcW w:type="dxa" w:w="7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케이스 (재기형)</w:t>
            </w:r>
          </w:p>
        </w:tc>
        <w:tc>
          <w:tcPr>
            <w:tcW w:type="dxa" w:w="7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만 58세, 과거 자산가였으나 현재 기초생활수급. 공동체 취지에 공감해 입주 희망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경로</w:t>
            </w:r>
          </w:p>
        </w:tc>
        <w:tc>
          <w:tcPr>
            <w:tcW w:type="dxa" w:w="7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보증금 선대여 입주 → 공동체 노동으로 기여 → 요양보호사 등 자격 취득 → 돌봄 제공 인력으로 전환 → 분담금 자립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의미</w:t>
            </w:r>
          </w:p>
        </w:tc>
        <w:tc>
          <w:tcPr>
            <w:tcW w:type="dxa" w:w="7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‘수혜자’에서 ‘돌봄 제공자·생산자’로 — 공동체 철학(주체가 되는 공동체)의 실증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8F5E9" w:sz="4"/>
              <w:left w:val="single" w:color="2E7D32" w:sz="18"/>
              <w:bottom w:val="single" w:color="E8F5E9" w:sz="4"/>
              <w:right w:val="single" w:color="E8F5E9" w:sz="4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r>
              <w:rPr>
                <w:b/>
                <w:bCs/>
                <w:color w:val="1B5E20"/>
              </w:rPr>
              <w:t xml:space="preserve">가드레일 — </w:t>
            </w:r>
            <w:r>
              <w:t xml:space="preserve">재기 입주는 시혜적 ‘수용’이 아니라 ‘함께 일어서는 전환’이다. ① 자발성 + 상호적합성 심사(백서 입주 절차)를 거치고, ② 공동체 균형을 위해 클러스터별 적정 규모(예: 1~2명)로 관리하여 공동체가 보호소로 기울지 않도록 한다.</w:t>
            </w:r>
          </w:p>
        </w:tc>
      </w:tr>
    </w:tbl>
    <w:p>
      <w:pPr>
        <w:pStyle w:val="Heading2"/>
      </w:pPr>
      <w:r>
        <w:t xml:space="preserve">1.8  발달장애 자립·돌봄 — 두 트랙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청년·장애인 자립 돌봄은 두 갈래로 운영한다. (1) 자립 트랙 — 목공 등 직업훈련과 지원고용으로 스스로 서도록 돕는다(공방에서 기술을 익혀 장인으로 성장). (2) 돌봄 트랙 — 일이 쉽지 않은 경우에도 일·생활·관계를 함께 잇는 평생 돌봄을 제공한다. 숙련 기술자 부모와 장애 자녀가 함께 입주해 한 공방에서 기술과 삶을 잇는 ‘부모-자녀 동반’ 모델을 우선 실증한다.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연계 재원</w:t>
            </w:r>
          </w:p>
        </w:tc>
        <w:tc>
          <w:tcPr>
            <w:tcW w:type="dxa" w:w="6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장애인 표준사업장·고용장려금</w:t>
            </w:r>
          </w:p>
        </w:tc>
        <w:tc>
          <w:tcPr>
            <w:tcW w:type="dxa" w:w="6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가구공방 등 보호·지원고용 일자리, 인당 고용장려금</w:t>
            </w:r>
          </w:p>
        </w:tc>
      </w:tr>
      <w:tr>
        <w:tc>
          <w:tcPr>
            <w:tcW w:type="dxa" w:w="2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발달장애인 평생교육·주간활동 서비스</w:t>
            </w:r>
          </w:p>
        </w:tc>
        <w:tc>
          <w:tcPr>
            <w:tcW w:type="dxa" w:w="6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일이 어려운 경우의 평생 돌봄·활동 지원(보건복지부)</w:t>
            </w:r>
          </w:p>
        </w:tc>
      </w:tr>
      <w:tr>
        <w:tc>
          <w:tcPr>
            <w:tcW w:type="dxa" w:w="2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장애인 직업재활</w:t>
            </w:r>
          </w:p>
        </w:tc>
        <w:tc>
          <w:tcPr>
            <w:tcW w:type="dxa" w:w="6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직업훈련·지원고용 연계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제2장  노동 형태 이원화 및 돌봄코인 정산 프로토콜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8F5E9" w:sz="4"/>
              <w:left w:val="single" w:color="2E7D32" w:sz="18"/>
              <w:bottom w:val="single" w:color="E8F5E9" w:sz="4"/>
              <w:right w:val="single" w:color="E8F5E9" w:sz="4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r>
              <w:t xml:space="preserve">근로기준법상 ‘통화 지급의 원칙’을 준수하여 정형 노동은 100% 현금으로 지급하고, 조합원의 자발적·유연한 상호돌봄은 돌봄코인(내부 회계 단위)으로 기록·정산합니다. 이는 백서 부록 C ‘돌봄코인은 화폐가 아닌 기여기록 수단’이라는 원칙 위에서 설계되었습니다.</w:t>
            </w:r>
          </w:p>
        </w:tc>
      </w:tr>
    </w:tbl>
    <w:p>
      <w:pPr>
        <w:pStyle w:val="Heading2"/>
      </w:pPr>
      <w:r>
        <w:t xml:space="preserve">2.1  형태 A — 정형식 제도권 노동 (100% 현금)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사회적기업 법인 및 인가 시설에 상근하는 정직원의 급여는 2026년 고용노동부 가이드라인 및 해당 산업 평균치를 준수하여 전액 현금으로 지급합니다 (주 40시간, 월 209시간 기준). 1.3절의 ‘월 200만원 보장’은 아래 직군별 실제 급여(약 215만~300만원)의 최소 보장선입니다.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4160"/>
      </w:tblGrid>
      <w:tr>
        <w:trPr>
          <w:tblHeader/>
        </w:trPr>
        <w:tc>
          <w:tcPr>
            <w:tcW w:type="dxa" w:w="5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직군</w:t>
            </w:r>
          </w:p>
        </w:tc>
        <w:tc>
          <w:tcPr>
            <w:tcW w:type="dxa" w:w="4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월 급여 (현금)</w:t>
            </w:r>
          </w:p>
        </w:tc>
      </w:tr>
      <w:tr>
        <w:tc>
          <w:tcPr>
            <w:tcW w:type="dxa" w:w="5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사회적기업 크루 (생산직·일반직)</w:t>
            </w:r>
          </w:p>
        </w:tc>
        <w:tc>
          <w:tcPr>
            <w:tcW w:type="dxa" w:w="4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2026년 최저시급 기준 약 2,152,700원</w:t>
            </w:r>
          </w:p>
        </w:tc>
      </w:tr>
      <w:tr>
        <w:tc>
          <w:tcPr>
            <w:tcW w:type="dxa" w:w="5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전문 요양보호사 (장기요양 인가시설)</w:t>
            </w:r>
          </w:p>
        </w:tc>
        <w:tc>
          <w:tcPr>
            <w:tcW w:type="dxa" w:w="4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산업평균 시급(약 13,000원) 기준 약 2,717,000원</w:t>
            </w:r>
          </w:p>
        </w:tc>
      </w:tr>
      <w:tr>
        <w:tc>
          <w:tcPr>
            <w:tcW w:type="dxa" w:w="5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시설장 및 특수 행정직</w:t>
            </w:r>
          </w:p>
        </w:tc>
        <w:tc>
          <w:tcPr>
            <w:tcW w:type="dxa" w:w="4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경력직 평균 월 3,000,000원</w:t>
            </w:r>
          </w:p>
        </w:tc>
      </w:tr>
    </w:tbl>
    <w:p>
      <w:pPr>
        <w:pStyle w:val="Heading2"/>
      </w:pPr>
      <w:r>
        <w:t xml:space="preserve">2.2  형태 B — 비정형 상호돌봄 (돌봄코인)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시간 단위로 발생하는 유연 노동은 정식 고용계약이 아닌 ‘조합원 자발적 상호호혜 활동’으로 분류하며, 해당 산업의 시간당 평균 단가를 참고하여 돌봄코인을 적립합니다.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760"/>
        <w:gridCol w:w="1700"/>
        <w:gridCol w:w="1600"/>
      </w:tblGrid>
      <w:tr>
        <w:trPr>
          <w:tblHeader/>
        </w:trPr>
        <w:tc>
          <w:tcPr>
            <w:tcW w:type="dxa" w:w="2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노동 분류</w:t>
            </w:r>
          </w:p>
        </w:tc>
        <w:tc>
          <w:tcPr>
            <w:tcW w:type="dxa" w:w="3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수행 업무 예시</w:t>
            </w:r>
          </w:p>
        </w:tc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산업 평균 시급</w:t>
            </w:r>
          </w:p>
        </w:tc>
        <w:tc>
          <w:tcPr>
            <w:tcW w:type="dxa" w:w="1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시간당 코인</w:t>
            </w:r>
          </w:p>
        </w:tc>
      </w:tr>
      <w:tr>
        <w:tc>
          <w:tcPr>
            <w:tcW w:type="dxa" w:w="2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일반 돌봄 노동</w:t>
            </w:r>
          </w:p>
        </w:tc>
        <w:tc>
          <w:tcPr>
            <w:tcW w:type="dxa" w:w="3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공동식당 배식·설거지, 야간 순찰, 유기견 사료·산책</w:t>
            </w:r>
          </w:p>
        </w:tc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11,000원</w:t>
            </w:r>
          </w:p>
        </w:tc>
        <w:tc>
          <w:tcPr>
            <w:tcW w:type="dxa" w:w="1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1.1 코인</w:t>
            </w:r>
          </w:p>
        </w:tc>
      </w:tr>
      <w:tr>
        <w:tc>
          <w:tcPr>
            <w:tcW w:type="dxa" w:w="2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밀착·숙련 노동</w:t>
            </w:r>
          </w:p>
        </w:tc>
        <w:tc>
          <w:tcPr>
            <w:tcW w:type="dxa" w:w="3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독거노인 이동·목욕 보조, 스마트팜 정비, 시설물 보수</w:t>
            </w:r>
          </w:p>
        </w:tc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14,000원</w:t>
            </w:r>
          </w:p>
        </w:tc>
        <w:tc>
          <w:tcPr>
            <w:tcW w:type="dxa" w:w="1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1.4 코인</w:t>
            </w:r>
          </w:p>
        </w:tc>
      </w:tr>
      <w:tr>
        <w:tc>
          <w:tcPr>
            <w:tcW w:type="dxa" w:w="2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전문 교육 노동</w:t>
            </w:r>
          </w:p>
        </w:tc>
        <w:tc>
          <w:tcPr>
            <w:tcW w:type="dxa" w:w="3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농촌유학생 방과후 학습 지도, 치유 프로그램 강사</w:t>
            </w:r>
          </w:p>
        </w:tc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20,000원</w:t>
            </w:r>
          </w:p>
        </w:tc>
        <w:tc>
          <w:tcPr>
            <w:tcW w:type="dxa" w:w="1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2.0 코인</w:t>
            </w:r>
          </w:p>
        </w:tc>
      </w:tr>
    </w:tbl>
    <w:p>
      <w:pPr>
        <w:spacing w:after="120" w:before="60" w:line="276"/>
      </w:pPr>
      <w:r>
        <w:rPr>
          <w:b/>
          <w:bCs/>
          <w:i w:val="false"/>
          <w:iCs w:val="false"/>
        </w:rPr>
        <w:t xml:space="preserve">내부 회계 환산 기준 : 1코인 = 1만원. </w:t>
      </w:r>
      <w:r>
        <w:rPr>
          <w:b w:val="false"/>
          <w:bCs w:val="false"/>
          <w:i w:val="false"/>
          <w:iCs w:val="false"/>
        </w:rPr>
        <w:t xml:space="preserve">외부 매매·환전을 위한 것이 아니라 조합 내부에서 분담금 차감액을 계산하기 위한 회계 단위이며, 환산율은 백서 부록 C 원칙에 따라 총회가 필요 시 조정합니다.</w:t>
      </w:r>
    </w:p>
    <w:p>
      <w:pPr>
        <w:pStyle w:val="Heading3"/>
      </w:pPr>
      <w:r>
        <w:t xml:space="preserve">2.3  돌봄코인 적립·사용·운영 규칙 (확장)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돌봄코인의 사용처·상한·이월 규칙을 백서 부록 C와 정합되게 정리합니다. 코인은 분담금 차감으로 즉시 회수·소멸되므로 장부상 부채로 남지 않습니다.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560"/>
        <w:gridCol w:w="2500"/>
      </w:tblGrid>
      <w:tr>
        <w:trPr>
          <w:tblHeader/>
        </w:trPr>
        <w:tc>
          <w:tcPr>
            <w:tcW w:type="dxa" w:w="2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사용 방식</w:t>
            </w:r>
          </w:p>
        </w:tc>
        <w:tc>
          <w:tcPr>
            <w:tcW w:type="dxa" w:w="45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설명</w:t>
            </w:r>
          </w:p>
        </w:tc>
        <w:tc>
          <w:tcPr>
            <w:tcW w:type="dxa" w:w="2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효과</w:t>
            </w:r>
          </w:p>
        </w:tc>
      </w:tr>
      <w:tr>
        <w:tc>
          <w:tcPr>
            <w:tcW w:type="dxa" w:w="2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① 월 분담금 차감 (기본)</w:t>
            </w:r>
          </w:p>
        </w:tc>
        <w:tc>
          <w:tcPr>
            <w:tcW w:type="dxa" w:w="45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당월 적립 코인을 당월 분담금에서 즉시 차감</w:t>
            </w:r>
          </w:p>
        </w:tc>
        <w:tc>
          <w:tcPr>
            <w:tcW w:type="dxa" w:w="2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현금 부담 즉시 경감</w:t>
            </w:r>
          </w:p>
        </w:tc>
      </w:tr>
      <w:tr>
        <w:tc>
          <w:tcPr>
            <w:tcW w:type="dxa" w:w="2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② 미래 돌봄 적립 (권장)</w:t>
            </w:r>
          </w:p>
        </w:tc>
        <w:tc>
          <w:tcPr>
            <w:tcW w:type="dxa" w:w="45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돌봄이 필요해질 시기를 대비한 ‘생애주기 케어 저축’으로 전환</w:t>
            </w:r>
          </w:p>
        </w:tc>
        <w:tc>
          <w:tcPr>
            <w:tcW w:type="dxa" w:w="2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후기 고령기 개인부담 최소화</w:t>
            </w:r>
          </w:p>
        </w:tc>
      </w:tr>
      <w:tr>
        <w:tc>
          <w:tcPr>
            <w:tcW w:type="dxa" w:w="2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③ 가족 이전</w:t>
            </w:r>
          </w:p>
        </w:tc>
        <w:tc>
          <w:tcPr>
            <w:tcW w:type="dxa" w:w="45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배우자·자녀가 공동체 내 활동 시 코인 이전 가능</w:t>
            </w:r>
          </w:p>
        </w:tc>
        <w:tc>
          <w:tcPr>
            <w:tcW w:type="dxa" w:w="2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가족 단위 참여 유도</w:t>
            </w:r>
          </w:p>
        </w:tc>
      </w:tr>
      <w:tr>
        <w:tc>
          <w:tcPr>
            <w:tcW w:type="dxa" w:w="2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④ 공동체 기금 기부</w:t>
            </w:r>
          </w:p>
        </w:tc>
        <w:tc>
          <w:tcPr>
            <w:tcW w:type="dxa" w:w="45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잉여 코인을 공동체 기금에 기부</w:t>
            </w:r>
          </w:p>
        </w:tc>
        <w:tc>
          <w:tcPr>
            <w:tcW w:type="dxa" w:w="2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취약 구성원 지원·연대</w:t>
            </w:r>
          </w:p>
        </w:tc>
      </w:tr>
      <w:tr>
        <w:tc>
          <w:tcPr>
            <w:tcW w:type="dxa" w:w="2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⑤ 시설·프로그램 이용</w:t>
            </w:r>
          </w:p>
        </w:tc>
        <w:tc>
          <w:tcPr>
            <w:tcW w:type="dxa" w:w="45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돌봄서비스·생활지원·공동체 프로그램·시설 이용권</w:t>
            </w:r>
          </w:p>
        </w:tc>
        <w:tc>
          <w:tcPr>
            <w:tcW w:type="dxa" w:w="2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생활 편익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060"/>
      </w:tblGrid>
      <w:tr>
        <w:trPr>
          <w:tblHeader/>
        </w:trPr>
        <w:tc>
          <w:tcPr>
            <w:tcW w:type="dxa" w:w="2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운영 규칙</w:t>
            </w:r>
          </w:p>
        </w:tc>
        <w:tc>
          <w:tcPr>
            <w:tcW w:type="dxa" w:w="70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기준</w:t>
            </w:r>
          </w:p>
        </w:tc>
      </w:tr>
      <w:tr>
        <w:tc>
          <w:tcPr>
            <w:tcW w:type="dxa" w:w="2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월 차감 상한</w:t>
            </w:r>
          </w:p>
        </w:tc>
        <w:tc>
          <w:tcPr>
            <w:tcW w:type="dxa" w:w="70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월 분담금 범위 내에서 차감 (과도한 코인화 방지)</w:t>
            </w:r>
          </w:p>
        </w:tc>
      </w:tr>
      <w:tr>
        <w:tc>
          <w:tcPr>
            <w:tcW w:type="dxa" w:w="2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이월</w:t>
            </w:r>
          </w:p>
        </w:tc>
        <w:tc>
          <w:tcPr>
            <w:tcW w:type="dxa" w:w="70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당월 미사용 코인은 일정 기간 이월 가능, 미래 돌봄 적립으로 전환</w:t>
            </w:r>
          </w:p>
        </w:tc>
      </w:tr>
      <w:tr>
        <w:tc>
          <w:tcPr>
            <w:tcW w:type="dxa" w:w="2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제한</w:t>
            </w:r>
          </w:p>
        </w:tc>
        <w:tc>
          <w:tcPr>
            <w:tcW w:type="dxa" w:w="70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매매·투기·상속 금지 (백서 부록 C-5). 의결권과 무관</w:t>
            </w:r>
          </w:p>
        </w:tc>
      </w:tr>
      <w:tr>
        <w:tc>
          <w:tcPr>
            <w:tcW w:type="dxa" w:w="2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기록</w:t>
            </w:r>
          </w:p>
        </w:tc>
        <w:tc>
          <w:tcPr>
            <w:tcW w:type="dxa" w:w="70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수기/간이 전산 → 3단계 이후 모바일 디지털 지갑(백서 부록 C-8)으로 전산화</w:t>
            </w:r>
          </w:p>
        </w:tc>
      </w:tr>
    </w:tbl>
    <w:p>
      <w:pPr>
        <w:pStyle w:val="Heading2"/>
      </w:pPr>
      <w:r>
        <w:t xml:space="preserve">2.4  분담금 정산 시뮬레이션 — 김OO 조합원 (만 67세)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주 5일 8시간 풀타임이 체력적으로 부담되어, 본인이 원하는 시간에만 유연하게 참여하는 경우의 예시입니다.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3060"/>
        <w:gridCol w:w="2500"/>
      </w:tblGrid>
      <w:tr>
        <w:trPr>
          <w:tblHeader/>
        </w:trPr>
        <w:tc>
          <w:tcPr>
            <w:tcW w:type="dxa" w:w="3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활동 내역</w:t>
            </w:r>
          </w:p>
        </w:tc>
        <w:tc>
          <w:tcPr>
            <w:tcW w:type="dxa" w:w="30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투입 시간</w:t>
            </w:r>
          </w:p>
        </w:tc>
        <w:tc>
          <w:tcPr>
            <w:tcW w:type="dxa" w:w="2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획득 코인</w:t>
            </w:r>
          </w:p>
        </w:tc>
      </w:tr>
      <w:tr>
        <w:tc>
          <w:tcPr>
            <w:tcW w:type="dxa" w:w="3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공동식당 배식 보조</w:t>
            </w:r>
          </w:p>
        </w:tc>
        <w:tc>
          <w:tcPr>
            <w:tcW w:type="dxa" w:w="30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월 40시간 × 1.1코인</w:t>
            </w:r>
          </w:p>
        </w:tc>
        <w:tc>
          <w:tcPr>
            <w:tcW w:type="dxa" w:w="2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44 코인</w:t>
            </w:r>
          </w:p>
        </w:tc>
      </w:tr>
      <w:tr>
        <w:tc>
          <w:tcPr>
            <w:tcW w:type="dxa" w:w="3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아동 방과후 수학 지도(전문)</w:t>
            </w:r>
          </w:p>
        </w:tc>
        <w:tc>
          <w:tcPr>
            <w:tcW w:type="dxa" w:w="30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월 16시간 × 2.0코인</w:t>
            </w:r>
          </w:p>
        </w:tc>
        <w:tc>
          <w:tcPr>
            <w:tcW w:type="dxa" w:w="2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32 코인</w:t>
            </w:r>
          </w:p>
        </w:tc>
      </w:tr>
      <w:tr>
        <w:tc>
          <w:tcPr>
            <w:tcW w:type="dxa" w:w="3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단지 주말 야간 순찰</w:t>
            </w:r>
          </w:p>
        </w:tc>
        <w:tc>
          <w:tcPr>
            <w:tcW w:type="dxa" w:w="30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월 16시간 × 1.4코인</w:t>
            </w:r>
          </w:p>
        </w:tc>
        <w:tc>
          <w:tcPr>
            <w:tcW w:type="dxa" w:w="2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22.4 코인</w:t>
            </w:r>
          </w:p>
        </w:tc>
      </w:tr>
      <w:tr>
        <w:tc>
          <w:tcPr>
            <w:tcW w:type="dxa" w:w="3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rPr>
                <w:b/>
                <w:bCs/>
              </w:rPr>
              <w:t xml:space="preserve">월간 합계</w:t>
            </w:r>
          </w:p>
        </w:tc>
        <w:tc>
          <w:tcPr>
            <w:tcW w:type="dxa" w:w="30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rPr>
                <w:b/>
                <w:bCs/>
              </w:rPr>
              <w:t xml:space="preserve">72시간</w:t>
            </w:r>
          </w:p>
        </w:tc>
        <w:tc>
          <w:tcPr>
            <w:tcW w:type="dxa" w:w="2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rPr>
                <w:b/>
                <w:bCs/>
              </w:rPr>
              <w:t xml:space="preserve">98.4 코인 (984,000원 상당)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4160"/>
      </w:tblGrid>
      <w:tr>
        <w:trPr>
          <w:tblHeader/>
        </w:trPr>
        <w:tc>
          <w:tcPr>
            <w:tcW w:type="dxa" w:w="5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정산 항목</w:t>
            </w:r>
          </w:p>
        </w:tc>
        <w:tc>
          <w:tcPr>
            <w:tcW w:type="dxa" w:w="4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금액</w:t>
            </w:r>
          </w:p>
        </w:tc>
      </w:tr>
      <w:tr>
        <w:tc>
          <w:tcPr>
            <w:tcW w:type="dxa" w:w="5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이번 달 청구된 월 분담금</w:t>
            </w:r>
          </w:p>
        </w:tc>
        <w:tc>
          <w:tcPr>
            <w:tcW w:type="dxa" w:w="4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1,700,000원</w:t>
            </w:r>
          </w:p>
        </w:tc>
      </w:tr>
      <w:tr>
        <w:tc>
          <w:tcPr>
            <w:tcW w:type="dxa" w:w="5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돌봄코인 차감 (98.4코인 소멸)</w:t>
            </w:r>
          </w:p>
        </w:tc>
        <w:tc>
          <w:tcPr>
            <w:tcW w:type="dxa" w:w="4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-984,000원</w:t>
            </w:r>
          </w:p>
        </w:tc>
      </w:tr>
      <w:tr>
        <w:tc>
          <w:tcPr>
            <w:tcW w:type="dxa" w:w="5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rPr>
                <w:b/>
                <w:bCs/>
              </w:rPr>
              <w:t xml:space="preserve">최종 현금 납부액</w:t>
            </w:r>
          </w:p>
        </w:tc>
        <w:tc>
          <w:tcPr>
            <w:tcW w:type="dxa" w:w="4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rPr>
                <w:b/>
                <w:bCs/>
              </w:rPr>
              <w:t xml:space="preserve">716,000원</w:t>
            </w:r>
          </w:p>
        </w:tc>
      </w:tr>
    </w:tbl>
    <w:p>
      <w:pPr>
        <w:spacing w:after="120" w:before="60" w:line="276"/>
      </w:pPr>
      <w:r>
        <w:rPr>
          <w:b w:val="false"/>
          <w:bCs w:val="false"/>
          <w:i w:val="false"/>
          <w:iCs w:val="false"/>
        </w:rPr>
        <w:t xml:space="preserve">노동 시간을 더 늘리면 분담금 전액을 코인으로 상쇄할 수 있으며, 이 경우의 공동체 전체 현금흐름 효과는 제5장에서 다룹니다.</w:t>
      </w:r>
    </w:p>
    <w:p>
      <w:pPr>
        <w:pStyle w:val="Heading2"/>
      </w:pPr>
      <w:r>
        <w:t xml:space="preserve">2.5  전문인력 확보·정착 — 복지 체계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공동체 운영에는 요양보호사·간호·교육·기술 전문인력이 필요하다. 이들을 안정적으로 확보·정착시키기 위해 다음의 복지 체계를 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항목</w:t>
            </w:r>
          </w:p>
        </w:tc>
        <w:tc>
          <w:tcPr>
            <w:tcW w:type="dxa" w:w="7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보수·성과</w:t>
            </w:r>
          </w:p>
        </w:tc>
        <w:tc>
          <w:tcPr>
            <w:tcW w:type="dxa" w:w="7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기본급 현실화 + 연간 순이익의 일부를 성과 인센티브 풀로 배분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주거·식사</w:t>
            </w:r>
          </w:p>
        </w:tc>
        <w:tc>
          <w:tcPr>
            <w:tcW w:type="dxa" w:w="7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공동체 내 주거 제공(실질 주거비 0) + 공동식당 식사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가족 동반</w:t>
            </w:r>
          </w:p>
        </w:tc>
        <w:tc>
          <w:tcPr>
            <w:tcW w:type="dxa" w:w="7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핵심 전문직(스마트팜·에너지·돌봄)은 가족 동반 입주 허용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성장 지원</w:t>
            </w:r>
          </w:p>
        </w:tc>
        <w:tc>
          <w:tcPr>
            <w:tcW w:type="dxa" w:w="7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관련 자격증 취득비 지원(연 한도) + 교육 기회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생활 안정</w:t>
            </w:r>
          </w:p>
        </w:tc>
        <w:tc>
          <w:tcPr>
            <w:tcW w:type="dxa" w:w="7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의료비 지원, 명절 상여, 공동체 차량 공유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제3장  시설 투자(CAPEX) 및 자금 미스매치 방어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정부 보조금(지방소멸대응기금 등)은 ‘법적 기준을 충족하는 시설과 인가’가 선행되어야 지급됩니다. 시설이 없으면 자금도 나오지 않으므로, 단계별 최소 시설 투자 비용과 재원 마련처를 먼저 정리합니다.</w:t>
      </w:r>
    </w:p>
    <w:p>
      <w:pPr>
        <w:pStyle w:val="Heading2"/>
      </w:pPr>
      <w:r>
        <w:t xml:space="preserve">3.1  자산별·인프라별 투자 명세 (총 규모 10.5억원)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460"/>
        <w:gridCol w:w="1200"/>
        <w:gridCol w:w="2400"/>
      </w:tblGrid>
      <w:tr>
        <w:trPr>
          <w:tblHeader/>
        </w:trPr>
        <w:tc>
          <w:tcPr>
            <w:tcW w:type="dxa" w:w="2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시설</w:t>
            </w:r>
          </w:p>
        </w:tc>
        <w:tc>
          <w:tcPr>
            <w:tcW w:type="dxa" w:w="34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내용</w:t>
            </w:r>
          </w:p>
        </w:tc>
        <w:tc>
          <w:tcPr>
            <w:tcW w:type="dxa" w:w="1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소요 예산</w:t>
            </w:r>
          </w:p>
        </w:tc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재원 조달</w:t>
            </w:r>
          </w:p>
        </w:tc>
      </w:tr>
      <w:tr>
        <w:tc>
          <w:tcPr>
            <w:tcW w:type="dxa" w:w="2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폐교 메인 교사·관사 리모델링</w:t>
            </w:r>
          </w:p>
        </w:tc>
        <w:tc>
          <w:tcPr>
            <w:tcW w:type="dxa" w:w="34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대수선·구조보강·석면제거·단열·상하수도 (백서 9.5절 평당 200만원)</w:t>
            </w:r>
          </w:p>
        </w:tc>
        <w:tc>
          <w:tcPr>
            <w:tcW w:type="dxa" w:w="1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6.0억원</w:t>
            </w:r>
          </w:p>
        </w:tc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정부 공모 4.2억(70%) + 조합 자부담 1.8억(30%)</w:t>
            </w:r>
          </w:p>
        </w:tc>
      </w:tr>
      <w:tr>
        <w:tc>
          <w:tcPr>
            <w:tcW w:type="dxa" w:w="2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유휴지 스마트팜 인프라</w:t>
            </w:r>
          </w:p>
        </w:tc>
        <w:tc>
          <w:tcPr>
            <w:tcW w:type="dxa" w:w="34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지능형 비닐하우스·양액설비·가구공방 장비 (사회적기업 자체 투자)</w:t>
            </w:r>
          </w:p>
        </w:tc>
        <w:tc>
          <w:tcPr>
            <w:tcW w:type="dxa" w:w="1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3.5억원</w:t>
            </w:r>
          </w:p>
        </w:tc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정책자금 융자 2억 + ESG 출자 1.5억 → 본체 부담 0</w:t>
            </w:r>
          </w:p>
        </w:tc>
      </w:tr>
      <w:tr>
        <w:tc>
          <w:tcPr>
            <w:tcW w:type="dxa" w:w="2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산림치유·숲 프로그램 동선</w:t>
            </w:r>
          </w:p>
        </w:tc>
        <w:tc>
          <w:tcPr>
            <w:tcW w:type="dxa" w:w="34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무장애 데크로드·트리하우스 기초·명상공간</w:t>
            </w:r>
          </w:p>
        </w:tc>
        <w:tc>
          <w:tcPr>
            <w:tcW w:type="dxa" w:w="1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1.0억원</w:t>
            </w:r>
          </w:p>
        </w:tc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산림청 녹색자금·지자체 0.7억 + 책임출자·펀딩 0.3억</w:t>
            </w:r>
          </w:p>
        </w:tc>
      </w:tr>
    </w:tbl>
    <w:p>
      <w:pPr>
        <w:pStyle w:val="Heading2"/>
      </w:pPr>
      <w:r>
        <w:t xml:space="preserve">3.2  정책자금 해제 조건 — 시설별 인가 기준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360"/>
        <w:gridCol w:w="1100"/>
        <w:gridCol w:w="2400"/>
      </w:tblGrid>
      <w:tr>
        <w:trPr>
          <w:tblHeader/>
        </w:trPr>
        <w:tc>
          <w:tcPr>
            <w:tcW w:type="dxa" w:w="2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연계 정책자금</w:t>
            </w:r>
          </w:p>
        </w:tc>
        <w:tc>
          <w:tcPr>
            <w:tcW w:type="dxa" w:w="3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필수 선행 시설/인가</w:t>
            </w:r>
          </w:p>
        </w:tc>
        <w:tc>
          <w:tcPr>
            <w:tcW w:type="dxa" w:w="11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CAPEX</w:t>
            </w:r>
          </w:p>
        </w:tc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완공·인가 시점</w:t>
            </w:r>
          </w:p>
        </w:tc>
      </w:tr>
      <w:tr>
        <w:tc>
          <w:tcPr>
            <w:tcW w:type="dxa" w:w="2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농촌유학·귀농귀촌 지원금</w:t>
            </w:r>
          </w:p>
        </w:tc>
        <w:tc>
          <w:tcPr>
            <w:tcW w:type="dxa" w:w="3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대표자 현지 전입 주거지 및 기초 사무공간</w:t>
            </w:r>
          </w:p>
        </w:tc>
        <w:tc>
          <w:tcPr>
            <w:tcW w:type="dxa" w:w="11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1억원</w:t>
            </w:r>
          </w:p>
        </w:tc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씨앗기 중반(2027.4~5)</w:t>
            </w:r>
          </w:p>
        </w:tc>
      </w:tr>
      <w:tr>
        <w:tc>
          <w:tcPr>
            <w:tcW w:type="dxa" w:w="2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노인 돌봄 재가급여(공단)</w:t>
            </w:r>
          </w:p>
        </w:tc>
        <w:tc>
          <w:tcPr>
            <w:tcW w:type="dxa" w:w="3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주야간보호 1인당 거실·침실 6.6㎡ 이상</w:t>
            </w:r>
          </w:p>
        </w:tc>
        <w:tc>
          <w:tcPr>
            <w:tcW w:type="dxa" w:w="11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2.5억원</w:t>
            </w:r>
          </w:p>
        </w:tc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성장기 초입(2027.10)</w:t>
            </w:r>
          </w:p>
        </w:tc>
      </w:tr>
      <w:tr>
        <w:tc>
          <w:tcPr>
            <w:tcW w:type="dxa" w:w="2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아동돌봄 그룹홈 보조금</w:t>
            </w:r>
          </w:p>
        </w:tc>
        <w:tc>
          <w:tcPr>
            <w:tcW w:type="dxa" w:w="3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아동 1인당 침실 4.95㎡ 확보</w:t>
            </w:r>
          </w:p>
        </w:tc>
        <w:tc>
          <w:tcPr>
            <w:tcW w:type="dxa" w:w="11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1.5억원</w:t>
            </w:r>
          </w:p>
        </w:tc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성장기 중반(2028.3)</w:t>
            </w:r>
          </w:p>
        </w:tc>
      </w:tr>
      <w:tr>
        <w:tc>
          <w:tcPr>
            <w:tcW w:type="dxa" w:w="2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장애인 표준사업장 고용장려금</w:t>
            </w:r>
          </w:p>
        </w:tc>
        <w:tc>
          <w:tcPr>
            <w:tcW w:type="dxa" w:w="3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배리어프리·작업대·전용 화장실</w:t>
            </w:r>
          </w:p>
        </w:tc>
        <w:tc>
          <w:tcPr>
            <w:tcW w:type="dxa" w:w="11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2억원</w:t>
            </w:r>
          </w:p>
        </w:tc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성장기 중반(2028.6)</w:t>
            </w:r>
          </w:p>
        </w:tc>
      </w:tr>
    </w:tbl>
    <w:p>
      <w:pPr>
        <w:pStyle w:val="Heading2"/>
      </w:pPr>
      <w:r>
        <w:t xml:space="preserve">3.3  자금 미스매치 해결 — 3대 금융 쉴드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정부 보조금이 준공 검사 후 사후 정산되는 특성상, 시공 중간 시점에 일시적 현금 잠식 구간이 발생합니다. 아래 3대 장치로 방어합니다.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060"/>
      </w:tblGrid>
      <w:tr>
        <w:trPr>
          <w:tblHeader/>
        </w:trPr>
        <w:tc>
          <w:tcPr>
            <w:tcW w:type="dxa" w:w="2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방어 수단</w:t>
            </w:r>
          </w:p>
        </w:tc>
        <w:tc>
          <w:tcPr>
            <w:tcW w:type="dxa" w:w="70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내용</w:t>
            </w:r>
          </w:p>
        </w:tc>
      </w:tr>
      <w:tr>
        <w:tc>
          <w:tcPr>
            <w:tcW w:type="dxa" w:w="2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① 브릿지론</w:t>
            </w:r>
          </w:p>
        </w:tc>
        <w:tc>
          <w:tcPr>
            <w:tcW w:type="dxa" w:w="70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지자체 사업 선정 확약서를 담보로 지역신용보증재단 연계 2억원 단기 융자 개설 → 보조금 입금 즉시 자동 상환</w:t>
            </w:r>
          </w:p>
        </w:tc>
      </w:tr>
      <w:tr>
        <w:tc>
          <w:tcPr>
            <w:tcW w:type="dxa" w:w="2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② 기성 청구 유예 특약(MOU)</w:t>
            </w:r>
          </w:p>
        </w:tc>
        <w:tc>
          <w:tcPr>
            <w:tcW w:type="dxa" w:w="70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시공사·설비업체 계약 시 ‘공사대금의 30%는 보조금 정산 교부일로부터 14일 이내 지급’ 명시 → 초기 현금유출 분산</w:t>
            </w:r>
          </w:p>
        </w:tc>
      </w:tr>
      <w:tr>
        <w:tc>
          <w:tcPr>
            <w:tcW w:type="dxa" w:w="2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③ 단계별 모듈러 투자전환</w:t>
            </w:r>
          </w:p>
        </w:tc>
        <w:tc>
          <w:tcPr>
            <w:tcW w:type="dxa" w:w="70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산림치유 인프라 중 필수 안전동선만 선지출, 나머지는 보조금 수령 후 착공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제4장  하이브리드 재원 통합 매트릭스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정부 복지급여·고용보조금·지자체 소멸기금·민간 ESG 자본을 입체적으로 결합하여 단일 재원 고갈 리스크를 원천 차단합니다. 백서 11.5절의 4축 구조(복지재원·사업수익·후원·돌봄코인)를 자금별로 세분화한 표입니다.</w:t>
      </w:r>
    </w:p>
    <w:p>
      <w:pPr>
        <w:pStyle w:val="Heading3"/>
      </w:pPr>
      <w:r>
        <w:t xml:space="preserve">4.1  자금별 유입 조건·집행 시점·지연 대비책 (상세 매트릭스)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자금별 유입 조건·실집행 시점·지연 시 대체방안을 하나의 표로 정리합니다. 재원 심사·대관 실무에서 가장 많이 요구되는 자료입니다.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700"/>
        <w:gridCol w:w="2360"/>
        <w:gridCol w:w="1700"/>
        <w:gridCol w:w="1800"/>
      </w:tblGrid>
      <w:tr>
        <w:trPr>
          <w:tblHeader/>
        </w:trPr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재원</w:t>
            </w:r>
          </w:p>
        </w:tc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주관/근거</w:t>
            </w:r>
          </w:p>
        </w:tc>
        <w:tc>
          <w:tcPr>
            <w:tcW w:type="dxa" w:w="2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산정 기준</w:t>
            </w:r>
          </w:p>
        </w:tc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집행 시점</w:t>
            </w:r>
          </w:p>
        </w:tc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지연 시 대체방안</w:t>
            </w:r>
          </w:p>
        </w:tc>
      </w:tr>
      <w:tr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지방소멸대응기금</w:t>
            </w:r>
          </w:p>
        </w:tc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행안부→지자체</w:t>
            </w:r>
          </w:p>
        </w:tc>
        <w:tc>
          <w:tcPr>
            <w:tcW w:type="dxa" w:w="2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폐교 진입로·상하수도 등 인프라 5~10억 공모</w:t>
            </w:r>
          </w:p>
        </w:tc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2027년 이후(전년 신청)</w:t>
            </w:r>
          </w:p>
        </w:tc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오프그리드 시공 + ESG 매칭 선투입</w:t>
            </w:r>
          </w:p>
        </w:tc>
      </w:tr>
      <w:tr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노인 재가급여</w:t>
            </w:r>
          </w:p>
        </w:tc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건보공단/장기요양보험법</w:t>
            </w:r>
          </w:p>
        </w:tc>
        <w:tc>
          <w:tcPr>
            <w:tcW w:type="dxa" w:w="2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3~5등급 인당 월 140~251만원</w:t>
            </w:r>
          </w:p>
        </w:tc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성장기 인가 후</w:t>
            </w:r>
          </w:p>
        </w:tc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인가 전 분담금 자체예산 운영</w:t>
            </w:r>
          </w:p>
        </w:tc>
      </w:tr>
      <w:tr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아동그룹홈 보조금</w:t>
            </w:r>
          </w:p>
        </w:tc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복지부·지자체/아동복지법</w:t>
            </w:r>
          </w:p>
        </w:tc>
        <w:tc>
          <w:tcPr>
            <w:tcW w:type="dxa" w:w="2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시설장·보육사 인건비 + 아동 생계급여</w:t>
            </w:r>
          </w:p>
        </w:tc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성장기 그룹홈 인가</w:t>
            </w:r>
          </w:p>
        </w:tc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농촌유학 주거지원금 우선 대체</w:t>
            </w:r>
          </w:p>
        </w:tc>
      </w:tr>
      <w:tr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장애인 고용장려금</w:t>
            </w:r>
          </w:p>
        </w:tc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장애인고용공단</w:t>
            </w:r>
          </w:p>
        </w:tc>
        <w:tc>
          <w:tcPr>
            <w:tcW w:type="dxa" w:w="2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인당 월 최대 90만원 + 훈련수당</w:t>
            </w:r>
          </w:p>
        </w:tc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2028 상반기 채용</w:t>
            </w:r>
          </w:p>
        </w:tc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예비사회적기업 사업개발비 선방어</w:t>
            </w:r>
          </w:p>
        </w:tc>
      </w:tr>
      <w:tr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발달장애 평생교육·주간활동</w:t>
            </w:r>
          </w:p>
        </w:tc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보건복지부/지자체</w:t>
            </w:r>
          </w:p>
        </w:tc>
        <w:tc>
          <w:tcPr>
            <w:tcW w:type="dxa" w:w="2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일이 어려운 발달장애인의 평생 돌봄·활동 지원</w:t>
            </w:r>
          </w:p>
        </w:tc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돌봄 트랙 가동 시</w:t>
            </w:r>
          </w:p>
        </w:tc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장애인 직업재활·복지관 연계</w:t>
            </w:r>
          </w:p>
        </w:tc>
      </w:tr>
      <w:tr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신중년 경력형 일자리</w:t>
            </w:r>
          </w:p>
        </w:tc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고용노동부</w:t>
            </w:r>
          </w:p>
        </w:tc>
        <w:tc>
          <w:tcPr>
            <w:tcW w:type="dxa" w:w="2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월 급여 80%, 인당 최대 160만원</w:t>
            </w:r>
          </w:p>
        </w:tc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예비사회적기업 지정 후</w:t>
            </w:r>
          </w:p>
        </w:tc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만료 전 자체매출 비중 40%↑ 흡수</w:t>
            </w:r>
          </w:p>
        </w:tc>
      </w:tr>
      <w:tr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귀농귀촌 정착자금</w:t>
            </w:r>
          </w:p>
        </w:tc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농식품부·지자체</w:t>
            </w:r>
          </w:p>
        </w:tc>
        <w:tc>
          <w:tcPr>
            <w:tcW w:type="dxa" w:w="2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창업자금·주택자금 (연 1.5~2%대 융자)</w:t>
            </w:r>
          </w:p>
        </w:tc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선행 전입·경영체 등록 직후</w:t>
            </w:r>
          </w:p>
        </w:tc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선행정착자 개인 융자를 조합 대여</w:t>
            </w:r>
          </w:p>
        </w:tc>
      </w:tr>
      <w:tr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민간 ESG 후원</w:t>
            </w:r>
          </w:p>
        </w:tc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대기업 CSR/지정기부</w:t>
            </w:r>
          </w:p>
        </w:tc>
        <w:tc>
          <w:tcPr>
            <w:tcW w:type="dxa" w:w="2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프로젝트 지정 1~3억 매칭</w:t>
            </w:r>
          </w:p>
        </w:tc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부지 확정·MOU 직후</w:t>
            </w:r>
          </w:p>
        </w:tc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유입 속도에 맞춰 모듈러 순차 신축</w:t>
            </w:r>
          </w:p>
        </w:tc>
      </w:tr>
      <w:tr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5대 사업 매출</w:t>
            </w:r>
          </w:p>
        </w:tc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사회적기업</w:t>
            </w:r>
          </w:p>
        </w:tc>
        <w:tc>
          <w:tcPr>
            <w:tcW w:type="dxa" w:w="2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농업·임업·가구·건축·반려동물·신재생</w:t>
            </w:r>
          </w:p>
        </w:tc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성장기 이후 순차</w:t>
            </w:r>
          </w:p>
        </w:tc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외부 부진 시 캡티브 마켓 전환</w:t>
            </w:r>
          </w:p>
        </w:tc>
      </w:tr>
    </w:tbl>
    <w:p>
      <w:pPr>
        <w:pStyle w:val="Heading2"/>
      </w:pPr>
      <w:r>
        <w:t xml:space="preserve">4.2  수입·지출 자원 개요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수입 항목</w:t>
            </w:r>
          </w:p>
        </w:tc>
        <w:tc>
          <w:tcPr>
            <w:tcW w:type="dxa" w:w="6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내용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조합원 정기 분담금</w:t>
            </w:r>
          </w:p>
        </w:tc>
        <w:tc>
          <w:tcPr>
            <w:tcW w:type="dxa" w:w="6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입주 인원 × 170만원 (씨앗기 20명 월 3,400만원 / 성장기 50명 월 8,500만원)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정부 복지 수탁자금</w:t>
            </w:r>
          </w:p>
        </w:tc>
        <w:tc>
          <w:tcPr>
            <w:tcW w:type="dxa" w:w="6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노인 재가급여(1인당 월 140~251만원) / 아동그룹홈 위탁비(1개소 월 600만~1,000만원, 아동복지법)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독립법인 사업 매출</w:t>
            </w:r>
          </w:p>
        </w:tc>
        <w:tc>
          <w:tcPr>
            <w:tcW w:type="dxa" w:w="6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스마트팜 유기농 정기구독(가구당 월 5만원, 목표 500가구=월 2,500만원) / 친환경 가구·주택 수주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정부 고용보조금</w:t>
            </w:r>
          </w:p>
        </w:tc>
        <w:tc>
          <w:tcPr>
            <w:tcW w:type="dxa" w:w="6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신중년 경력형 일자리(인당 월 160만원) / 장애인 고용장려금(인당 월 90만원)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지출 항목</w:t>
            </w:r>
          </w:p>
        </w:tc>
        <w:tc>
          <w:tcPr>
            <w:tcW w:type="dxa" w:w="6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내용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시설 유지비</w:t>
            </w:r>
          </w:p>
        </w:tc>
        <w:tc>
          <w:tcPr>
            <w:tcW w:type="dxa" w:w="6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폐교 대부료(연 약 500만원, 협의) / 공동동 에너지비(태양광 전 월 평균 400만원)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인건비</w:t>
            </w:r>
          </w:p>
        </w:tc>
        <w:tc>
          <w:tcPr>
            <w:tcW w:type="dxa" w:w="6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내부 상주 돌봄크루 및 5대 법인 채용인력 — 형태A 기준 현금 지급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공동식당·운영비</w:t>
            </w:r>
          </w:p>
        </w:tc>
        <w:tc>
          <w:tcPr>
            <w:tcW w:type="dxa" w:w="6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입주민 식자재(1인당 월 30만원), 유기견·아동 프로그램 재료비(월 200만원)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제5장  단계별 현금흐름 시뮬레이션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실무 실행계획서의 3단계 구분(씨앗기 2~20명 / 성장기 20~80명 / 완성기 80~200명)에 정렬되어 있습니다.</w:t>
      </w:r>
    </w:p>
    <w:p>
      <w:pPr>
        <w:pStyle w:val="Heading2"/>
      </w:pPr>
      <w:r>
        <w:t xml:space="preserve">5.1  씨앗기 (2026.06~2027.06) — 2명 선행전입 → 20명 입주완료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760"/>
        <w:gridCol w:w="2200"/>
      </w:tblGrid>
      <w:tr>
        <w:trPr>
          <w:tblHeader/>
        </w:trP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구분</w:t>
            </w:r>
          </w:p>
        </w:tc>
        <w:tc>
          <w:tcPr>
            <w:tcW w:type="dxa" w:w="4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항목</w:t>
            </w:r>
          </w:p>
        </w:tc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금액(만원)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총 유입 (11,500)</w:t>
            </w:r>
          </w:p>
        </w:tc>
        <w:tc>
          <w:tcPr>
            <w:tcW w:type="dxa" w:w="4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조합장 책임출자 / 일반출자 / 선행정착 정책융자 / 대기업 CSR</w:t>
            </w:r>
          </w:p>
        </w:tc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1,000 / 500 / 5,000 / 5,000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총 유출 (11,500)</w:t>
            </w:r>
          </w:p>
        </w:tc>
        <w:tc>
          <w:tcPr>
            <w:tcW w:type="dxa" w:w="4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법인설립·행정대관 / 선행주택 2채 건축 / 초기 마스터플랜 설계</w:t>
            </w:r>
          </w:p>
        </w:tc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850 / 10,000 / 650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FF8E1" w:sz="4"/>
              <w:left w:val="single" w:color="B8860B" w:sz="18"/>
              <w:bottom w:val="single" w:color="FFF8E1" w:sz="4"/>
              <w:right w:val="single" w:color="FFF8E1" w:sz="4"/>
            </w:tcBorders>
            <w:shd w:fill="FFF8E1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r>
              <w:rPr>
                <w:b/>
                <w:bCs/>
                <w:color w:val="B8860B"/>
              </w:rPr>
              <w:t xml:space="preserve">[위기 대응] 지방소멸대응기금 집행이 6개월 이상 지연될 때 — </w:t>
            </w:r>
            <w:r>
              <w:t xml:space="preserve">기초 조합원 보증금 수납분(50명 기준 10억 상당)은 전액 에스크로 락킹(0원 방어). 외주 토목비 즉시 동결, CSR 잔여분으로 오프그리드 정화조 우선 설치(지출 65% 절감), 초기 입주 20명→7명 축소로 고정비 월 3,400→1,190만원 하향.</w:t>
            </w:r>
          </w:p>
        </w:tc>
      </w:tr>
    </w:tbl>
    <w:p>
      <w:pPr>
        <w:pStyle w:val="Heading2"/>
      </w:pPr>
      <w:r>
        <w:t xml:space="preserve">5.2  성장기 (2027.07~2029.12) — 20명 → 80명, BEP 돌파기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760"/>
        <w:gridCol w:w="2200"/>
      </w:tblGrid>
      <w:tr>
        <w:trPr>
          <w:tblHeader/>
        </w:trP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구분</w:t>
            </w:r>
          </w:p>
        </w:tc>
        <w:tc>
          <w:tcPr>
            <w:tcW w:type="dxa" w:w="4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항목</w:t>
            </w:r>
          </w:p>
        </w:tc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연간 금액(만원)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정기 유입 (124,400)</w:t>
            </w:r>
          </w:p>
        </w:tc>
        <w:tc>
          <w:tcPr>
            <w:tcW w:type="dxa" w:w="4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조합원 분담금(30명) / 노인재가급여 / 아동그룹홈 / 스마트팜구독</w:t>
            </w:r>
          </w:p>
        </w:tc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5,100 / 2,340 / 3,000 / 2,000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정기 유출 (112,000)</w:t>
            </w:r>
          </w:p>
        </w:tc>
        <w:tc>
          <w:tcPr>
            <w:tcW w:type="dxa" w:w="4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크루 인건비 / 시설유지·식자재 / 아동·노인 복지비</w:t>
            </w:r>
          </w:p>
        </w:tc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8,400 / 2,200 / 600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rPr>
                <w:b/>
                <w:bCs/>
              </w:rPr>
              <w:t xml:space="preserve">추정 연간 순손익</w:t>
            </w:r>
          </w:p>
        </w:tc>
        <w:tc>
          <w:tcPr>
            <w:tcW w:type="dxa" w:w="4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rPr>
                <w:b/>
                <w:bCs/>
                <w:color w:val="2E7D32"/>
              </w:rPr>
              <w:t xml:space="preserve">+12,400만원 (BEP 안정적 돌파)</w:t>
            </w:r>
          </w:p>
        </w:tc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/>
            </w:r>
          </w:p>
        </w:tc>
      </w:tr>
    </w:tbl>
    <w:p>
      <w:pPr>
        <w:pStyle w:val="Heading3"/>
      </w:pPr>
      <w:r>
        <w:t xml:space="preserve">5.2.1  20인 안착 시점 월간 BEP 정밀 분해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760"/>
        <w:gridCol w:w="2200"/>
      </w:tblGrid>
      <w:tr>
        <w:trPr>
          <w:tblHeader/>
        </w:trP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구분</w:t>
            </w:r>
          </w:p>
        </w:tc>
        <w:tc>
          <w:tcPr>
            <w:tcW w:type="dxa" w:w="4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항목</w:t>
            </w:r>
          </w:p>
        </w:tc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금액(만원)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월간 현금 유입 (3,880)</w:t>
            </w:r>
          </w:p>
        </w:tc>
        <w:tc>
          <w:tcPr>
            <w:tcW w:type="dxa" w:w="4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현금분담금 / 정부 고용보조금 / 비즈니스 유통매출</w:t>
            </w:r>
          </w:p>
        </w:tc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2,400 / 480 / 1,000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월간 현금 유출 (2,125)</w:t>
            </w:r>
          </w:p>
        </w:tc>
        <w:tc>
          <w:tcPr>
            <w:tcW w:type="dxa" w:w="4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정형근로자 인건비(상근크루 5명×225) / 식자재·인프라</w:t>
            </w:r>
          </w:p>
        </w:tc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1,125 / 1,000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내부 코인 발행 (1,700)</w:t>
            </w:r>
          </w:p>
        </w:tc>
        <w:tc>
          <w:tcPr>
            <w:tcW w:type="dxa" w:w="4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비정형 상호돌봄 보상 — 분담금 차감으로 즉시 회수·소멸</w:t>
            </w:r>
          </w:p>
        </w:tc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장부 부채 X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8F5E9" w:sz="4"/>
              <w:left w:val="single" w:color="2E7D32" w:sz="18"/>
              <w:bottom w:val="single" w:color="E8F5E9" w:sz="4"/>
              <w:right w:val="single" w:color="E8F5E9" w:sz="4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r>
              <w:rPr>
                <w:b/>
                <w:bCs/>
                <w:color w:val="1B5E20"/>
              </w:rPr>
              <w:t xml:space="preserve">핵심 결론 — </w:t>
            </w:r>
            <w:r>
              <w:t xml:space="preserve">유연노동을 즉시 현금이 아닌 돌봄코인으로 보상하고 이를 분담금에서 차감함으로써, 월간 현금 순증액이 약 180만원 → 1,755만원으로 크게 증가합니다. 코인은 발행과 동시에 소멸되어 부채로 남지 않습니다.</w:t>
            </w:r>
          </w:p>
        </w:tc>
      </w:tr>
    </w:tbl>
    <w:p>
      <w:pPr>
        <w:pStyle w:val="Heading2"/>
      </w:pPr>
      <w:r>
        <w:t xml:space="preserve">5.3  완성기 (2030.01~) — 80명 → 200명, 완전자립·영속화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760"/>
        <w:gridCol w:w="2200"/>
      </w:tblGrid>
      <w:tr>
        <w:trPr>
          <w:tblHeader/>
        </w:trP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구분</w:t>
            </w:r>
          </w:p>
        </w:tc>
        <w:tc>
          <w:tcPr>
            <w:tcW w:type="dxa" w:w="4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항목</w:t>
            </w:r>
          </w:p>
        </w:tc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연간 금액(만원)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안정 유입 (468,000)</w:t>
            </w:r>
          </w:p>
        </w:tc>
        <w:tc>
          <w:tcPr>
            <w:tcW w:type="dxa" w:w="4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분담금(100명) / 복지위탁 총액 / 5대법인 수익쉐어 / 태양광 REC</w:t>
            </w:r>
          </w:p>
        </w:tc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20,400 / 14,400 / 8,000 / 4,000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안정 유출 (390,000)</w:t>
            </w:r>
          </w:p>
        </w:tc>
        <w:tc>
          <w:tcPr>
            <w:tcW w:type="dxa" w:w="4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상주직원·전문가 인건비 / 단지 관제·OPEX / 공익재단 목적사업비</w:t>
            </w:r>
          </w:p>
        </w:tc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28,800 / 7,200 / 3,000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rPr>
                <w:b/>
                <w:bCs/>
              </w:rPr>
              <w:t xml:space="preserve">추정 연간 순손익</w:t>
            </w:r>
          </w:p>
        </w:tc>
        <w:tc>
          <w:tcPr>
            <w:tcW w:type="dxa" w:w="4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rPr>
                <w:b/>
                <w:bCs/>
                <w:color w:val="2E7D32"/>
              </w:rPr>
              <w:t xml:space="preserve">+7,800만원 (전액 공동체 상생복지기금으로 유보)</w:t>
            </w:r>
          </w:p>
        </w:tc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/>
            </w:r>
          </w:p>
        </w:tc>
      </w:tr>
    </w:tbl>
    <w:p>
      <w:pPr>
        <w:spacing w:after="120" w:before="40" w:line="276"/>
      </w:pPr>
      <w:r>
        <w:rPr>
          <w:b w:val="false"/>
          <w:bCs w:val="false"/>
          <w:i w:val="false"/>
          <w:iCs w:val="false"/>
        </w:rPr>
        <w:t xml:space="preserve">백서 부록 D-4의 공익재단 설립 조건(핵심세대 80명 유지 5년+ / 사회적기업 3개+ / 기금 30억원+)과 연결하여, 이 단계의 누적 잉여금이 공익재단 출연 재원의 기반이 됩니다.</w:t>
      </w:r>
    </w:p>
    <w:p>
      <w:pPr>
        <w:pStyle w:val="Heading3"/>
      </w:pPr>
      <w:r>
        <w:t xml:space="preserve">5.4  민감도 분석 — 비관·낙관 시나리오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핵심 변수가 흔들려도 4축 구조가 충격을 흡수하는지 점검합니다.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1700"/>
        <w:gridCol w:w="1700"/>
        <w:gridCol w:w="2760"/>
      </w:tblGrid>
      <w:tr>
        <w:trPr>
          <w:tblHeader/>
        </w:trPr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변수</w:t>
            </w:r>
          </w:p>
        </w:tc>
        <w:tc>
          <w:tcPr>
            <w:tcW w:type="dxa" w:w="1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기본 가정</w:t>
            </w:r>
          </w:p>
        </w:tc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비관 시나리오</w:t>
            </w:r>
          </w:p>
        </w:tc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낙관 시나리오</w:t>
            </w:r>
          </w:p>
        </w:tc>
        <w:tc>
          <w:tcPr>
            <w:tcW w:type="dxa" w:w="2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대응 방안</w:t>
            </w:r>
          </w:p>
        </w:tc>
      </w:tr>
      <w:tr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입주율 달성</w:t>
            </w:r>
          </w:p>
        </w:tc>
        <w:tc>
          <w:tcPr>
            <w:tcW w:type="dxa" w:w="1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계획대로</w:t>
            </w:r>
          </w:p>
        </w:tc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1년 지연</w:t>
            </w:r>
          </w:p>
        </w:tc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조기 달성</w:t>
            </w:r>
          </w:p>
        </w:tc>
        <w:tc>
          <w:tcPr>
            <w:tcW w:type="dxa" w:w="2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지자체 위탁 조기체결·홍보 강화</w:t>
            </w:r>
          </w:p>
        </w:tc>
      </w:tr>
      <w:tr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복지수가(LTC)</w:t>
            </w:r>
          </w:p>
        </w:tc>
        <w:tc>
          <w:tcPr>
            <w:tcW w:type="dxa" w:w="1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현행 유지</w:t>
            </w:r>
          </w:p>
        </w:tc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10% 삭감</w:t>
            </w:r>
          </w:p>
        </w:tc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10% 인상</w:t>
            </w:r>
          </w:p>
        </w:tc>
        <w:tc>
          <w:tcPr>
            <w:tcW w:type="dxa" w:w="2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개인 분담·코인 비중 탄력 조정</w:t>
            </w:r>
          </w:p>
        </w:tc>
      </w:tr>
      <w:tr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인건비</w:t>
            </w:r>
          </w:p>
        </w:tc>
        <w:tc>
          <w:tcPr>
            <w:tcW w:type="dxa" w:w="1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연 3% 인상</w:t>
            </w:r>
          </w:p>
        </w:tc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연 5% 인상</w:t>
            </w:r>
          </w:p>
        </w:tc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연 2% 인상</w:t>
            </w:r>
          </w:p>
        </w:tc>
        <w:tc>
          <w:tcPr>
            <w:tcW w:type="dxa" w:w="2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스마트팜·사업수익 확대로 상쇄</w:t>
            </w:r>
          </w:p>
        </w:tc>
      </w:tr>
      <w:tr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식자재 물가</w:t>
            </w:r>
          </w:p>
        </w:tc>
        <w:tc>
          <w:tcPr>
            <w:tcW w:type="dxa" w:w="1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연 4%</w:t>
            </w:r>
          </w:p>
        </w:tc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연 6%</w:t>
            </w:r>
          </w:p>
        </w:tc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연 2%</w:t>
            </w:r>
          </w:p>
        </w:tc>
        <w:tc>
          <w:tcPr>
            <w:tcW w:type="dxa" w:w="2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스마트팜 자급율 상향(30%→40%)</w:t>
            </w:r>
          </w:p>
        </w:tc>
      </w:tr>
      <w:tr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사업 외부매출</w:t>
            </w:r>
          </w:p>
        </w:tc>
        <w:tc>
          <w:tcPr>
            <w:tcW w:type="dxa" w:w="1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계획대로</w:t>
            </w:r>
          </w:p>
        </w:tc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50% 폭락</w:t>
            </w:r>
          </w:p>
        </w:tc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초과 달성</w:t>
            </w:r>
          </w:p>
        </w:tc>
        <w:tc>
          <w:tcPr>
            <w:tcW w:type="dxa" w:w="2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캡티브 마켓 전환·공익재단 일시차입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제6장  운영 원가 분석 및 가격 경쟁력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‘얼마를 받을 수 있나’가 아니라 ‘1인당 실제 얼마가 드는가’에서 출발하는 원가 기반 가격 논리입니다.</w:t>
      </w:r>
    </w:p>
    <w:p>
      <w:pPr>
        <w:pStyle w:val="Heading2"/>
      </w:pPr>
      <w:r>
        <w:t xml:space="preserve">6.1  1인당 월 운영 원가 분해 (개념)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스마트팜·태양광·임산물·아동위탁비는 이미 독립 수익원이므로, 분담금이 커버해야 할 몫을 분리하여 계산합니다. 운영 원가 중 상당 부분이 사업수익·복지위탁으로 자체 커버되며, 분담금이 실제로 메워야 하는 순원가는 크지 않습니다.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구분</w:t>
            </w:r>
          </w:p>
        </w:tc>
        <w:tc>
          <w:tcPr>
            <w:tcW w:type="dxa" w:w="7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총 운영 원가</w:t>
            </w:r>
          </w:p>
        </w:tc>
        <w:tc>
          <w:tcPr>
            <w:tcW w:type="dxa" w:w="7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인건비·식자재·의료·차량·시설유지·보험·프로그램·관리비 등 합산 → 1인당 월 원가 산출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자체 수익 커버</w:t>
            </w:r>
          </w:p>
        </w:tc>
        <w:tc>
          <w:tcPr>
            <w:tcW w:type="dxa" w:w="7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스마트팜·태양광·임산물·아동위탁·산림치유 체험·후원이 1인당 원가의 상당분을 선커버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분담금 순부담</w:t>
            </w:r>
          </w:p>
        </w:tc>
        <w:tc>
          <w:tcPr>
            <w:tcW w:type="dxa" w:w="7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총 원가 − 자체 커버 = 분담금이 메워야 할 실제 순원가 → 170만원 분담금 내에서 충분히 흡수되며, 초과분은 환원·적립 재원</w:t>
            </w:r>
          </w:p>
        </w:tc>
      </w:tr>
    </w:tbl>
    <w:p>
      <w:pPr>
        <w:pStyle w:val="Heading2"/>
      </w:pPr>
      <w:r>
        <w:t xml:space="preserve">6.2  운영 세부 원가 근거 — 의료·차량·식사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분담금에 포함되는 ‘1차 상호돌봄 및 의료 연계 서비스’의 원가 근거를 명시합니다. 이는 분담금 170만원의 ALL-IN 신뢰성을 뒷받침합니다.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5060"/>
        <w:gridCol w:w="2400"/>
      </w:tblGrid>
      <w:tr>
        <w:trPr>
          <w:tblHeader/>
        </w:trPr>
        <w:tc>
          <w:tcPr>
            <w:tcW w:type="dxa" w:w="19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항목</w:t>
            </w:r>
          </w:p>
        </w:tc>
        <w:tc>
          <w:tcPr>
            <w:tcW w:type="dxa" w:w="50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운영 방식</w:t>
            </w:r>
          </w:p>
        </w:tc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비고</w:t>
            </w:r>
          </w:p>
        </w:tc>
      </w:tr>
      <w:tr>
        <w:tc>
          <w:tcPr>
            <w:tcW w:type="dxa" w:w="19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방문의료·간호</w:t>
            </w:r>
          </w:p>
        </w:tc>
        <w:tc>
          <w:tcPr>
            <w:tcW w:type="dxa" w:w="50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내과·노인과 방문진료(주 단위) + 간호 인력 활력징후 점검 + 물리치료·심리상담 연계</w:t>
            </w:r>
          </w:p>
        </w:tc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외부 병원 핫라인·정기 셔틀과 연계</w:t>
            </w:r>
          </w:p>
        </w:tc>
      </w:tr>
      <w:tr>
        <w:tc>
          <w:tcPr>
            <w:tcW w:type="dxa" w:w="19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차량 운영</w:t>
            </w:r>
          </w:p>
        </w:tc>
        <w:tc>
          <w:tcPr>
            <w:tcW w:type="dxa" w:w="50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병원 정기 셔틀·장보기·응급 이송·스마트팜 납품용 차량 운영(겸직 운전)</w:t>
            </w:r>
          </w:p>
        </w:tc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감가상각 포함 CAPEX 반영</w:t>
            </w:r>
          </w:p>
        </w:tc>
      </w:tr>
      <w:tr>
        <w:tc>
          <w:tcPr>
            <w:tcW w:type="dxa" w:w="19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공동식사</w:t>
            </w:r>
          </w:p>
        </w:tc>
        <w:tc>
          <w:tcPr>
            <w:tcW w:type="dxa" w:w="50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스마트팜 자급(목표 30%↑) + 로컬푸드, 1일 3식+간식, 영양사 식단·맞춤식</w:t>
            </w:r>
          </w:p>
        </w:tc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공동식사는 고독사 조기발견·세대교류의 핵심</w:t>
            </w:r>
          </w:p>
        </w:tc>
      </w:tr>
      <w:tr>
        <w:tc>
          <w:tcPr>
            <w:tcW w:type="dxa" w:w="19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안전·비상</w:t>
            </w:r>
          </w:p>
        </w:tc>
        <w:tc>
          <w:tcPr>
            <w:tcW w:type="dxa" w:w="50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공용 CCTV(개인동의)·비상호출·AED·연 2회 화재대피훈련·폭설 등 재해 대비</w:t>
            </w:r>
          </w:p>
        </w:tc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3단계 AI 관제로 고도화(실무계획서 12장)</w:t>
            </w:r>
          </w:p>
        </w:tc>
      </w:tr>
    </w:tbl>
    <w:p>
      <w:pPr>
        <w:pStyle w:val="Heading2"/>
      </w:pPr>
      <w:r>
        <w:t xml:space="preserve">6.3  시장 대비 가격 포지셔닝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동일 가치를 제공하는 시설과 비교하면 본 모델의 비용 경쟁력이 명확합니다. 아이들과 함께, 반려견과 함께, 자연 속에서, 생애 끝까지 함께하는 모델은 시장에 존재하지 않습니다.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900"/>
        <w:gridCol w:w="2300"/>
        <w:gridCol w:w="2860"/>
      </w:tblGrid>
      <w:tr>
        <w:trPr>
          <w:tblHeader/>
        </w:trPr>
        <w:tc>
          <w:tcPr>
            <w:tcW w:type="dxa" w:w="2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시설 유형</w:t>
            </w:r>
          </w:p>
        </w:tc>
        <w:tc>
          <w:tcPr>
            <w:tcW w:type="dxa" w:w="19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보증금</w:t>
            </w:r>
          </w:p>
        </w:tc>
        <w:tc>
          <w:tcPr>
            <w:tcW w:type="dxa" w:w="2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월 비용</w:t>
            </w:r>
          </w:p>
        </w:tc>
        <w:tc>
          <w:tcPr>
            <w:tcW w:type="dxa" w:w="28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특징</w:t>
            </w:r>
          </w:p>
        </w:tc>
      </w:tr>
      <w:tr>
        <w:tc>
          <w:tcPr>
            <w:tcW w:type="dxa" w:w="2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민간 노인요양원</w:t>
            </w:r>
          </w:p>
        </w:tc>
        <w:tc>
          <w:tcPr>
            <w:tcW w:type="dxa" w:w="19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없음</w:t>
            </w:r>
          </w:p>
        </w:tc>
        <w:tc>
          <w:tcPr>
            <w:tcW w:type="dxa" w:w="2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200~400만원</w:t>
            </w:r>
          </w:p>
        </w:tc>
        <w:tc>
          <w:tcPr>
            <w:tcW w:type="dxa" w:w="28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의료·식사 포함, 돌봄 일방향</w:t>
            </w:r>
          </w:p>
        </w:tc>
      </w:tr>
      <w:tr>
        <w:tc>
          <w:tcPr>
            <w:tcW w:type="dxa" w:w="2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고급 실버타운(수도권)</w:t>
            </w:r>
          </w:p>
        </w:tc>
        <w:tc>
          <w:tcPr>
            <w:tcW w:type="dxa" w:w="19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5,000만~2억</w:t>
            </w:r>
          </w:p>
        </w:tc>
        <w:tc>
          <w:tcPr>
            <w:tcW w:type="dxa" w:w="2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300~600만원</w:t>
            </w:r>
          </w:p>
        </w:tc>
        <w:tc>
          <w:tcPr>
            <w:tcW w:type="dxa" w:w="28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자연환경·프로그램, 돌봄 분리</w:t>
            </w:r>
          </w:p>
        </w:tc>
      </w:tr>
      <w:tr>
        <w:tc>
          <w:tcPr>
            <w:tcW w:type="dxa" w:w="2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유료 노인복지주택(지방)</w:t>
            </w:r>
          </w:p>
        </w:tc>
        <w:tc>
          <w:tcPr>
            <w:tcW w:type="dxa" w:w="19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1,000~5,000만</w:t>
            </w:r>
          </w:p>
        </w:tc>
        <w:tc>
          <w:tcPr>
            <w:tcW w:type="dxa" w:w="2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50~150만원</w:t>
            </w:r>
          </w:p>
        </w:tc>
        <w:tc>
          <w:tcPr>
            <w:tcW w:type="dxa" w:w="28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식사 별도, 단순 주거</w:t>
            </w:r>
          </w:p>
        </w:tc>
      </w:tr>
      <w:tr>
        <w:tc>
          <w:tcPr>
            <w:tcW w:type="dxa" w:w="2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귀촌 공동주거</w:t>
            </w:r>
          </w:p>
        </w:tc>
        <w:tc>
          <w:tcPr>
            <w:tcW w:type="dxa" w:w="19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2,000~5,000만</w:t>
            </w:r>
          </w:p>
        </w:tc>
        <w:tc>
          <w:tcPr>
            <w:tcW w:type="dxa" w:w="2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50~100만원</w:t>
            </w:r>
          </w:p>
        </w:tc>
        <w:tc>
          <w:tcPr>
            <w:tcW w:type="dxa" w:w="28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돌봄 없음</w:t>
            </w:r>
          </w:p>
        </w:tc>
      </w:tr>
      <w:tr>
        <w:tc>
          <w:tcPr>
            <w:tcW w:type="dxa" w:w="2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rPr>
                <w:b/>
                <w:bCs/>
              </w:rPr>
              <w:t xml:space="preserve">자연돌봄공동체</w:t>
            </w:r>
          </w:p>
        </w:tc>
        <w:tc>
          <w:tcPr>
            <w:tcW w:type="dxa" w:w="19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rPr>
                <w:b/>
                <w:bCs/>
              </w:rPr>
              <w:t xml:space="preserve">2,000만원</w:t>
            </w:r>
          </w:p>
        </w:tc>
        <w:tc>
          <w:tcPr>
            <w:tcW w:type="dxa" w:w="2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rPr>
                <w:b/>
                <w:bCs/>
              </w:rPr>
              <w:t xml:space="preserve">170만원 (코인 시 실질↓)</w:t>
            </w:r>
          </w:p>
        </w:tc>
        <w:tc>
          <w:tcPr>
            <w:tcW w:type="dxa" w:w="28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rPr>
                <w:b/>
                <w:bCs/>
              </w:rPr>
              <w:t xml:space="preserve">식사3끼+의료+오중돌봄+소득기회+생애동행</w:t>
            </w:r>
          </w:p>
        </w:tc>
      </w:tr>
    </w:tbl>
    <w:p>
      <w:pPr>
        <w:pStyle w:val="Heading2"/>
      </w:pPr>
      <w:r>
        <w:t xml:space="preserve">6.4  보증금·월 분담금의 산정 근거 — ‘이윤이 아니라 필요 실비’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이 공동체는 이윤을 추구하지 않는다. 따라서 입주보증금과 월 분담금은 ‘받을 수 있는 최대’가 아니라 ‘운영에 꼭 필요한 실비’를 기준으로 산정한다 — 더 높일 이유도, 더 낮출 이유도 없는 ‘기본 생활의 실비’ 기준이다.</w:t>
      </w:r>
    </w:p>
    <w:p>
      <w:pPr>
        <w:pStyle w:val="Heading3"/>
      </w:pPr>
      <w:r>
        <w:t xml:space="preserve">월 170만원 — ALL-IN 실비 분해 (개념)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170만원 ALL-IN 구성</w:t>
            </w:r>
          </w:p>
        </w:tc>
        <w:tc>
          <w:tcPr>
            <w:tcW w:type="dxa" w:w="5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개념 원가(월)</w:t>
            </w:r>
          </w:p>
        </w:tc>
      </w:tr>
      <w:tr>
        <w:tc>
          <w:tcPr>
            <w:tcW w:type="dxa" w:w="4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공동식당 식사 (3끼+간식)</w:t>
            </w:r>
          </w:p>
        </w:tc>
        <w:tc>
          <w:tcPr>
            <w:tcW w:type="dxa" w:w="5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약 50~60만원 (외부 식비 시장가 환산)</w:t>
            </w:r>
          </w:p>
        </w:tc>
      </w:tr>
      <w:tr>
        <w:tc>
          <w:tcPr>
            <w:tcW w:type="dxa" w:w="4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무장애 주거 관리·공과·유지</w:t>
            </w:r>
          </w:p>
        </w:tc>
        <w:tc>
          <w:tcPr>
            <w:tcW w:type="dxa" w:w="5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약 30~40만원</w:t>
            </w:r>
          </w:p>
        </w:tc>
      </w:tr>
      <w:tr>
        <w:tc>
          <w:tcPr>
            <w:tcW w:type="dxa" w:w="4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1차 상호돌봄·의료 연계</w:t>
            </w:r>
          </w:p>
        </w:tc>
        <w:tc>
          <w:tcPr>
            <w:tcW w:type="dxa" w:w="5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약 20만원</w:t>
            </w:r>
          </w:p>
        </w:tc>
      </w:tr>
      <w:tr>
        <w:tc>
          <w:tcPr>
            <w:tcW w:type="dxa" w:w="4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공동시설 운영·프로그램·차량</w:t>
            </w:r>
          </w:p>
        </w:tc>
        <w:tc>
          <w:tcPr>
            <w:tcW w:type="dxa" w:w="5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약 20만원</w:t>
            </w:r>
          </w:p>
        </w:tc>
      </w:tr>
      <w:tr>
        <w:tc>
          <w:tcPr>
            <w:tcW w:type="dxa" w:w="4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예비·시설 감가·수선충당</w:t>
            </w:r>
          </w:p>
        </w:tc>
        <w:tc>
          <w:tcPr>
            <w:tcW w:type="dxa" w:w="5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약 20만원</w:t>
            </w:r>
          </w:p>
        </w:tc>
      </w:tr>
      <w:tr>
        <w:tc>
          <w:tcPr>
            <w:tcW w:type="dxa" w:w="4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rPr>
                <w:b/>
                <w:bCs/>
              </w:rPr>
              <w:t xml:space="preserve">합계 (실비)</w:t>
            </w:r>
          </w:p>
        </w:tc>
        <w:tc>
          <w:tcPr>
            <w:tcW w:type="dxa" w:w="5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rPr>
                <w:b/>
                <w:bCs/>
              </w:rPr>
              <w:t xml:space="preserve">약 150~160만원 — 170만원은 실비에 최소 예비를 더한 수준(이윤 아님)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8F5E9" w:sz="4"/>
              <w:left w:val="single" w:color="2E7D32" w:sz="18"/>
              <w:bottom w:val="single" w:color="E8F5E9" w:sz="4"/>
              <w:right w:val="single" w:color="E8F5E9" w:sz="4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r>
              <w:t xml:space="preserve">170만원은 시장(실버타운 300~600만·요양원 200~400만) 대비 낮으며, 돌봄코인 참여 시 실질 부담은 약 70~100만원으로 더 낮아집니다. ‘필요한 만큼만’ 원칙의 결과입니다.</w:t>
            </w:r>
          </w:p>
        </w:tc>
      </w:tr>
    </w:tbl>
    <w:p>
      <w:pPr>
        <w:pStyle w:val="Heading3"/>
      </w:pPr>
      <w:r>
        <w:t xml:space="preserve">보증금 2,000만원 — 주거 원가 분담 근거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근거</w:t>
            </w:r>
          </w:p>
        </w:tc>
        <w:tc>
          <w:tcPr>
            <w:tcW w:type="dxa" w:w="7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주거 원가 대비</w:t>
            </w:r>
          </w:p>
        </w:tc>
        <w:tc>
          <w:tcPr>
            <w:tcW w:type="dxa" w:w="7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12평 독립주거동 신축 원가 ≈ 평당 360만원 × 12평 = 약 4,320만원/호 + 공동시설 분담. 보증금 2,000만원은 그 원가의 절반 이하만 입주자가 분담하고, 나머지는 공공보조·ESG·잉여금으로 충당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성격</w:t>
            </w:r>
          </w:p>
        </w:tc>
        <w:tc>
          <w:tcPr>
            <w:tcW w:type="dxa" w:w="7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퇴거 시 전액 반환되는 무이자 예치(개인 지분). 축적 자산이 아니라 ‘되돌려받는 시설 투자 분담’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취약계층</w:t>
            </w:r>
          </w:p>
        </w:tc>
        <w:tc>
          <w:tcPr>
            <w:tcW w:type="dxa" w:w="7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조합 기금·ESG 매칭으로 선대여 후 노동 상환 → 본인 부담 0원. 돈이 없어도 들어와 노동으로 갚는 구조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8F5E9" w:sz="4"/>
              <w:left w:val="single" w:color="2E7D32" w:sz="18"/>
              <w:bottom w:val="single" w:color="E8F5E9" w:sz="4"/>
              <w:right w:val="single" w:color="E8F5E9" w:sz="4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r>
              <w:rPr>
                <w:b/>
                <w:bCs/>
                <w:color w:val="1B5E20"/>
              </w:rPr>
              <w:t xml:space="preserve">결론 — </w:t>
            </w:r>
            <w:r>
              <w:t xml:space="preserve">2,000만원·170만원은 ‘이윤’이 아니라 ‘필요 실비의 합리적 하한’입니다. 돌봄코인·공단 급여(6.5)·취약계층 선대여로 실질 부담은 더 낮아집니다.</w:t>
            </w:r>
          </w:p>
        </w:tc>
      </w:tr>
    </w:tbl>
    <w:p>
      <w:pPr>
        <w:pStyle w:val="Heading2"/>
      </w:pPr>
      <w:r>
        <w:t xml:space="preserve">6.5  건강·돌봄 필요에 따른 입주 분담 차등 — 독립생활형·경증요양형·중증케어형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모든 입주자에게 같은 금액을 받을 필요는 없습니다. 돌봄이 필요한 입주자는 국민건강보험공단의 장기요양 급여가 비용의 상당분을 충당하므로 개인 분담금은 오히려 낮아집니다. 이는 생애동행(건강할 때 → 돌봄이 필요할 때)과 연동되며, 새로 합류하는 돌봄 필요자에게도 동일하게 적용됩니다.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360"/>
        <w:gridCol w:w="1300"/>
        <w:gridCol w:w="1900"/>
        <w:gridCol w:w="1300"/>
        <w:gridCol w:w="1300"/>
      </w:tblGrid>
      <w:tr>
        <w:trPr>
          <w:tblHeader/>
        </w:trPr>
        <w:tc>
          <w:tcPr>
            <w:tcW w:type="dxa" w:w="1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입주유형</w:t>
            </w:r>
          </w:p>
        </w:tc>
        <w:tc>
          <w:tcPr>
            <w:tcW w:type="dxa" w:w="2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대상 (건강·장기요양 등급)</w:t>
            </w:r>
          </w:p>
        </w:tc>
        <w:tc>
          <w:tcPr>
            <w:tcW w:type="dxa" w:w="1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개인 월 분담금</w:t>
            </w:r>
          </w:p>
        </w:tc>
        <w:tc>
          <w:tcPr>
            <w:tcW w:type="dxa" w:w="19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공단 급여(개념)</w:t>
            </w:r>
          </w:p>
        </w:tc>
        <w:tc>
          <w:tcPr>
            <w:tcW w:type="dxa" w:w="1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시설 총수입/월</w:t>
            </w:r>
          </w:p>
        </w:tc>
        <w:tc>
          <w:tcPr>
            <w:tcW w:type="dxa" w:w="1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보증금</w:t>
            </w:r>
          </w:p>
        </w:tc>
      </w:tr>
      <w:tr>
        <w:tc>
          <w:tcPr>
            <w:tcW w:type="dxa" w:w="1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독립생활형</w:t>
            </w:r>
          </w:p>
        </w:tc>
        <w:tc>
          <w:tcPr>
            <w:tcW w:type="dxa" w:w="2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건강·활동 (핵심·파트너세대)</w:t>
            </w:r>
          </w:p>
        </w:tc>
        <w:tc>
          <w:tcPr>
            <w:tcW w:type="dxa" w:w="1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170만원</w:t>
            </w:r>
          </w:p>
        </w:tc>
        <w:tc>
          <w:tcPr>
            <w:tcW w:type="dxa" w:w="19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없음</w:t>
            </w:r>
          </w:p>
        </w:tc>
        <w:tc>
          <w:tcPr>
            <w:tcW w:type="dxa" w:w="1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약 170만원</w:t>
            </w:r>
          </w:p>
        </w:tc>
        <w:tc>
          <w:tcPr>
            <w:tcW w:type="dxa" w:w="1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2,000만원</w:t>
            </w:r>
          </w:p>
        </w:tc>
      </w:tr>
      <w:tr>
        <w:tc>
          <w:tcPr>
            <w:tcW w:type="dxa" w:w="1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경증요양형</w:t>
            </w:r>
          </w:p>
        </w:tc>
        <w:tc>
          <w:tcPr>
            <w:tcW w:type="dxa" w:w="2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장기요양 4~5등급</w:t>
            </w:r>
          </w:p>
        </w:tc>
        <w:tc>
          <w:tcPr>
            <w:tcW w:type="dxa" w:w="1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약 90만원</w:t>
            </w:r>
          </w:p>
        </w:tc>
        <w:tc>
          <w:tcPr>
            <w:tcW w:type="dxa" w:w="19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재가/시설급여 ~140만원</w:t>
            </w:r>
          </w:p>
        </w:tc>
        <w:tc>
          <w:tcPr>
            <w:tcW w:type="dxa" w:w="1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약 230만원</w:t>
            </w:r>
          </w:p>
        </w:tc>
        <w:tc>
          <w:tcPr>
            <w:tcW w:type="dxa" w:w="1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1,000만원</w:t>
            </w:r>
          </w:p>
        </w:tc>
      </w:tr>
      <w:tr>
        <w:tc>
          <w:tcPr>
            <w:tcW w:type="dxa" w:w="1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중증케어형</w:t>
            </w:r>
          </w:p>
        </w:tc>
        <w:tc>
          <w:tcPr>
            <w:tcW w:type="dxa" w:w="2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장기요양 1~3등급</w:t>
            </w:r>
          </w:p>
        </w:tc>
        <w:tc>
          <w:tcPr>
            <w:tcW w:type="dxa" w:w="1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약 60만원</w:t>
            </w:r>
          </w:p>
        </w:tc>
        <w:tc>
          <w:tcPr>
            <w:tcW w:type="dxa" w:w="19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급여 ~190~251만원</w:t>
            </w:r>
          </w:p>
        </w:tc>
        <w:tc>
          <w:tcPr>
            <w:tcW w:type="dxa" w:w="1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약 250~310만원</w:t>
            </w:r>
          </w:p>
        </w:tc>
        <w:tc>
          <w:tcPr>
            <w:tcW w:type="dxa" w:w="1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500만원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8F5E9" w:sz="4"/>
              <w:left w:val="single" w:color="2E7D32" w:sz="18"/>
              <w:bottom w:val="single" w:color="E8F5E9" w:sz="4"/>
              <w:right w:val="single" w:color="E8F5E9" w:sz="4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r>
              <w:rPr>
                <w:b/>
                <w:bCs/>
                <w:color w:val="1B5E20"/>
              </w:rPr>
              <w:t xml:space="preserve">핵심 시사점 — </w:t>
            </w:r>
            <w:r>
              <w:t xml:space="preserve">돌봄 필요가 커질수록 개인 부담은 줄고(공단 급여가 메움) 시설 총수입은 늘어납니다. 고령화·돌봄수요 증가는 재무 리스크가 아니라 구조적 수입원입니다. 어떤 경우에도 비용을 이유로 한 강제 퇴거는 없으며, 부족분은 공익기금이 지원합니다.</w:t>
            </w:r>
          </w:p>
        </w:tc>
      </w:tr>
    </w:tbl>
    <w:p>
      <w:pPr>
        <w:spacing w:after="120" w:before="40" w:line="276"/>
      </w:pPr>
      <w:r>
        <w:rPr>
          <w:b w:val="false"/>
          <w:bCs w:val="false"/>
          <w:i w:val="false"/>
          <w:iCs w:val="false"/>
        </w:rPr>
        <w:t xml:space="preserve">※ 공단 급여 수치는 백서 11.3의 재가급여 범위(월 140만~251만, 등급별)에 근거한 개념값이며, 정확한 금액은 등급 판정·급여 고시에 따른다. 유형 전환(예: 독립생활형→경증요양형) 시 보증금 차액은 14일 내 현금 반환한다.</w:t>
      </w:r>
    </w:p>
    <w:p>
      <w:pPr>
        <w:pStyle w:val="Heading2"/>
      </w:pPr>
      <w:r>
        <w:t xml:space="preserve">6.6  순환경제 — 버리는 것이 없는 공동체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공동체는 자원을 버리지 않고 순환시켜 비용을 줄이고 환경 가치를 만든다. 이 순환 활동 자체가 돌봄코인 적립 대상이 된다.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자원</w:t>
            </w:r>
          </w:p>
        </w:tc>
        <w:tc>
          <w:tcPr>
            <w:tcW w:type="dxa" w:w="7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순환 방식</w:t>
            </w:r>
          </w:p>
        </w:tc>
      </w:tr>
      <w:tr>
        <w:tc>
          <w:tcPr>
            <w:tcW w:type="dxa" w:w="2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음식물·잔반</w:t>
            </w:r>
          </w:p>
        </w:tc>
        <w:tc>
          <w:tcPr>
            <w:tcW w:type="dxa" w:w="7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퇴비화 → 텃밭·스마트팜 비료로 환원</w:t>
            </w:r>
          </w:p>
        </w:tc>
      </w:tr>
      <w:tr>
        <w:tc>
          <w:tcPr>
            <w:tcW w:type="dxa" w:w="2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전정·간벌 부산물</w:t>
            </w:r>
          </w:p>
        </w:tc>
        <w:tc>
          <w:tcPr>
            <w:tcW w:type="dxa" w:w="7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우드칩·바이오차·표고 재배 배지로 활용</w:t>
            </w:r>
          </w:p>
        </w:tc>
      </w:tr>
      <w:tr>
        <w:tc>
          <w:tcPr>
            <w:tcW w:type="dxa" w:w="2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폐목재</w:t>
            </w:r>
          </w:p>
        </w:tc>
        <w:tc>
          <w:tcPr>
            <w:tcW w:type="dxa" w:w="7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가구공방 자재로 재사용</w:t>
            </w:r>
          </w:p>
        </w:tc>
      </w:tr>
      <w:tr>
        <w:tc>
          <w:tcPr>
            <w:tcW w:type="dxa" w:w="2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스마트팜 양액·물</w:t>
            </w:r>
          </w:p>
        </w:tc>
        <w:tc>
          <w:tcPr>
            <w:tcW w:type="dxa" w:w="7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순환 공급으로 물·양분 손실 최소화</w:t>
            </w:r>
          </w:p>
        </w:tc>
      </w:tr>
      <w:tr>
        <w:tc>
          <w:tcPr>
            <w:tcW w:type="dxa" w:w="2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에너지</w:t>
            </w:r>
          </w:p>
        </w:tc>
        <w:tc>
          <w:tcPr>
            <w:tcW w:type="dxa" w:w="7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태양광·ESS로 단지 전력 자립, 잉여는 판매(REC)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제7장  잉여금 공동체 환원 정책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8F5E9" w:sz="4"/>
              <w:left w:val="single" w:color="2E7D32" w:sz="18"/>
              <w:bottom w:val="single" w:color="E8F5E9" w:sz="4"/>
              <w:right w:val="single" w:color="E8F5E9" w:sz="4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r>
              <w:rPr>
                <w:b/>
                <w:bCs/>
                <w:color w:val="1B5E20"/>
              </w:rPr>
              <w:t xml:space="preserve">이 공동체는 돈을 많이 벌기 위해 존재하지 않습니다. </w:t>
            </w:r>
            <w:r>
              <w:t xml:space="preserve">발생한 모든 순이익은 개인에게 배당되어 유출되지 않고, 공동체 구성원·아동·노인·유기견·자연에게 환원되며 다음 공동체의 씨앗이 됩니다. (백서 헌장 제5조 비소유·제6조 세대계승 정합)</w:t>
            </w:r>
          </w:p>
        </w:tc>
      </w:tr>
    </w:tbl>
    <w:p>
      <w:pPr>
        <w:pStyle w:val="Heading2"/>
      </w:pPr>
      <w:r>
        <w:t xml:space="preserve">7.1  잉여금 배분 5대 원칙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  <w:i w:val="false"/>
          <w:iCs w:val="false"/>
        </w:rPr>
        <w:t xml:space="preserve">이윤 최소화 — </w:t>
      </w:r>
      <w:r>
        <w:rPr>
          <w:b w:val="false"/>
          <w:bCs w:val="false"/>
          <w:i w:val="false"/>
          <w:iCs w:val="false"/>
        </w:rPr>
        <w:t xml:space="preserve">목적은 지속가능한 운영이지 이익 축적이 아니다. 순이익의 대부분을 공동체와 확산에 사용한다.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  <w:i w:val="false"/>
          <w:iCs w:val="false"/>
        </w:rPr>
        <w:t xml:space="preserve">공동체 우선 — </w:t>
      </w:r>
      <w:r>
        <w:rPr>
          <w:b w:val="false"/>
          <w:bCs w:val="false"/>
          <w:i w:val="false"/>
          <w:iCs w:val="false"/>
        </w:rPr>
        <w:t xml:space="preserve">잉여금의 가장 큰 몫은 현재 공동체 구성원과 돌봄 대상(노인·아동·유기견·자연)에게 환원한다.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  <w:i w:val="false"/>
          <w:iCs w:val="false"/>
        </w:rPr>
        <w:t xml:space="preserve">확산 책임 — </w:t>
      </w:r>
      <w:r>
        <w:rPr>
          <w:b w:val="false"/>
          <w:bCs w:val="false"/>
          <w:i w:val="false"/>
          <w:iCs w:val="false"/>
        </w:rPr>
        <w:t xml:space="preserve">전국 확산은 정부·지자체 자금이 주도하고, 공동체는 시드머니와 노하우만 제공한다.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  <w:i w:val="false"/>
          <w:iCs w:val="false"/>
        </w:rPr>
        <w:t xml:space="preserve">투명 공개 — </w:t>
      </w:r>
      <w:r>
        <w:rPr>
          <w:b w:val="false"/>
          <w:bCs w:val="false"/>
          <w:i w:val="false"/>
          <w:iCs w:val="false"/>
        </w:rPr>
        <w:t xml:space="preserve">배분 결과를 연 1회 조합원·대중에게 전면 공개한다.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  <w:i w:val="false"/>
          <w:iCs w:val="false"/>
        </w:rPr>
        <w:t xml:space="preserve">민주 결정 — </w:t>
      </w:r>
      <w:r>
        <w:rPr>
          <w:b w:val="false"/>
          <w:bCs w:val="false"/>
          <w:i w:val="false"/>
          <w:iCs w:val="false"/>
        </w:rPr>
        <w:t xml:space="preserve">배분 비율은 총회·운영위 공동 결의로 정하며, 어느 한쪽이 단독 결정하지 않는다.</w:t>
      </w:r>
    </w:p>
    <w:p>
      <w:pPr>
        <w:pStyle w:val="Heading2"/>
      </w:pPr>
      <w:r>
        <w:t xml:space="preserve">7.2  잉여금 배분 구조 (개념)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500"/>
        <w:gridCol w:w="5760"/>
      </w:tblGrid>
      <w:tr>
        <w:trPr>
          <w:tblHeader/>
        </w:trPr>
        <w:tc>
          <w:tcPr>
            <w:tcW w:type="dxa" w:w="21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구분</w:t>
            </w:r>
          </w:p>
        </w:tc>
        <w:tc>
          <w:tcPr>
            <w:tcW w:type="dxa" w:w="1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비율(개념)</w:t>
            </w:r>
          </w:p>
        </w:tc>
        <w:tc>
          <w:tcPr>
            <w:tcW w:type="dxa" w:w="5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사용처</w:t>
            </w:r>
          </w:p>
        </w:tc>
      </w:tr>
      <w:tr>
        <w:tc>
          <w:tcPr>
            <w:tcW w:type="dxa" w:w="21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공동체 환원</w:t>
            </w:r>
          </w:p>
        </w:tc>
        <w:tc>
          <w:tcPr>
            <w:tcW w:type="dxa" w:w="1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약 75%</w:t>
            </w:r>
          </w:p>
        </w:tc>
        <w:tc>
          <w:tcPr>
            <w:tcW w:type="dxa" w:w="5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구성원 돌봄 질·식자재·의료 고도화 / 아동 자립·장학 / 유기견 동물복지 / 산림·생태 복원 / 공동체 결속 프로그램</w:t>
            </w:r>
          </w:p>
        </w:tc>
      </w:tr>
      <w:tr>
        <w:tc>
          <w:tcPr>
            <w:tcW w:type="dxa" w:w="21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전국 확산 기금</w:t>
            </w:r>
          </w:p>
        </w:tc>
        <w:tc>
          <w:tcPr>
            <w:tcW w:type="dxa" w:w="1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약 15%</w:t>
            </w:r>
          </w:p>
        </w:tc>
        <w:tc>
          <w:tcPr>
            <w:tcW w:type="dxa" w:w="5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타 지자체 2호 공동체 설립 시드머니(나머지는 지자체·정부 조달)</w:t>
            </w:r>
          </w:p>
        </w:tc>
      </w:tr>
      <w:tr>
        <w:tc>
          <w:tcPr>
            <w:tcW w:type="dxa" w:w="21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비상 준비금</w:t>
            </w:r>
          </w:p>
        </w:tc>
        <w:tc>
          <w:tcPr>
            <w:tcW w:type="dxa" w:w="1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약 10%</w:t>
            </w:r>
          </w:p>
        </w:tc>
        <w:tc>
          <w:tcPr>
            <w:tcW w:type="dxa" w:w="5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목표액 적립 후 적립 중단 → 이후 100% 환원으로 전환</w:t>
            </w:r>
          </w:p>
        </w:tc>
      </w:tr>
    </w:tbl>
    <w:p>
      <w:pPr>
        <w:pStyle w:val="Heading3"/>
      </w:pPr>
      <w:r>
        <w:t xml:space="preserve">7.3  공동체 환원 75% 세부 (개념 배분)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100"/>
        <w:gridCol w:w="6160"/>
      </w:tblGrid>
      <w:tr>
        <w:trPr>
          <w:tblHeader/>
        </w:trPr>
        <w:tc>
          <w:tcPr>
            <w:tcW w:type="dxa" w:w="21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수혜 대상</w:t>
            </w:r>
          </w:p>
        </w:tc>
        <w:tc>
          <w:tcPr>
            <w:tcW w:type="dxa" w:w="11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비중</w:t>
            </w:r>
          </w:p>
        </w:tc>
        <w:tc>
          <w:tcPr>
            <w:tcW w:type="dxa" w:w="6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구체적 사용처</w:t>
            </w:r>
          </w:p>
        </w:tc>
      </w:tr>
      <w:tr>
        <w:tc>
          <w:tcPr>
            <w:tcW w:type="dxa" w:w="21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구성원(노인 포함)</w:t>
            </w:r>
          </w:p>
        </w:tc>
        <w:tc>
          <w:tcPr>
            <w:tcW w:type="dxa" w:w="11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25%</w:t>
            </w:r>
          </w:p>
        </w:tc>
        <w:tc>
          <w:tcPr>
            <w:tcW w:type="dxa" w:w="6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돌봄코인 가치 물가연동 / 식재료 품질 향상 / 전문의 방문 확대 / 분담금 인하 검토</w:t>
            </w:r>
          </w:p>
        </w:tc>
      </w:tr>
      <w:tr>
        <w:tc>
          <w:tcPr>
            <w:tcW w:type="dxa" w:w="21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보호 아동</w:t>
            </w:r>
          </w:p>
        </w:tc>
        <w:tc>
          <w:tcPr>
            <w:tcW w:type="dxa" w:w="11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20%</w:t>
            </w:r>
          </w:p>
        </w:tc>
        <w:tc>
          <w:tcPr>
            <w:tcW w:type="dxa" w:w="6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자립·장학 기금 / 교육환경·IT / 지역학교 연계 / 청년 인턴 처우</w:t>
            </w:r>
          </w:p>
        </w:tc>
      </w:tr>
      <w:tr>
        <w:tc>
          <w:tcPr>
            <w:tcW w:type="dxa" w:w="21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보호 유기견</w:t>
            </w:r>
          </w:p>
        </w:tc>
        <w:tc>
          <w:tcPr>
            <w:tcW w:type="dxa" w:w="11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10%</w:t>
            </w:r>
          </w:p>
        </w:tc>
        <w:tc>
          <w:tcPr>
            <w:tcW w:type="dxa" w:w="6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수의료 고도화 / 생활환경 개선 / 안락사 없는 공동체</w:t>
            </w:r>
          </w:p>
        </w:tc>
      </w:tr>
      <w:tr>
        <w:tc>
          <w:tcPr>
            <w:tcW w:type="dxa" w:w="21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자연·생태</w:t>
            </w:r>
          </w:p>
        </w:tc>
        <w:tc>
          <w:tcPr>
            <w:tcW w:type="dxa" w:w="11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15%</w:t>
            </w:r>
          </w:p>
        </w:tc>
        <w:tc>
          <w:tcPr>
            <w:tcW w:type="dxa" w:w="6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산림 생태복원 / 임산물 시설 / 탄소흡수원 관리 / 추모 정원</w:t>
            </w:r>
          </w:p>
        </w:tc>
      </w:tr>
      <w:tr>
        <w:tc>
          <w:tcPr>
            <w:tcW w:type="dxa" w:w="21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공동체 결속</w:t>
            </w:r>
          </w:p>
        </w:tc>
        <w:tc>
          <w:tcPr>
            <w:tcW w:type="dxa" w:w="11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5%</w:t>
            </w:r>
          </w:p>
        </w:tc>
        <w:tc>
          <w:tcPr>
            <w:tcW w:type="dxa" w:w="6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계절 의례 / 지역 교류 / 공동 여행 / 문화 아카이빙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8F5E9" w:sz="4"/>
              <w:left w:val="single" w:color="2E7D32" w:sz="18"/>
              <w:bottom w:val="single" w:color="E8F5E9" w:sz="4"/>
              <w:right w:val="single" w:color="E8F5E9" w:sz="4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r>
              <w:rPr>
                <w:b/>
                <w:bCs/>
                <w:color w:val="1B5E20"/>
              </w:rPr>
              <w:t xml:space="preserve">공동체가 축적하는 ‘이익’ = 0원. </w:t>
            </w:r>
            <w:r>
              <w:t xml:space="preserve">모든 수입은 운영 원가 + 비상금 적립 + 확산 투자 + 공동체 환원으로 전액 사용됩니다. 이것이 비영리 공동체의 본래 모습입니다.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제8장  인재 파이프라인 — 공동체가 스스로 인재를 키운다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‘세대순환형 인재 양성 경로’는 백서 4장(세대순환)·8.8(세대계승)·18.5(다음 세대)와 정확히 맞물리는 핵심 지속가능성 장치입니다. 오늘의 아동·청년이 내일의 핵심세대로 성장하여 공동체를 이어받습니다.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300"/>
        <w:gridCol w:w="3700"/>
        <w:gridCol w:w="2660"/>
      </w:tblGrid>
      <w:tr>
        <w:trPr>
          <w:tblHeader/>
        </w:trPr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단계</w:t>
            </w:r>
          </w:p>
        </w:tc>
        <w:tc>
          <w:tcPr>
            <w:tcW w:type="dxa" w:w="1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연령</w:t>
            </w:r>
          </w:p>
        </w:tc>
        <w:tc>
          <w:tcPr>
            <w:tcW w:type="dxa" w:w="3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핵심 내용</w:t>
            </w:r>
          </w:p>
        </w:tc>
        <w:tc>
          <w:tcPr>
            <w:tcW w:type="dxa" w:w="26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공동체 효과</w:t>
            </w:r>
          </w:p>
        </w:tc>
      </w:tr>
      <w:tr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마을학교</w:t>
            </w:r>
          </w:p>
        </w:tc>
        <w:tc>
          <w:tcPr>
            <w:tcW w:type="dxa" w:w="1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0~17세</w:t>
            </w:r>
          </w:p>
        </w:tc>
        <w:tc>
          <w:tcPr>
            <w:tcW w:type="dxa" w:w="3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스마트팜·돌봄·에너지·6차산업 생활 실습, 노인↔아동 세대교류 수업</w:t>
            </w:r>
          </w:p>
        </w:tc>
        <w:tc>
          <w:tcPr>
            <w:tcW w:type="dxa" w:w="26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기초 역량·정체성 형성</w:t>
            </w:r>
          </w:p>
        </w:tc>
      </w:tr>
      <w:tr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유급 인턴</w:t>
            </w:r>
          </w:p>
        </w:tc>
        <w:tc>
          <w:tcPr>
            <w:tcW w:type="dxa" w:w="1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18~22세</w:t>
            </w:r>
          </w:p>
        </w:tc>
        <w:tc>
          <w:tcPr>
            <w:tcW w:type="dxa" w:w="3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단지 내 유급 인턴십(전 부서 로테이션), 자격증 2~3개 취득</w:t>
            </w:r>
          </w:p>
        </w:tc>
        <w:tc>
          <w:tcPr>
            <w:tcW w:type="dxa" w:w="26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청년 자립 기반</w:t>
            </w:r>
          </w:p>
        </w:tc>
      </w:tr>
      <w:tr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정규 크루</w:t>
            </w:r>
          </w:p>
        </w:tc>
        <w:tc>
          <w:tcPr>
            <w:tcW w:type="dxa" w:w="1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22~26세</w:t>
            </w:r>
          </w:p>
        </w:tc>
        <w:tc>
          <w:tcPr>
            <w:tcW w:type="dxa" w:w="3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스마트팜·돌봄·교육·사회적기업 정규 채용, 현장 숙련</w:t>
            </w:r>
          </w:p>
        </w:tc>
        <w:tc>
          <w:tcPr>
            <w:tcW w:type="dxa" w:w="26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공동체 운영 동력</w:t>
            </w:r>
          </w:p>
        </w:tc>
      </w:tr>
      <w:tr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차세대 핵심</w:t>
            </w:r>
          </w:p>
        </w:tc>
        <w:tc>
          <w:tcPr>
            <w:tcW w:type="dxa" w:w="1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26세~</w:t>
            </w:r>
          </w:p>
        </w:tc>
        <w:tc>
          <w:tcPr>
            <w:tcW w:type="dxa" w:w="3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사회적기업 창업·운영 주도, 후배 멘토링, 2호 공동체 파견</w:t>
            </w:r>
          </w:p>
        </w:tc>
        <w:tc>
          <w:tcPr>
            <w:tcW w:type="dxa" w:w="26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핵심세대 세대계승 완성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8F5E9" w:sz="4"/>
              <w:left w:val="single" w:color="2E7D32" w:sz="18"/>
              <w:bottom w:val="single" w:color="E8F5E9" w:sz="4"/>
              <w:right w:val="single" w:color="E8F5E9" w:sz="4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r>
              <w:t xml:space="preserve">핵심세대(55~65세 장년)가 평생의 전문성을 청년·아동에게 전수하고, 그 청년이 다시 핵심세대로 성장해 다음 세대를 키운다 — 인재 파이프라인은 ‘대한민국 장년층이 대한민국을 새롭게 만든다’는 선언을 한 세대 안에서 완결시키는 장치입니다.</w:t>
            </w:r>
          </w:p>
        </w:tc>
      </w:tr>
    </w:tbl>
    <w:p>
      <w:pPr>
        <w:pStyle w:val="Heading3"/>
      </w:pPr>
      <w:r>
        <w:t xml:space="preserve">아동의 존엄한 자립 — ‘18세 자동 퇴소’는 없다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공동체에서 성장한 아동은 성인이 되어도 수단처럼 내보내지 않는다. 만 18세 일률 퇴소를 폐지하고 본인이 진로를 선택한다 — 사회 진출, 공동체 잔류(요양보조·스마트팜·교육 등 로테이션), 이후 재합류가 모두 가능하다. 고교 2학년 말 예비 상담을 거쳐 졸업 전 최종 선택을 확정한다.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항목</w:t>
            </w:r>
          </w:p>
        </w:tc>
        <w:tc>
          <w:tcPr>
            <w:tcW w:type="dxa" w:w="6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내용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아동 자립 기금</w:t>
            </w:r>
          </w:p>
        </w:tc>
        <w:tc>
          <w:tcPr>
            <w:tcW w:type="dxa" w:w="6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연간 순이익의 약 1%를 별도 적립해 자립지원금·대학 장학으로 사용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세대통합 비율</w:t>
            </w:r>
          </w:p>
        </w:tc>
        <w:tc>
          <w:tcPr>
            <w:tcW w:type="dxa" w:w="6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그룹홈 밀착 양육은 성인 3명당 아동 1명(1/3 원칙)으로 유지해 세대교류를 보장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제9장  전국 확산 재원 레버리지 모델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확산은 별도의 목표가 아니라 한 공동체가 충분히 성숙했을 때 따라오는 결과입니다(백서 18.2). 다만 그 재원 구조는 명확합니다 — 공동체는 모든 단지를 직접 만들지 않습니다. 씨앗 하나를 심으면 정부와 지자체가 물을 주고, 새 공동체가 열매를 맺습니다.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700"/>
        <w:gridCol w:w="3760"/>
      </w:tblGrid>
      <w:tr>
        <w:trPr>
          <w:tblHeader/>
        </w:trPr>
        <w:tc>
          <w:tcPr>
            <w:tcW w:type="dxa" w:w="19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구분</w:t>
            </w:r>
          </w:p>
        </w:tc>
        <w:tc>
          <w:tcPr>
            <w:tcW w:type="dxa" w:w="3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재원 조달</w:t>
            </w:r>
          </w:p>
        </w:tc>
        <w:tc>
          <w:tcPr>
            <w:tcW w:type="dxa" w:w="3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공동체 역할</w:t>
            </w:r>
          </w:p>
        </w:tc>
      </w:tr>
      <w:tr>
        <w:tc>
          <w:tcPr>
            <w:tcW w:type="dxa" w:w="19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1호(실증)</w:t>
            </w:r>
          </w:p>
        </w:tc>
        <w:tc>
          <w:tcPr>
            <w:tcW w:type="dxa" w:w="3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공동체 + 정부·지자체 (민간 소액 : 공공 다수)</w:t>
            </w:r>
          </w:p>
        </w:tc>
        <w:tc>
          <w:tcPr>
            <w:tcW w:type="dxa" w:w="3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사업계획·설계·운영 노하우 제공, 정부지원 신청 주도</w:t>
            </w:r>
          </w:p>
        </w:tc>
      </w:tr>
      <w:tr>
        <w:tc>
          <w:tcPr>
            <w:tcW w:type="dxa" w:w="19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2호 이후(복제)</w:t>
            </w:r>
          </w:p>
        </w:tc>
        <w:tc>
          <w:tcPr>
            <w:tcW w:type="dxa" w:w="3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해당 지자체·광역도·정부 80~90% : 공동체 10~20%</w:t>
            </w:r>
          </w:p>
        </w:tc>
        <w:tc>
          <w:tcPr>
            <w:tcW w:type="dxa" w:w="3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표준 매뉴얼 제공, 시드머니 1~5억, 운영 노하우 교육</w:t>
            </w:r>
          </w:p>
        </w:tc>
      </w:tr>
      <w:tr>
        <w:tc>
          <w:tcPr>
            <w:tcW w:type="dxa" w:w="19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다수 확산</w:t>
            </w:r>
          </w:p>
        </w:tc>
        <w:tc>
          <w:tcPr>
            <w:tcW w:type="dxa" w:w="3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지자체·정부 95%+ : 공동체 5%</w:t>
            </w:r>
          </w:p>
        </w:tc>
        <w:tc>
          <w:tcPr>
            <w:tcW w:type="dxa" w:w="3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브랜드·매뉴얼·감리만 제공, 별도 재정 지원 불필요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8F5E9" w:sz="4"/>
              <w:left w:val="single" w:color="2E7D32" w:sz="18"/>
              <w:bottom w:val="single" w:color="E8F5E9" w:sz="4"/>
              <w:right w:val="single" w:color="E8F5E9" w:sz="4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r>
              <w:rPr>
                <w:b/>
                <w:bCs/>
                <w:color w:val="1B5E20"/>
              </w:rPr>
              <w:t xml:space="preserve">레버리지 원리 — </w:t>
            </w:r>
            <w:r>
              <w:t xml:space="preserve">공동체가 1억을 지원하면 지자체·정부가 20~50억을 투입합니다. 희소 자원은 ‘돈’이 아니라 검증된 ‘운영 노하우’이며, 그것이 확산의 속도를 결정합니다.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제10장  대정부 정책·법령 개선 제언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자연돌봄공동체 모델을 전국으로 확산하고 안정적 재원을 확보하기 위한 법·제도 개선 제언입니다. 백서 13장(정부지원·공공재원)과 연결됩니다.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360"/>
        <w:gridCol w:w="2800"/>
      </w:tblGrid>
      <w:tr>
        <w:trPr>
          <w:tblHeader/>
        </w:trP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법령</w:t>
            </w:r>
          </w:p>
        </w:tc>
        <w:tc>
          <w:tcPr>
            <w:tcW w:type="dxa" w:w="4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개선 제언</w:t>
            </w:r>
          </w:p>
        </w:tc>
        <w:tc>
          <w:tcPr>
            <w:tcW w:type="dxa" w:w="2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기대 효과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저출산·고령사회기본법</w:t>
            </w:r>
          </w:p>
        </w:tc>
        <w:tc>
          <w:tcPr>
            <w:tcW w:type="dxa" w:w="4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세대공존형 자연돌봄공동체 지원 근거 신설</w:t>
            </w:r>
          </w:p>
        </w:tc>
        <w:tc>
          <w:tcPr>
            <w:tcW w:type="dxa" w:w="2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법적 근거 → 예산 안정 배정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노인복지법</w:t>
            </w:r>
          </w:p>
        </w:tc>
        <w:tc>
          <w:tcPr>
            <w:tcW w:type="dxa" w:w="4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공동체 내 생애말기 돌봄 시 장기요양 급여 가산·호스피스 특례</w:t>
            </w:r>
          </w:p>
        </w:tc>
        <w:tc>
          <w:tcPr>
            <w:tcW w:type="dxa" w:w="2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존엄한 생애동행 국가 지원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아동복지법</w:t>
            </w:r>
          </w:p>
        </w:tc>
        <w:tc>
          <w:tcPr>
            <w:tcW w:type="dxa" w:w="4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세대공존 돌봄센터 보육·위탁비 국가 지원 확대</w:t>
            </w:r>
          </w:p>
        </w:tc>
        <w:tc>
          <w:tcPr>
            <w:tcW w:type="dxa" w:w="2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아동 위탁 안정화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동물보호법</w:t>
            </w:r>
          </w:p>
        </w:tc>
        <w:tc>
          <w:tcPr>
            <w:tcW w:type="dxa" w:w="4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민간 공동체 유기견 보호를 공공보호소에 준해 지원</w:t>
            </w:r>
          </w:p>
        </w:tc>
        <w:tc>
          <w:tcPr>
            <w:tcW w:type="dxa" w:w="2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수의비 절감·안락사 감소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국토계획법·폐교활용특별법</w:t>
            </w:r>
          </w:p>
        </w:tc>
        <w:tc>
          <w:tcPr>
            <w:tcW w:type="dxa" w:w="4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자연돌봄공동체 부지 사회복지특구 지정 / 폐교 수의계약 대부 확대</w:t>
            </w:r>
          </w:p>
        </w:tc>
        <w:tc>
          <w:tcPr>
            <w:tcW w:type="dxa" w:w="2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부지 확보 용이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제11장  대외 심사 방어 전략</w:t>
      </w:r>
    </w:p>
    <w:p>
      <w:pPr>
        <w:pStyle w:val="Heading2"/>
      </w:pPr>
      <w:r>
        <w:t xml:space="preserve">11.1  조합원 탈퇴 및 보증금 반환 프로토콜 (Exit)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항목</w:t>
            </w:r>
          </w:p>
        </w:tc>
        <w:tc>
          <w:tcPr>
            <w:tcW w:type="dxa" w:w="6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내용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대체매칭 반환제</w:t>
            </w:r>
          </w:p>
        </w:tc>
        <w:tc>
          <w:tcPr>
            <w:tcW w:type="dxa" w:w="6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단순 변심 탈퇴 시, 보증금(2,000만원)은 ‘대체 입주조합원 매칭 완료 및 신규 보증금 입금 직후 14일 이내’ 반환 — 기성 자본 급격 이탈 방지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연간 즉시반환 한도</w:t>
            </w:r>
          </w:p>
        </w:tc>
        <w:tc>
          <w:tcPr>
            <w:tcW w:type="dxa" w:w="6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인도적 사유(사망 등) 즉시 반환은 씨앗기 연 4,000만원(2명분), 안정기 연 1억원(5명분)으로 제한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리펀드 버퍼 계좌</w:t>
            </w:r>
          </w:p>
        </w:tc>
        <w:tc>
          <w:tcPr>
            <w:tcW w:type="dxa" w:w="6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초기 수납 보증금 총액의 5%는 ‘반환유보금’으로 상시 격리 — 시설투자금 전용 절대 금지</w:t>
            </w:r>
          </w:p>
        </w:tc>
      </w:tr>
    </w:tbl>
    <w:p>
      <w:pPr>
        <w:pStyle w:val="Heading2"/>
      </w:pPr>
      <w:r>
        <w:t xml:space="preserve">11.2  지역 원주민 민원(NIMBY) 예방 및 상생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항목</w:t>
            </w:r>
          </w:p>
        </w:tc>
        <w:tc>
          <w:tcPr>
            <w:tcW w:type="dxa" w:w="6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내용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하드웨어 차단</w:t>
            </w:r>
          </w:p>
        </w:tc>
        <w:tc>
          <w:tcPr>
            <w:tcW w:type="dxa" w:w="6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도그센터 3중 흡음재+음압 공조, 가구공방 고성능 집진설비 — 소음·악취·분진 원천 차단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경제적 상생</w:t>
            </w:r>
          </w:p>
        </w:tc>
        <w:tc>
          <w:tcPr>
            <w:tcW w:type="dxa" w:w="6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공동식당 식자재 40%↑를 면 원주민 농가에서 시중가 +5%로 정기 수매 / 원주민 노인 주 1회 무료 물리치료·건강돌봄</w:t>
            </w:r>
          </w:p>
        </w:tc>
      </w:tr>
    </w:tbl>
    <w:p>
      <w:pPr>
        <w:spacing w:after="120" w:before="40" w:line="276"/>
      </w:pPr>
      <w:r>
        <w:rPr>
          <w:b w:val="false"/>
          <w:bCs w:val="false"/>
          <w:i w:val="false"/>
          <w:iCs w:val="false"/>
        </w:rPr>
        <w:t xml:space="preserve">이는 실무 실행계획서 5장 ‘원주민 상생 3대 규칙’(상생급식·공동보육·의료재능기부)과 같은 방향으로, 1단계부터 일관 적용됩니다.</w:t>
      </w:r>
    </w:p>
    <w:p>
      <w:pPr>
        <w:pStyle w:val="Heading2"/>
      </w:pPr>
      <w:r>
        <w:t xml:space="preserve">11.3  5대 사회적기업 초기 판로(Go-To-Market)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방안</w:t>
            </w:r>
          </w:p>
        </w:tc>
        <w:tc>
          <w:tcPr>
            <w:tcW w:type="dxa" w:w="6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내용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민간 캡티브 마켓 선점</w:t>
            </w:r>
          </w:p>
        </w:tc>
        <w:tc>
          <w:tcPr>
            <w:tcW w:type="dxa" w:w="6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파트너 기업 CSR 협약 기반 임직원 복지포인트몰에 ‘자연돌봄 유기농 꾸러미’ 입점 → 가동 첫 달 목표 구독자의 60% 고정매출 선확보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공공조달 시장 수주</w:t>
            </w:r>
          </w:p>
        </w:tc>
        <w:tc>
          <w:tcPr>
            <w:tcW w:type="dxa" w:w="6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1년 차 내 ‘예비사회적기업’ 지정 → 지자체 수의계약(취약계층 고용률 30%+ 시 건당 최대 5,000만원) 활용, 군청 발주 목재가공·공공벤치 납품</w:t>
            </w:r>
          </w:p>
        </w:tc>
      </w:tr>
    </w:tbl>
    <w:p>
      <w:pPr>
        <w:pStyle w:val="Heading2"/>
      </w:pPr>
      <w:r>
        <w:t xml:space="preserve">11.4  교육청 미활용 폐교 대부 — 법적 근거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근거</w:t>
            </w:r>
          </w:p>
        </w:tc>
        <w:tc>
          <w:tcPr>
            <w:tcW w:type="dxa" w:w="6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내용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수의계약 특례</w:t>
            </w:r>
          </w:p>
        </w:tc>
        <w:tc>
          <w:tcPr>
            <w:tcW w:type="dxa" w:w="6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「폐교재산의 활용촉진에 관한 특별법」 제5조 및 시행령 제3조 — 지자체장 추천 사회적협동조합은 미활용 폐교를 경쟁입찰 없이 수의계약으로 대부 가능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대부료 감면</w:t>
            </w:r>
          </w:p>
        </w:tc>
        <w:tc>
          <w:tcPr>
            <w:tcW w:type="dxa" w:w="6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지역소멸 대응·취약계층 돌봄 목적 활용 시 공유재산 관리조례상 대부료 요율을 최하 기준(1~2.5%)으로 감면 → 고정비 최소화</w:t>
            </w:r>
          </w:p>
        </w:tc>
      </w:tr>
    </w:tbl>
    <w:p>
      <w:r>
        <w:br w:type="page"/>
      </w:r>
    </w:p>
    <w:p>
      <w:pPr>
        <w:pStyle w:val="Heading2"/>
      </w:pPr>
      <w:r>
        <w:t xml:space="preserve">11.5  치유농업 — 6차산업 수익과 가족 체험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스마트팜·농업경영체가 사회적기업으로 전환할 때, 6차산업으로 ‘치유농업’을 함께 사업화한다(치유농업사 자격을 갖춘 조합원이 운영). 산림치유와 병행해 원예·텃밭·수확 등 농업의 치유 효과를 프로그램화하여 도시민·기업 대상 수익을 만든다.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구분</w:t>
            </w:r>
          </w:p>
        </w:tc>
        <w:tc>
          <w:tcPr>
            <w:tcW w:type="dxa" w:w="7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운영 범위</w:t>
            </w:r>
          </w:p>
        </w:tc>
        <w:tc>
          <w:tcPr>
            <w:tcW w:type="dxa" w:w="7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거주 공동체에 혼란을 주지 않도록 공간·시간을 분리해 운영. 모범 공동체로 자리잡는 정도에서 점진 활성화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수익</w:t>
            </w:r>
          </w:p>
        </w:tc>
        <w:tc>
          <w:tcPr>
            <w:tcW w:type="dxa" w:w="7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치유농업 체험·프로그램 + 임산물·농산물 연계 — 산림치유와 함께 6차산업 핵심 수익원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관계인구·입주 유도</w:t>
            </w:r>
          </w:p>
        </w:tc>
        <w:tc>
          <w:tcPr>
            <w:tcW w:type="dxa" w:w="7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입주 조합원의 가족이 체험으로 방문 → 공동체 소속 욕구를 불러일으켜 신규 조합원·관계인구 유입 경로가 된다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근거·자격</w:t>
            </w:r>
          </w:p>
        </w:tc>
        <w:tc>
          <w:tcPr>
            <w:tcW w:type="dxa" w:w="7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치유농업 연구개발 및 육성에 관한 법률 / 농촌진흥청 치유농업 육성 / 치유농업사 국가자격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결론  하나의 논리로 이어지는 재무 모델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백서의 철학(비소유·세대계승) → 실무 실행계획서의 시간순 실행 → 본 사업계획서의 재무 모델까지, 하나의 논리로 이어집니다.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500"/>
        <w:gridCol w:w="3660"/>
      </w:tblGrid>
      <w:tr>
        <w:trPr>
          <w:tblHeader/>
        </w:trP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단계</w:t>
            </w:r>
          </w:p>
        </w:tc>
        <w:tc>
          <w:tcPr>
            <w:tcW w:type="dxa" w:w="3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규모</w:t>
            </w:r>
          </w:p>
        </w:tc>
        <w:tc>
          <w:tcPr>
            <w:tcW w:type="dxa" w:w="36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핵심 재무 지표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씨앗기</w:t>
            </w:r>
          </w:p>
        </w:tc>
        <w:tc>
          <w:tcPr>
            <w:tcW w:type="dxa" w:w="3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2명 선행 → 20명</w:t>
            </w:r>
          </w:p>
        </w:tc>
        <w:tc>
          <w:tcPr>
            <w:tcW w:type="dxa" w:w="36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연간 ±0 (보증금 락킹 방어)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성장기</w:t>
            </w:r>
          </w:p>
        </w:tc>
        <w:tc>
          <w:tcPr>
            <w:tcW w:type="dxa" w:w="3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20명 BEP → 30명 가동</w:t>
            </w:r>
          </w:p>
        </w:tc>
        <w:tc>
          <w:tcPr>
            <w:tcW w:type="dxa" w:w="36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연간 +12,400만원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완성기</w:t>
            </w:r>
          </w:p>
        </w:tc>
        <w:tc>
          <w:tcPr>
            <w:tcW w:type="dxa" w:w="3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100명 안착 → 200명</w:t>
            </w:r>
          </w:p>
        </w:tc>
        <w:tc>
          <w:tcPr>
            <w:tcW w:type="dxa" w:w="36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연간 +7,800만원 (재단 기금 유보)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8F5E9" w:sz="4"/>
              <w:left w:val="single" w:color="2E7D32" w:sz="18"/>
              <w:bottom w:val="single" w:color="E8F5E9" w:sz="4"/>
              <w:right w:val="single" w:color="E8F5E9" w:sz="4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r>
              <w:t xml:space="preserve">돌봄코인은 화폐가 아닌 기여기록 수단이라는 원칙을 지키면서도, 그 기록이 실제로 분담금 차감이라는 현금흐름 효과를 만들어내는 구조 — 그리고 발생한 잉여금이 개인이 아닌 공동체와 다음 세대로 환원되는 구조가 이 모델의 핵심입니다.</w:t>
            </w:r>
          </w:p>
        </w:tc>
      </w:tr>
    </w:tbl>
    <w:p>
      <w:pPr>
        <w:spacing w:after="200"/>
      </w:pPr>
    </w:p>
    <w:p>
      <w:pPr>
        <w:spacing w:after="30" w:before="0" w:line="276"/>
        <w:jc w:val="center"/>
      </w:pPr>
      <w:r>
        <w:rPr>
          <w:b w:val="false"/>
          <w:bCs w:val="false"/>
          <w:i w:val="false"/>
          <w:iCs w:val="false"/>
          <w:color w:val="555555"/>
        </w:rPr>
        <w:t xml:space="preserve">2026년   |   자연돌봄공동체 사회적협동조합 설립 준비위원회</w:t>
      </w:r>
    </w:p>
    <w:p>
      <w:pPr>
        <w:spacing w:after="120" w:before="0" w:line="276"/>
        <w:jc w:val="center"/>
      </w:pPr>
      <w:r>
        <w:rPr>
          <w:b w:val="false"/>
          <w:bCs w:val="false"/>
          <w:i w:val="false"/>
          <w:iCs w:val="false"/>
          <w:color w:val="555555"/>
        </w:rPr>
        <w:t xml:space="preserve">대표  이 상 석    ☎ 010-2521-2030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E6C9" w:sz="4" w:space="6"/>
      </w:pBdr>
      <w:jc w:val="center"/>
    </w:pPr>
    <w:r>
      <w:rPr>
        <w:color w:val="888888"/>
        <w:sz w:val="16"/>
        <w:szCs w:val="16"/>
      </w:rPr>
      <w:t xml:space="preserve">자연돌봄공동체 종합 사업계획서   |  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96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212121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120" w:before="120"/>
      <w:jc w:val="center"/>
    </w:pPr>
    <w:rPr>
      <w:rFonts w:ascii="맑은 고딕" w:cs="맑은 고딕" w:eastAsia="맑은 고딕" w:hAnsi="맑은 고딕"/>
      <w:b/>
      <w:bCs/>
      <w:color w:val="1B5E20"/>
      <w:sz w:val="54"/>
      <w:szCs w:val="54"/>
    </w:rPr>
  </w:style>
  <w:style w:type="paragraph" w:styleId="Heading1">
    <w:name w:val="Heading 1"/>
    <w:basedOn w:val="Normal"/>
    <w:next w:val="Normal"/>
    <w:qFormat/>
    <w:pPr>
      <w:pBdr>
        <w:bottom w:val="single" w:color="1B5E20" w:sz="6" w:space="2"/>
      </w:pBdr>
      <w:shd w:fill="2E7D32" w:val="clear"/>
      <w:spacing w:after="160" w:before="320"/>
      <w:outlineLvl w:val="0"/>
    </w:pPr>
    <w:rPr>
      <w:rFonts w:ascii="맑은 고딕" w:cs="맑은 고딕" w:eastAsia="맑은 고딕" w:hAnsi="맑은 고딕"/>
      <w:b/>
      <w:bCs/>
      <w:color w:val="FFFFFF"/>
      <w:sz w:val="29"/>
      <w:szCs w:val="29"/>
    </w:rPr>
  </w:style>
  <w:style w:type="paragraph" w:styleId="Heading2">
    <w:name w:val="Heading 2"/>
    <w:basedOn w:val="Normal"/>
    <w:next w:val="Normal"/>
    <w:qFormat/>
    <w:pPr>
      <w:pBdr>
        <w:bottom w:val="single" w:color="C8E6C9" w:sz="4" w:space="2"/>
      </w:pBdr>
      <w:spacing w:after="100" w:before="240"/>
      <w:outlineLvl w:val="1"/>
    </w:pPr>
    <w:rPr>
      <w:rFonts w:ascii="맑은 고딕" w:cs="맑은 고딕" w:eastAsia="맑은 고딕" w:hAnsi="맑은 고딕"/>
      <w:b/>
      <w:bCs/>
      <w:color w:val="1B5E20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color w:val="43A047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2026-06-16T07:51:42.499Z</dcterms:created>
  <dcterms:modified xsi:type="dcterms:W3CDTF">2026-06-16T07:51:42.499Z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