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0"/>
        <w:jc w:val="center"/>
      </w:pPr>
      <w:r>
        <w:rPr>
          <w:b/>
          <w:bCs/>
          <w:color w:val="43A047"/>
          <w:sz w:val="22"/>
          <w:szCs w:val="22"/>
        </w:rPr>
        <w:t>노인·아동·장애인·자연·동물이 공존하는 세대순환형 상호돌봄 공동체</w:t>
      </w:r>
    </w:p>
    <w:p>
      <w:pPr>
        <w:spacing w:after="40"/>
        <w:jc w:val="center"/>
      </w:pPr>
      <w:r>
        <w:rPr>
          <w:b/>
          <w:bCs/>
          <w:color w:val="1B5E20"/>
          <w:sz w:val="28"/>
          <w:szCs w:val="28"/>
        </w:rPr>
        <w:t xml:space="preserve">자연돌봄공동체</w:t>
      </w:r>
    </w:p>
    <w:p>
      <w:pPr>
        <w:pStyle w:val="Title"/>
      </w:pPr>
      <w:r>
        <w:t xml:space="preserve">ESG 파트너십 제안서</w:t>
      </w:r>
    </w:p>
    <w:p>
      <w:pPr>
        <w:spacing w:after="200"/>
        <w:jc w:val="center"/>
      </w:pPr>
      <w:r>
        <w:rPr>
          <w:b/>
          <w:bCs/>
          <w:color w:val="1B5E20"/>
          <w:sz w:val="24"/>
          <w:szCs w:val="24"/>
        </w:rPr>
        <w:t xml:space="preserve">키움증권그룹 귀중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5E9" w:sz="4"/>
              <w:left w:val="single" w:color="2E7D32" w:sz="18"/>
              <w:bottom w:val="single" w:color="E8F5E9" w:sz="4"/>
              <w:right w:val="single" w:color="E8F5E9" w:sz="4"/>
            </w:tcBorders>
            <w:shd w:fill="E8F5E9" w:val="clear"/>
            <w:tcMar>
              <w:top w:type="dxa" w:w="120"/>
              <w:left w:type="dxa" w:w="200"/>
              <w:bottom w:type="dxa" w:w="120"/>
              <w:right w:type="dxa" w:w="160"/>
            </w:tcMar>
          </w:tcPr>
          <w:p>
            <w:r>
              <w:t>본 제안은 일회성 기부금에 의존하는 복지가 아닙니다. 도시에서 검증된 유능한 장년·시니어층이 공동체 운동의 주력이 되어 청년 창업을 지원하고, 미활용 공간 자산을 결합하여 노인·아동·장애인·유기견·자연이 하나의 구조 안에서 서로를 치유하는 ‘세대순환형 상호돌봄 공동체’를 구축하는 프로젝트입니다. 키움증권그룹의 ‘키움과나눔’ 정신과 임팩트투자 역량이 결합되는 지점을 제안드립니다.</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제안 개요</w:t>
            </w:r>
          </w:p>
        </w:tc>
        <w:tc>
          <w:tcPr>
            <w:tcW w:type="dxa" w:w="67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내용</w:t>
            </w:r>
          </w:p>
        </w:tc>
      </w:tr>
      <w:tr>
        <w:tc>
          <w:tcPr>
            <w:tcW w:type="dxa" w:w="26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제안 기관</w:t>
            </w:r>
          </w:p>
        </w:tc>
        <w:tc>
          <w:tcPr>
            <w:tcW w:type="dxa" w:w="67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자연돌봄공동체 사회적협동조합 설립 준비위원회 / 대표 이상석</w:t>
            </w:r>
          </w:p>
        </w:tc>
      </w:tr>
      <w:tr>
        <w:tc>
          <w:tcPr>
            <w:tcW w:type="dxa" w:w="26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수신</w:t>
            </w:r>
          </w:p>
        </w:tc>
        <w:tc>
          <w:tcPr>
            <w:tcW w:type="dxa" w:w="67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키움증권 대표이사 / ESG위원회 · ESG 추진팀 / 예강희망키움재단 귀중</w:t>
            </w:r>
          </w:p>
        </w:tc>
      </w:tr>
      <w:tr>
        <w:tc>
          <w:tcPr>
            <w:tcW w:type="dxa" w:w="26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키움 맞춤 우선순위</w:t>
            </w:r>
          </w:p>
        </w:tc>
        <w:tc>
          <w:tcPr>
            <w:tcW w:type="dxa" w:w="67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① 임팩트투자 → ② CSR(키움과나눔 연계) → ③ REC 구매 → ④ 스마트팜 매입</w:t>
            </w:r>
          </w:p>
        </w:tc>
      </w:tr>
      <w:tr>
        <w:tc>
          <w:tcPr>
            <w:tcW w:type="dxa" w:w="26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연계 효과</w:t>
            </w:r>
          </w:p>
        </w:tc>
        <w:tc>
          <w:tcPr>
            <w:tcW w:type="dxa" w:w="67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S: 청소년·아동·장애인 자립 / G: 임팩트투자·투명 거버넌스 / E: 신재생·탄소중립 실증</w:t>
            </w:r>
          </w:p>
        </w:tc>
      </w:tr>
    </w:tbl>
    <w:p>
      <w:r>
        <w:br w:type="page"/>
      </w:r>
    </w:p>
    <w:p>
      <w:pPr>
        <w:pStyle w:val="Heading1"/>
      </w:pPr>
      <w:r>
        <w:t xml:space="preserve">키움증권그룹 맞춤 — 왜 자연돌봄공동체인가</w:t>
      </w:r>
    </w:p>
    <w:p>
      <w:pPr>
        <w:spacing w:after="120" w:before="0" w:line="276"/>
      </w:pPr>
      <w:r>
        <w:rPr>
          <w:b w:val="false"/>
          <w:bCs w:val="false"/>
          <w:i w:val="false"/>
          <w:iCs w:val="false"/>
        </w:rPr>
        <w:t xml:space="preserve">키움증권그룹의 ESG·사회공헌 방향과 자연돌봄공동체는 세 지점에서 정확히 맞물립니다.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키움의 강점</w:t>
            </w:r>
          </w:p>
        </w:tc>
        <w:tc>
          <w:tcPr>
            <w:tcW w:type="dxa" w:w="63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자연돌봄공동체와의 정합</w:t>
            </w:r>
          </w:p>
        </w:tc>
      </w:tr>
      <w:tr>
        <w:tc>
          <w:tcPr>
            <w:tcW w:type="dxa" w:w="30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사회공헌단 ‘키움과나눔’ — 청소년·장애인·저소득층 지원</w:t>
            </w:r>
          </w:p>
        </w:tc>
        <w:tc>
          <w:tcPr>
            <w:tcW w:type="dxa" w:w="63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공동체의 아동 그룹홈(청소년)·장애인 자립 작업장·저소득 취약계층 상생 입주가 그 목적사업을 ‘공간’으로 영속 구현 — 일회성 기부를 넘어선 상시 복지 거점</w:t>
            </w:r>
          </w:p>
        </w:tc>
      </w:tr>
      <w:tr>
        <w:tc>
          <w:tcPr>
            <w:tcW w:type="dxa" w:w="30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증권·금융 본업 = 투자 역량</w:t>
            </w:r>
          </w:p>
        </w:tc>
        <w:tc>
          <w:tcPr>
            <w:tcW w:type="dxa" w:w="63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사회적협동조합 출자형 ‘임팩트투자’로 본업과 직결 — 사회적 가치와 재무 안정성을 함께 보고 가능</w:t>
            </w:r>
          </w:p>
        </w:tc>
      </w:tr>
      <w:tr>
        <w:tc>
          <w:tcPr>
            <w:tcW w:type="dxa" w:w="30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ESG위원회·ESG 추진팀 거버넌스</w:t>
            </w:r>
          </w:p>
        </w:tc>
        <w:tc>
          <w:tcPr>
            <w:tcW w:type="dxa" w:w="63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비영리 사협의 공익성 + 독립 사회적기업 구조로 기금 집행의 투명성을 보장 — 증권사가 가장 중시하는 거버넌스 리스크 통제</w:t>
            </w:r>
          </w:p>
        </w:tc>
      </w:tr>
      <w:tr>
        <w:tc>
          <w:tcPr>
            <w:tcW w:type="dxa" w:w="30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그룹 공익재단 ‘예강희망키움재단’ (사재 605억 환원·2025 출범)</w:t>
            </w:r>
          </w:p>
        </w:tc>
        <w:tc>
          <w:tcPr>
            <w:tcW w:type="dxa" w:w="63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재단 3대 목적사업(취약계층 건강격차·교육격차 해소, 자립 위한 정신건강·정서안정, 재난 긴급지원)이 공동체의 아동 교육·노인 의료연계·장애인 자립·유기견 매개 정서치유와 거의 1:1로 정합 — 재단 목적사업의 ‘현장 실행처’</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5E9" w:sz="4"/>
              <w:left w:val="single" w:color="2E7D32" w:sz="18"/>
              <w:bottom w:val="single" w:color="E8F5E9" w:sz="4"/>
              <w:right w:val="single" w:color="E8F5E9" w:sz="4"/>
            </w:tcBorders>
            <w:shd w:fill="E8F5E9" w:val="clear"/>
            <w:tcMar>
              <w:top w:type="dxa" w:w="120"/>
              <w:left w:type="dxa" w:w="200"/>
              <w:bottom w:type="dxa" w:w="120"/>
              <w:right w:type="dxa" w:w="160"/>
            </w:tcMar>
          </w:tcPr>
          <w:p>
            <w:r>
              <w:rPr>
                <w:b/>
                <w:bCs/>
                <w:color w:val="1B5E20"/>
              </w:rPr>
              <w:t xml:space="preserve">한 줄 요약 — </w:t>
            </w:r>
            <w:r>
              <w:t xml:space="preserve">‘키움과나눔’이 매년 지원해 온 청소년·장애인·저소득층이, 자연돌봄공동체 안에서 한 마을의 일상으로 함께 살아갑니다. 키움은 그 마을의 임팩트투자 파트너이자 설계자가 됩니다.</w:t>
            </w:r>
          </w:p>
        </w:tc>
      </w:tr>
    </w:tbl>
    <w:p>
      <w:r>
        <w:br w:type="page"/>
      </w:r>
    </w:p>
    <w:p>
      <w:pPr>
        <w:pStyle w:val="Heading1"/>
      </w:pPr>
      <w:r>
        <w:t xml:space="preserve">제1장  공동체의 철학 — 귀농귀촌을 넘어선 ‘자립형 사회혁신 운동’</w:t>
      </w:r>
    </w:p>
    <w:p>
      <w:pPr>
        <w:spacing w:after="120" w:before="0" w:line="276"/>
      </w:pPr>
      <w:r>
        <w:rPr>
          <w:b w:val="false"/>
          <w:bCs w:val="false"/>
          <w:i w:val="false"/>
          <w:iCs w:val="false"/>
        </w:rPr>
        <w:t>기존의 사회공헌·농촌 복지는 일회성 자금 지급이나 시혜성 인프라에 그쳐, 자금이 끊기면 시스템이 멈추는 한계를 지녔습니다. 본 공동체 운동은 “소외 계층의 문제를 외부 의존 없이, 유입된 세대의 인적 자산과 민간 비즈니스 모델로 스스로 해결한다”는 방식의 전환을 지향합니다.</w:t>
      </w:r>
    </w:p>
    <w:p>
      <w:pPr>
        <w:spacing w:after="120" w:before="0" w:line="276"/>
      </w:pPr>
      <w:r>
        <w:rPr>
          <w:b w:val="false"/>
          <w:bCs w:val="false"/>
          <w:i w:val="false"/>
          <w:iCs w:val="false"/>
        </w:rPr>
        <w:t xml:space="preserve">30~40년간 도시에서 금융·건축·의료·교육·행정의 전문 경험을 닦은 유능한 장년·시니어층이 주역이 되어, 연륜과 청년의 혁신성을 융합해 복지의 공급자·수혜자 이분법을 깨고 모두가 서로를 돌보는 지속 가능한 소셜 플랫폼을 완성합니다.</w:t>
      </w:r>
    </w:p>
    <w:p>
      <w:pPr>
        <w:pStyle w:val="Heading1"/>
      </w:pPr>
      <w:r>
        <w:t xml:space="preserve">제2장  공간 원리 — 3대 자원의 유기적 융합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rPr>
          <w:tblHeader/>
        </w:trPr>
        <w:tc>
          <w:tcPr>
            <w:tcW w:type="dxa" w:w="12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축</w:t>
            </w:r>
          </w:p>
        </w:tc>
        <w:tc>
          <w:tcPr>
            <w:tcW w:type="dxa" w:w="22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거점</w:t>
            </w:r>
          </w:p>
        </w:tc>
        <w:tc>
          <w:tcPr>
            <w:tcW w:type="dxa" w:w="59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역할</w:t>
            </w:r>
          </w:p>
        </w:tc>
      </w:tr>
      <w:tr>
        <w:tc>
          <w:tcPr>
            <w:tcW w:type="dxa" w:w="1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1축 [심장]</w:t>
            </w:r>
          </w:p>
        </w:tc>
        <w:tc>
          <w:tcPr>
            <w:tcW w:type="dxa" w:w="2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돌봄·문화 거점</w:t>
            </w:r>
          </w:p>
        </w:tc>
        <w:tc>
          <w:tcPr>
            <w:tcW w:type="dxa" w:w="5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폐교를 배리어프리로 리모델링 → 공동식당·라운지·의무실·아동 그룹홈이 어우러진 세대 교류 거점</w:t>
            </w:r>
          </w:p>
        </w:tc>
      </w:tr>
      <w:tr>
        <w:tc>
          <w:tcPr>
            <w:tcW w:type="dxa" w:w="12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2축 [혈관]</w:t>
            </w:r>
          </w:p>
        </w:tc>
        <w:tc>
          <w:tcPr>
            <w:tcW w:type="dxa" w:w="22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생산·창업 거점</w:t>
            </w:r>
          </w:p>
        </w:tc>
        <w:tc>
          <w:tcPr>
            <w:tcW w:type="dxa" w:w="59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인근 유휴지에 ICT 스마트팜·친환경 가구/주택 기지 → 장년 경험·자본 + 청년 노동력으로 취약계층 일자리·경제 자립</w:t>
            </w:r>
          </w:p>
        </w:tc>
      </w:tr>
      <w:tr>
        <w:tc>
          <w:tcPr>
            <w:tcW w:type="dxa" w:w="1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3축 [몸통]</w:t>
            </w:r>
          </w:p>
        </w:tc>
        <w:tc>
          <w:tcPr>
            <w:tcW w:type="dxa" w:w="2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치유·생태 거점</w:t>
            </w:r>
          </w:p>
        </w:tc>
        <w:tc>
          <w:tcPr>
            <w:tcW w:type="dxa" w:w="5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인접 산림 연계 배리어프리 산림치유 숲길·유기견 매개 치유 존 → 전 세대 정서 치유 배후지</w:t>
            </w:r>
          </w:p>
        </w:tc>
      </w:tr>
    </w:tbl>
    <w:p>
      <w:pPr>
        <w:pStyle w:val="Heading1"/>
      </w:pPr>
      <w:r>
        <w:t>제3장  운영 원리 — 오중(五重) 상호돌봄 구조</w:t>
      </w:r>
    </w:p>
    <w:p>
      <w:pPr>
        <w:spacing w:after="120" w:before="0" w:line="276"/>
      </w:pPr>
      <w:r>
        <w:rPr>
          <w:b w:val="false"/>
          <w:bCs w:val="false"/>
          <w:i w:val="false"/>
          <w:iCs w:val="false"/>
        </w:rPr>
        <w:t xml:space="preserve">노인·아동·청년/장애인·유기견·자연이라는 다섯 주체가 일방적 수혜에 머물지 않고 서로를 치유하는 상호 고리를 완성합니다.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관계</w:t>
            </w:r>
          </w:p>
        </w:tc>
        <w:tc>
          <w:tcPr>
            <w:tcW w:type="dxa" w:w="73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상호 치유의 작동</w:t>
            </w:r>
          </w:p>
        </w:tc>
      </w:tr>
      <w:tr>
        <w:tc>
          <w:tcPr>
            <w:tcW w:type="dxa" w:w="20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① 노인 ↔ 유기견</w:t>
            </w:r>
          </w:p>
        </w:tc>
        <w:tc>
          <w:tcPr>
            <w:tcW w:type="dxa" w:w="73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안락사 위기 유기견 구조 → 시니어는 외로움 극복, 유기견은 ‘전문 치유견’으로 거듭남</w:t>
            </w:r>
          </w:p>
        </w:tc>
      </w:tr>
      <w:tr>
        <w:tc>
          <w:tcPr>
            <w:tcW w:type="dxa" w:w="20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② 아동 ↔ 장년·시니어</w:t>
            </w:r>
          </w:p>
        </w:tc>
        <w:tc>
          <w:tcPr>
            <w:tcW w:type="dxa" w:w="73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‘성인 3명당 아동 1명’ 밀착 양육 → 아이는 지혜·사랑으로 성장, 어르신은 존재 이유 회복</w:t>
            </w:r>
          </w:p>
        </w:tc>
      </w:tr>
      <w:tr>
        <w:tc>
          <w:tcPr>
            <w:tcW w:type="dxa" w:w="20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③ 장애인 ↔ 친환경 사업</w:t>
            </w:r>
          </w:p>
        </w:tc>
        <w:tc>
          <w:tcPr>
            <w:tcW w:type="dxa" w:w="73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발달장애 청년이 기술 전수받아 가구·주택 공정 참여 → 존엄한 자립 + 치유견 교감 재활</w:t>
            </w:r>
          </w:p>
        </w:tc>
      </w:tr>
      <w:tr>
        <w:tc>
          <w:tcPr>
            <w:tcW w:type="dxa" w:w="20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④ 자연 ↔ 전 세대</w:t>
            </w:r>
          </w:p>
        </w:tc>
        <w:tc>
          <w:tcPr>
            <w:tcW w:type="dxa" w:w="73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배리어프리 숲길로 평등한 휴식 / 산림 가꾸고 임산물 채취·가공하는 지속가능 경제 활동</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5E9" w:sz="4"/>
              <w:left w:val="single" w:color="2E7D32" w:sz="18"/>
              <w:bottom w:val="single" w:color="E8F5E9" w:sz="4"/>
              <w:right w:val="single" w:color="E8F5E9" w:sz="4"/>
            </w:tcBorders>
            <w:shd w:fill="E8F5E9" w:val="clear"/>
            <w:tcMar>
              <w:top w:type="dxa" w:w="120"/>
              <w:left w:type="dxa" w:w="200"/>
              <w:bottom w:type="dxa" w:w="120"/>
              <w:right w:type="dxa" w:w="160"/>
            </w:tcMar>
          </w:tcPr>
          <w:p>
            <w:r>
              <w:rPr>
                <w:b/>
                <w:bCs/>
                <w:color w:val="1B5E20"/>
              </w:rPr>
              <w:t xml:space="preserve">키움과나눔 정합 — </w:t>
            </w:r>
            <w:r>
              <w:t>‘키움과나눔’의 3대 지원 대상(청소년·장애인·저소득층)이 ②아동, ③장애인, 그리고 취약계층 상생 입주로 이 구조 안에 그대로 들어옵니다.</w:t>
            </w:r>
          </w:p>
        </w:tc>
      </w:tr>
    </w:tbl>
    <w:p>
      <w:r>
        <w:br w:type="page"/>
      </w:r>
    </w:p>
    <w:p>
      <w:pPr>
        <w:pStyle w:val="Heading1"/>
      </w:pPr>
      <w:r>
        <w:t xml:space="preserve">제4장  지배구조 — ‘상호의존적 독립 경영’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원칙</w:t>
            </w:r>
          </w:p>
        </w:tc>
        <w:tc>
          <w:tcPr>
            <w:tcW w:type="dxa" w:w="71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내용</w:t>
            </w:r>
          </w:p>
        </w:tc>
      </w:tr>
      <w:tr>
        <w:tc>
          <w:tcPr>
            <w:tcW w:type="dxa" w:w="2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상호의존과 자율성</w:t>
            </w:r>
          </w:p>
        </w:tc>
        <w:tc>
          <w:tcPr>
            <w:tcW w:type="dxa" w:w="71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사협은 마중물로 사회적기업에 일부 출자할 수 있으나 인사·경영권을 독점하지 않음. 각 사회적기업은 독립 법인</w:t>
            </w:r>
          </w:p>
        </w:tc>
      </w:tr>
      <w:tr>
        <w:tc>
          <w:tcPr>
            <w:tcW w:type="dxa" w:w="22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수익 쉐어·가치 환원</w:t>
            </w:r>
          </w:p>
        </w:tc>
        <w:tc>
          <w:tcPr>
            <w:tcW w:type="dxa" w:w="71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각 사회적기업은 수익 일부(영업이익 약 30%)를 사협과 쉐어 → 아동·노인 돌봄 등 공익 목적으로 환원</w:t>
            </w:r>
          </w:p>
        </w:tc>
      </w:tr>
      <w:tr>
        <w:tc>
          <w:tcPr>
            <w:tcW w:type="dxa" w:w="2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인적 자원 유연 교류</w:t>
            </w:r>
          </w:p>
        </w:tc>
        <w:tc>
          <w:tcPr>
            <w:tcW w:type="dxa" w:w="71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장년·시니어 조합원의 숙련 채용, 외부 전문가의 사회적기업 대표 파견 등 유기적 인적 시너지</w:t>
            </w:r>
          </w:p>
        </w:tc>
      </w:tr>
    </w:tbl>
    <w:p>
      <w:pPr>
        <w:pStyle w:val="Heading1"/>
      </w:pPr>
      <w:r>
        <w:t xml:space="preserve">제5장  E·S·G 협력 — 키움 맞춤</w:t>
      </w:r>
    </w:p>
    <w:p>
      <w:pPr>
        <w:pStyle w:val="Heading2"/>
      </w:pPr>
      <w:r>
        <w:t xml:space="preserve">5-1. Social (가장 강한 연결고리)</w:t>
      </w:r>
    </w:p>
    <w:p>
      <w:pPr>
        <w:pStyle w:val="ListParagraph"/>
        <w:numPr>
          <w:ilvl w:val="0"/>
          <w:numId w:val="2"/>
        </w:numPr>
        <w:spacing w:after="60" w:line="270"/>
      </w:pPr>
      <w:r>
        <w:rPr>
          <w:b/>
          <w:bCs/>
          <w:i w:val="false"/>
          <w:iCs w:val="false"/>
        </w:rPr>
        <w:t xml:space="preserve">‘키움과나눔’ 목적사업의 공간적 구현 — </w:t>
      </w:r>
      <w:r>
        <w:rPr>
          <w:b w:val="false"/>
          <w:bCs w:val="false"/>
          <w:i w:val="false"/>
          <w:iCs w:val="false"/>
        </w:rPr>
        <w:t xml:space="preserve">키움이 지원해 온 청소년·장애인·저소득층을 공동체 내 아동 그룹홈·장애인 자립 작업장·취약계층 상생 입주로 직접 매칭 → 일회성 기부를 넘어 영속적 복지 거점 확보.</w:t>
      </w:r>
    </w:p>
    <w:p>
      <w:pPr>
        <w:pStyle w:val="ListParagraph"/>
        <w:numPr>
          <w:ilvl w:val="0"/>
          <w:numId w:val="2"/>
        </w:numPr>
        <w:spacing w:after="60" w:line="270"/>
      </w:pPr>
      <w:r>
        <w:rPr>
          <w:b/>
          <w:bCs/>
          <w:i w:val="false"/>
          <w:iCs w:val="false"/>
        </w:rPr>
        <w:t xml:space="preserve">‘예강희망키움재단’ 목적사업의 현장 실행 — </w:t>
      </w:r>
      <w:r>
        <w:rPr>
          <w:b w:val="false"/>
          <w:bCs w:val="false"/>
          <w:i w:val="false"/>
          <w:iCs w:val="false"/>
        </w:rPr>
        <w:t xml:space="preserve">재단의 3대 목적(취약계층 건강·교육격차 해소, 자립 위한 정신건강·정서안정, 재난 긴급지원)이 공동체의 아동 교육·의료 연계·장애인 자립·유기견 매개 정서치유로 거의 1:1 구현됩니다.</w:t>
      </w:r>
    </w:p>
    <w:p>
      <w:pPr>
        <w:pStyle w:val="ListParagraph"/>
        <w:numPr>
          <w:ilvl w:val="0"/>
          <w:numId w:val="2"/>
        </w:numPr>
        <w:spacing w:after="60" w:line="270"/>
      </w:pPr>
      <w:r>
        <w:rPr>
          <w:b/>
          <w:bCs/>
          <w:i w:val="false"/>
          <w:iCs w:val="false"/>
        </w:rPr>
        <w:t xml:space="preserve">안정적 판로 연계(Captive Market) — </w:t>
      </w:r>
      <w:r>
        <w:rPr>
          <w:b w:val="false"/>
          <w:bCs w:val="false"/>
          <w:i w:val="false"/>
          <w:iCs w:val="false"/>
        </w:rPr>
        <w:t xml:space="preserve">공동체 생산 유기농 식자재·친환경 가구를 키움 임직원 복지몰·사내 조달로 연계 → 취약계층 일자리 간접 지원.</w:t>
      </w:r>
    </w:p>
    <w:p>
      <w:pPr>
        <w:pStyle w:val="Heading2"/>
      </w:pPr>
      <w:r>
        <w:t xml:space="preserve">5-2. Governance (증권사 핵심 관심)</w:t>
      </w:r>
    </w:p>
    <w:p>
      <w:pPr>
        <w:pStyle w:val="ListParagraph"/>
        <w:numPr>
          <w:ilvl w:val="0"/>
          <w:numId w:val="2"/>
        </w:numPr>
        <w:spacing w:after="60" w:line="270"/>
      </w:pPr>
      <w:r>
        <w:rPr>
          <w:b/>
          <w:bCs/>
          <w:i w:val="false"/>
          <w:iCs w:val="false"/>
        </w:rPr>
        <w:t xml:space="preserve">투명 거버넌스 — </w:t>
      </w:r>
      <w:r>
        <w:rPr>
          <w:b w:val="false"/>
          <w:bCs w:val="false"/>
          <w:i w:val="false"/>
          <w:iCs w:val="false"/>
        </w:rPr>
        <w:t xml:space="preserve">비영리 사협의 공익성 + 독립 사회적기업의 자발적 운영으로 후원·투자 기금 집행 리스크를 통제, 대외 투명성 보장(ESG위원회 보고 가능).</w:t>
      </w:r>
    </w:p>
    <w:p>
      <w:pPr>
        <w:pStyle w:val="ListParagraph"/>
        <w:numPr>
          <w:ilvl w:val="0"/>
          <w:numId w:val="2"/>
        </w:numPr>
        <w:spacing w:after="60" w:line="270"/>
      </w:pPr>
      <w:r>
        <w:rPr>
          <w:b/>
          <w:bCs/>
          <w:i w:val="false"/>
          <w:iCs w:val="false"/>
        </w:rPr>
        <w:t xml:space="preserve">명명권(Naming Rights) — </w:t>
      </w:r>
      <w:r>
        <w:rPr>
          <w:b w:val="false"/>
          <w:bCs w:val="false"/>
          <w:i w:val="false"/>
          <w:iCs w:val="false"/>
        </w:rPr>
        <w:t xml:space="preserve">키움이 기여한 아동 성장 센터·장애인 자립 작업장에 브랜드를 명명 → ‘키움과나눔’ 정신의 진정성 있는 PR.</w:t>
      </w:r>
    </w:p>
    <w:p>
      <w:pPr>
        <w:pStyle w:val="Heading2"/>
      </w:pPr>
      <w:r>
        <w:t xml:space="preserve">5-3. Environmental (보조적·확장)</w:t>
      </w:r>
    </w:p>
    <w:p>
      <w:pPr>
        <w:pStyle w:val="ListParagraph"/>
        <w:numPr>
          <w:ilvl w:val="0"/>
          <w:numId w:val="2"/>
        </w:numPr>
        <w:spacing w:after="60" w:line="270"/>
      </w:pPr>
      <w:r>
        <w:rPr>
          <w:b/>
          <w:bCs/>
          <w:i w:val="false"/>
          <w:iCs w:val="false"/>
        </w:rPr>
        <w:t xml:space="preserve">신재생·탄소중립 실증 — </w:t>
      </w:r>
      <w:r>
        <w:rPr>
          <w:b w:val="false"/>
          <w:bCs w:val="false"/>
          <w:i w:val="false"/>
          <w:iCs w:val="false"/>
        </w:rPr>
        <w:t xml:space="preserve">공동체 신재생에너지 사업의 태양광·탄소중립 주거 실증을 키움의 탄소중립·RE100 보고 레퍼런스로 활용 가능.</w:t>
      </w:r>
    </w:p>
    <w:p>
      <w:r>
        <w:br w:type="page"/>
      </w:r>
    </w:p>
    <w:p>
      <w:pPr>
        <w:pStyle w:val="Heading1"/>
      </w:pPr>
      <w:r>
        <w:t xml:space="preserve">제6장  ESG 성과 연계 — 보고서에 바로 쓰는 지표</w:t>
      </w:r>
    </w:p>
    <w:p>
      <w:pPr>
        <w:spacing w:after="120" w:before="0" w:line="276"/>
      </w:pPr>
      <w:r>
        <w:rPr>
          <w:b w:val="false"/>
          <w:bCs w:val="false"/>
          <w:i w:val="false"/>
          <w:iCs w:val="false"/>
        </w:rPr>
        <w:t xml:space="preserve">각 성과는 키움증권그룹 ESG 보고서·IR 자료에 그대로 활용 가능합니다. (수치는 사업 규모에 따라 단계별 확정)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360"/>
        <w:gridCol w:w="2400"/>
        <w:gridCol w:w="2200"/>
      </w:tblGrid>
      <w:tr>
        <w:trPr>
          <w:tblHeader/>
        </w:trPr>
        <w:tc>
          <w:tcPr>
            <w:tcW w:type="dxa" w:w="14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ESG 영역</w:t>
            </w:r>
          </w:p>
        </w:tc>
        <w:tc>
          <w:tcPr>
            <w:tcW w:type="dxa" w:w="33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공동체 성과</w:t>
            </w:r>
          </w:p>
        </w:tc>
        <w:tc>
          <w:tcPr>
            <w:tcW w:type="dxa" w:w="24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키움 활용</w:t>
            </w:r>
          </w:p>
        </w:tc>
        <w:tc>
          <w:tcPr>
            <w:tcW w:type="dxa" w:w="22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측정 지표</w:t>
            </w:r>
          </w:p>
        </w:tc>
      </w:tr>
      <w:tr>
        <w:tc>
          <w:tcPr>
            <w:tcW w:type="dxa" w:w="1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S (사회)</w:t>
            </w:r>
          </w:p>
        </w:tc>
        <w:tc>
          <w:tcPr>
            <w:tcW w:type="dxa" w:w="33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청소년·아동 성장 지원·장애인 자립·노인 고독사 예방·유기견 안락사 감소·신규 일자리</w:t>
            </w:r>
          </w:p>
        </w:tc>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‘키움과나눔’ 사회공헌 보고·지역사회 기여</w:t>
            </w:r>
          </w:p>
        </w:tc>
        <w:tc>
          <w:tcPr>
            <w:tcW w:type="dxa" w:w="2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수혜 인원(명), 일자리 수(개)</w:t>
            </w:r>
          </w:p>
        </w:tc>
      </w:tr>
      <w:tr>
        <w:tc>
          <w:tcPr>
            <w:tcW w:type="dxa" w:w="14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G (거버넌스)</w:t>
            </w:r>
          </w:p>
        </w:tc>
        <w:tc>
          <w:tcPr>
            <w:tcW w:type="dxa" w:w="33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1인 1표 민주 운영, 자치회 정례, 재무 전면 공개</w:t>
            </w:r>
          </w:p>
        </w:tc>
        <w:tc>
          <w:tcPr>
            <w:tcW w:type="dxa" w:w="24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임팩트투자 포트폴리오·거버넌스 평가</w:t>
            </w:r>
          </w:p>
        </w:tc>
        <w:tc>
          <w:tcPr>
            <w:tcW w:type="dxa" w:w="22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자치회 운영 횟수, 회의록 공개율</w:t>
            </w:r>
          </w:p>
        </w:tc>
      </w:tr>
      <w:tr>
        <w:tc>
          <w:tcPr>
            <w:tcW w:type="dxa" w:w="1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E (환경)</w:t>
            </w:r>
          </w:p>
        </w:tc>
        <w:tc>
          <w:tcPr>
            <w:tcW w:type="dxa" w:w="33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태양광 발전·REC, 탄소중립 주거 실증</w:t>
            </w:r>
          </w:p>
        </w:tc>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탄소중립·RE100 보고</w:t>
            </w:r>
          </w:p>
        </w:tc>
        <w:tc>
          <w:tcPr>
            <w:tcW w:type="dxa" w:w="2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CO₂ 감소량, REC(MWh)</w:t>
            </w:r>
          </w:p>
        </w:tc>
      </w:tr>
      <w:tr>
        <w:tc>
          <w:tcPr>
            <w:tcW w:type="dxa" w:w="14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SDGs</w:t>
            </w:r>
          </w:p>
        </w:tc>
        <w:tc>
          <w:tcPr>
            <w:tcW w:type="dxa" w:w="33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3(건강)·8(일자리)·11(지속가능도시)·15(육상생태)</w:t>
            </w:r>
          </w:p>
        </w:tc>
        <w:tc>
          <w:tcPr>
            <w:tcW w:type="dxa" w:w="24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UN SDGs 기여 보고</w:t>
            </w:r>
          </w:p>
        </w:tc>
        <w:tc>
          <w:tcPr>
            <w:tcW w:type="dxa" w:w="22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달성 항목 수</w:t>
            </w:r>
          </w:p>
        </w:tc>
      </w:tr>
    </w:tbl>
    <w:p>
      <w:r>
        <w:br w:type="page"/>
      </w:r>
    </w:p>
    <w:p>
      <w:pPr>
        <w:spacing w:before="280" w:after="120"/>
      </w:pPr>
      <w:r>
        <w:rPr>
          <w:b/>
          <w:color w:val="1E5A3D"/>
          <w:sz w:val="25"/>
        </w:rPr>
        <w:t>투자 시점별 임팩트 환산표 — 참여 규모와 실제 성과의 연동</w:t>
      </w:r>
    </w:p>
    <w:p>
      <w:pPr>
        <w:spacing w:after="160" w:line="312" w:lineRule="auto"/>
      </w:pPr>
      <w:r>
        <w:rPr>
          <w:i/>
          <w:sz w:val="21"/>
        </w:rPr>
        <w:t>아래는 투자액과 성과를 임의로 비례시킨 것이 아니라, 별첨 「종합 사업계획서」의 단계별 인원·시설·재무 계획을 그대로 인용해 키움의 참여 시점에 따라 실제로 확인 가능한 성과 규모를 정리한 것입니다.</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DBDBD" w:sz="4"/>
              <w:left w:val="single" w:color="BDBDBD" w:sz="4"/>
              <w:bottom w:val="single" w:color="BDBDBD" w:sz="4"/>
              <w:right w:val="single" w:color="BDBDBD" w:sz="4"/>
            </w:tcBorders>
            <w:shd w:fill="C8E6C9" w:val="clear"/>
            <w:tcMar>
              <w:top w:type="dxa" w:w="60"/>
              <w:left w:type="dxa" w:w="110"/>
              <w:bottom w:type="dxa" w:w="60"/>
              <w:right w:type="dxa" w:w="110"/>
            </w:tcMar>
            <w:vAlign w:val="center"/>
          </w:tcPr>
          <w:p>
            <w:pPr>
              <w:spacing w:line="276" w:lineRule="auto"/>
              <w:jc w:val="center"/>
            </w:pPr>
            <w:r/>
            <w:r>
              <w:rPr>
                <w:b/>
                <w:sz w:val="19"/>
              </w:rPr>
              <w:t>단계</w:t>
            </w:r>
          </w:p>
        </w:tc>
        <w:tc>
          <w:tcPr>
            <w:tcW w:type="dxa" w:w="1872"/>
            <w:tcBorders>
              <w:top w:val="single" w:color="BDBDBD" w:sz="4"/>
              <w:left w:val="single" w:color="BDBDBD" w:sz="4"/>
              <w:bottom w:val="single" w:color="BDBDBD" w:sz="4"/>
              <w:right w:val="single" w:color="BDBDBD" w:sz="4"/>
            </w:tcBorders>
            <w:shd w:fill="C8E6C9" w:val="clear"/>
            <w:tcMar>
              <w:top w:type="dxa" w:w="60"/>
              <w:left w:type="dxa" w:w="110"/>
              <w:bottom w:type="dxa" w:w="60"/>
              <w:right w:type="dxa" w:w="110"/>
            </w:tcMar>
            <w:vAlign w:val="center"/>
          </w:tcPr>
          <w:p>
            <w:pPr>
              <w:spacing w:line="276" w:lineRule="auto"/>
              <w:jc w:val="center"/>
            </w:pPr>
            <w:r/>
            <w:r>
              <w:rPr>
                <w:b/>
                <w:sz w:val="19"/>
              </w:rPr>
              <w:t>정주인구</w:t>
            </w:r>
          </w:p>
        </w:tc>
        <w:tc>
          <w:tcPr>
            <w:tcW w:type="dxa" w:w="1872"/>
            <w:tcBorders>
              <w:top w:val="single" w:color="BDBDBD" w:sz="4"/>
              <w:left w:val="single" w:color="BDBDBD" w:sz="4"/>
              <w:bottom w:val="single" w:color="BDBDBD" w:sz="4"/>
              <w:right w:val="single" w:color="BDBDBD" w:sz="4"/>
            </w:tcBorders>
            <w:shd w:fill="C8E6C9" w:val="clear"/>
            <w:tcMar>
              <w:top w:type="dxa" w:w="60"/>
              <w:left w:type="dxa" w:w="110"/>
              <w:bottom w:type="dxa" w:w="60"/>
              <w:right w:type="dxa" w:w="110"/>
            </w:tcMar>
            <w:vAlign w:val="center"/>
          </w:tcPr>
          <w:p>
            <w:pPr>
              <w:spacing w:line="276" w:lineRule="auto"/>
              <w:jc w:val="center"/>
            </w:pPr>
            <w:r/>
            <w:r>
              <w:rPr>
                <w:b/>
                <w:sz w:val="19"/>
              </w:rPr>
              <w:t>핵심 돌봄시설 규모</w:t>
            </w:r>
          </w:p>
        </w:tc>
        <w:tc>
          <w:tcPr>
            <w:tcW w:type="dxa" w:w="1872"/>
            <w:tcBorders>
              <w:top w:val="single" w:color="BDBDBD" w:sz="4"/>
              <w:left w:val="single" w:color="BDBDBD" w:sz="4"/>
              <w:bottom w:val="single" w:color="BDBDBD" w:sz="4"/>
              <w:right w:val="single" w:color="BDBDBD" w:sz="4"/>
            </w:tcBorders>
            <w:shd w:fill="C8E6C9" w:val="clear"/>
            <w:tcMar>
              <w:top w:type="dxa" w:w="60"/>
              <w:left w:type="dxa" w:w="110"/>
              <w:bottom w:type="dxa" w:w="60"/>
              <w:right w:type="dxa" w:w="110"/>
            </w:tcMar>
            <w:vAlign w:val="center"/>
          </w:tcPr>
          <w:p>
            <w:pPr>
              <w:spacing w:line="276" w:lineRule="auto"/>
              <w:jc w:val="center"/>
            </w:pPr>
            <w:r/>
            <w:r>
              <w:rPr>
                <w:b/>
                <w:sz w:val="19"/>
              </w:rPr>
              <w:t>연간 운영손익</w:t>
            </w:r>
          </w:p>
        </w:tc>
        <w:tc>
          <w:tcPr>
            <w:tcW w:type="dxa" w:w="1872"/>
            <w:tcBorders>
              <w:top w:val="single" w:color="BDBDBD" w:sz="4"/>
              <w:left w:val="single" w:color="BDBDBD" w:sz="4"/>
              <w:bottom w:val="single" w:color="BDBDBD" w:sz="4"/>
              <w:right w:val="single" w:color="BDBDBD" w:sz="4"/>
            </w:tcBorders>
            <w:shd w:fill="C8E6C9" w:val="clear"/>
            <w:tcMar>
              <w:top w:type="dxa" w:w="60"/>
              <w:left w:type="dxa" w:w="110"/>
              <w:bottom w:type="dxa" w:w="60"/>
              <w:right w:type="dxa" w:w="110"/>
            </w:tcMar>
            <w:vAlign w:val="center"/>
          </w:tcPr>
          <w:p>
            <w:pPr>
              <w:spacing w:line="276" w:lineRule="auto"/>
              <w:jc w:val="center"/>
            </w:pPr>
            <w:r/>
            <w:r>
              <w:rPr>
                <w:b/>
                <w:sz w:val="19"/>
              </w:rPr>
              <w:t>키움 참여 시 확인 가능한 성과</w:t>
            </w:r>
          </w:p>
        </w:tc>
      </w:tr>
      <w:tr>
        <w:tc>
          <w:tcPr>
            <w:tcW w:type="dxa" w:w="1872"/>
            <w:tcBorders>
              <w:top w:val="single" w:color="BDBDBD" w:sz="4"/>
              <w:left w:val="single" w:color="BDBDBD" w:sz="4"/>
              <w:bottom w:val="single" w:color="BDBDBD" w:sz="4"/>
              <w:right w:val="single" w:color="BDBDBD" w:sz="4"/>
            </w:tcBorders>
            <w:tcMar>
              <w:top w:type="dxa" w:w="60"/>
              <w:left w:type="dxa" w:w="110"/>
              <w:bottom w:type="dxa" w:w="60"/>
              <w:right w:type="dxa" w:w="110"/>
            </w:tcMar>
            <w:vAlign w:val="center"/>
          </w:tcPr>
          <w:p>
            <w:pPr>
              <w:spacing w:line="276" w:lineRule="auto"/>
              <w:jc w:val="left"/>
            </w:pPr>
            <w:r/>
            <w:r>
              <w:rPr>
                <w:sz w:val="19"/>
              </w:rPr>
              <w:t>씨앗기 (1~2년차)</w:t>
            </w:r>
          </w:p>
        </w:tc>
        <w:tc>
          <w:tcPr>
            <w:tcW w:type="dxa" w:w="1872"/>
            <w:tcBorders>
              <w:top w:val="single" w:color="BDBDBD" w:sz="4"/>
              <w:left w:val="single" w:color="BDBDBD" w:sz="4"/>
              <w:bottom w:val="single" w:color="BDBDBD" w:sz="4"/>
              <w:right w:val="single" w:color="BDBDBD" w:sz="4"/>
            </w:tcBorders>
            <w:tcMar>
              <w:top w:type="dxa" w:w="60"/>
              <w:left w:type="dxa" w:w="110"/>
              <w:bottom w:type="dxa" w:w="60"/>
              <w:right w:type="dxa" w:w="110"/>
            </w:tcMar>
            <w:vAlign w:val="center"/>
          </w:tcPr>
          <w:p>
            <w:pPr>
              <w:spacing w:line="276" w:lineRule="auto"/>
              <w:jc w:val="left"/>
            </w:pPr>
            <w:r/>
            <w:r>
              <w:rPr>
                <w:sz w:val="19"/>
              </w:rPr>
              <w:t>2~20명</w:t>
            </w:r>
          </w:p>
        </w:tc>
        <w:tc>
          <w:tcPr>
            <w:tcW w:type="dxa" w:w="1872"/>
            <w:tcBorders>
              <w:top w:val="single" w:color="BDBDBD" w:sz="4"/>
              <w:left w:val="single" w:color="BDBDBD" w:sz="4"/>
              <w:bottom w:val="single" w:color="BDBDBD" w:sz="4"/>
              <w:right w:val="single" w:color="BDBDBD" w:sz="4"/>
            </w:tcBorders>
            <w:tcMar>
              <w:top w:type="dxa" w:w="60"/>
              <w:left w:type="dxa" w:w="110"/>
              <w:bottom w:type="dxa" w:w="60"/>
              <w:right w:type="dxa" w:w="110"/>
            </w:tcMar>
            <w:vAlign w:val="center"/>
          </w:tcPr>
          <w:p>
            <w:pPr>
              <w:spacing w:line="276" w:lineRule="auto"/>
              <w:jc w:val="left"/>
            </w:pPr>
            <w:r/>
            <w:r>
              <w:rPr>
                <w:sz w:val="19"/>
              </w:rPr>
              <w:t>노인요양 공동생활가정 1개소</w:t>
            </w:r>
          </w:p>
          <w:p>
            <w:pPr>
              <w:spacing w:line="276" w:lineRule="auto"/>
              <w:jc w:val="left"/>
            </w:pPr>
            <w:r>
              <w:rPr>
                <w:sz w:val="19"/>
              </w:rPr>
              <w:t>(정원 9인, 전 침실 1인 1실)</w:t>
            </w:r>
          </w:p>
        </w:tc>
        <w:tc>
          <w:tcPr>
            <w:tcW w:type="dxa" w:w="1872"/>
            <w:tcBorders>
              <w:top w:val="single" w:color="BDBDBD" w:sz="4"/>
              <w:left w:val="single" w:color="BDBDBD" w:sz="4"/>
              <w:bottom w:val="single" w:color="BDBDBD" w:sz="4"/>
              <w:right w:val="single" w:color="BDBDBD" w:sz="4"/>
            </w:tcBorders>
            <w:tcMar>
              <w:top w:type="dxa" w:w="60"/>
              <w:left w:type="dxa" w:w="110"/>
              <w:bottom w:type="dxa" w:w="60"/>
              <w:right w:type="dxa" w:w="110"/>
            </w:tcMar>
            <w:vAlign w:val="center"/>
          </w:tcPr>
          <w:p>
            <w:pPr>
              <w:spacing w:line="276" w:lineRule="auto"/>
              <w:jc w:val="left"/>
            </w:pPr>
            <w:r/>
            <w:r>
              <w:rPr>
                <w:sz w:val="19"/>
              </w:rPr>
              <w:t>±0</w:t>
            </w:r>
          </w:p>
          <w:p>
            <w:pPr>
              <w:spacing w:line="276" w:lineRule="auto"/>
              <w:jc w:val="left"/>
            </w:pPr>
            <w:r>
              <w:rPr>
                <w:sz w:val="19"/>
              </w:rPr>
              <w:t>(보증금 락킹, 초기 투자 회수 전)</w:t>
            </w:r>
          </w:p>
        </w:tc>
        <w:tc>
          <w:tcPr>
            <w:tcW w:type="dxa" w:w="1872"/>
            <w:tcBorders>
              <w:top w:val="single" w:color="BDBDBD" w:sz="4"/>
              <w:left w:val="single" w:color="BDBDBD" w:sz="4"/>
              <w:bottom w:val="single" w:color="BDBDBD" w:sz="4"/>
              <w:right w:val="single" w:color="BDBDBD" w:sz="4"/>
            </w:tcBorders>
            <w:tcMar>
              <w:top w:type="dxa" w:w="60"/>
              <w:left w:type="dxa" w:w="110"/>
              <w:bottom w:type="dxa" w:w="60"/>
              <w:right w:type="dxa" w:w="110"/>
            </w:tcMar>
            <w:vAlign w:val="center"/>
          </w:tcPr>
          <w:p>
            <w:pPr>
              <w:spacing w:line="276" w:lineRule="auto"/>
              <w:jc w:val="left"/>
            </w:pPr>
            <w:r/>
            <w:r>
              <w:rPr>
                <w:sz w:val="19"/>
              </w:rPr>
              <w:t>초기 마중물 출자·설립 지원 — 폐교 리모델링·1호 돌봄시설 개소의 ‘설립 파트너’로 기록</w:t>
            </w:r>
          </w:p>
        </w:tc>
      </w:tr>
      <w:tr>
        <w:tc>
          <w:tcPr>
            <w:tcW w:type="dxa" w:w="1872"/>
            <w:tcBorders>
              <w:top w:val="single" w:color="BDBDBD" w:sz="4"/>
              <w:left w:val="single" w:color="BDBDBD" w:sz="4"/>
              <w:bottom w:val="single" w:color="BDBDBD" w:sz="4"/>
              <w:right w:val="single" w:color="BDBDBD" w:sz="4"/>
            </w:tcBorders>
            <w:tcMar>
              <w:top w:type="dxa" w:w="60"/>
              <w:left w:type="dxa" w:w="110"/>
              <w:bottom w:type="dxa" w:w="60"/>
              <w:right w:type="dxa" w:w="110"/>
            </w:tcMar>
            <w:vAlign w:val="center"/>
          </w:tcPr>
          <w:p>
            <w:pPr>
              <w:spacing w:line="276" w:lineRule="auto"/>
              <w:jc w:val="left"/>
            </w:pPr>
            <w:r/>
            <w:r>
              <w:rPr>
                <w:sz w:val="19"/>
              </w:rPr>
              <w:t>성장기 (3~4년차)</w:t>
            </w:r>
          </w:p>
        </w:tc>
        <w:tc>
          <w:tcPr>
            <w:tcW w:type="dxa" w:w="1872"/>
            <w:tcBorders>
              <w:top w:val="single" w:color="BDBDBD" w:sz="4"/>
              <w:left w:val="single" w:color="BDBDBD" w:sz="4"/>
              <w:bottom w:val="single" w:color="BDBDBD" w:sz="4"/>
              <w:right w:val="single" w:color="BDBDBD" w:sz="4"/>
            </w:tcBorders>
            <w:tcMar>
              <w:top w:type="dxa" w:w="60"/>
              <w:left w:type="dxa" w:w="110"/>
              <w:bottom w:type="dxa" w:w="60"/>
              <w:right w:type="dxa" w:w="110"/>
            </w:tcMar>
            <w:vAlign w:val="center"/>
          </w:tcPr>
          <w:p>
            <w:pPr>
              <w:spacing w:line="276" w:lineRule="auto"/>
              <w:jc w:val="left"/>
            </w:pPr>
            <w:r/>
            <w:r>
              <w:rPr>
                <w:sz w:val="19"/>
              </w:rPr>
              <w:t>20~80명</w:t>
            </w:r>
          </w:p>
        </w:tc>
        <w:tc>
          <w:tcPr>
            <w:tcW w:type="dxa" w:w="1872"/>
            <w:tcBorders>
              <w:top w:val="single" w:color="BDBDBD" w:sz="4"/>
              <w:left w:val="single" w:color="BDBDBD" w:sz="4"/>
              <w:bottom w:val="single" w:color="BDBDBD" w:sz="4"/>
              <w:right w:val="single" w:color="BDBDBD" w:sz="4"/>
            </w:tcBorders>
            <w:tcMar>
              <w:top w:type="dxa" w:w="60"/>
              <w:left w:type="dxa" w:w="110"/>
              <w:bottom w:type="dxa" w:w="60"/>
              <w:right w:type="dxa" w:w="110"/>
            </w:tcMar>
            <w:vAlign w:val="center"/>
          </w:tcPr>
          <w:p>
            <w:pPr>
              <w:spacing w:line="276" w:lineRule="auto"/>
              <w:jc w:val="left"/>
            </w:pPr>
            <w:r/>
            <w:r>
              <w:rPr>
                <w:sz w:val="19"/>
              </w:rPr>
              <w:t>노인요양시설 전환(정원 20~29인)</w:t>
            </w:r>
          </w:p>
          <w:p>
            <w:pPr>
              <w:spacing w:line="276" w:lineRule="auto"/>
              <w:jc w:val="left"/>
            </w:pPr>
            <w:r>
              <w:rPr>
                <w:sz w:val="19"/>
              </w:rPr>
              <w:t>+ 아동그룹홈·장애인 자립작업장 가동</w:t>
            </w:r>
          </w:p>
        </w:tc>
        <w:tc>
          <w:tcPr>
            <w:tcW w:type="dxa" w:w="1872"/>
            <w:tcBorders>
              <w:top w:val="single" w:color="BDBDBD" w:sz="4"/>
              <w:left w:val="single" w:color="BDBDBD" w:sz="4"/>
              <w:bottom w:val="single" w:color="BDBDBD" w:sz="4"/>
              <w:right w:val="single" w:color="BDBDBD" w:sz="4"/>
            </w:tcBorders>
            <w:tcMar>
              <w:top w:type="dxa" w:w="60"/>
              <w:left w:type="dxa" w:w="110"/>
              <w:bottom w:type="dxa" w:w="60"/>
              <w:right w:type="dxa" w:w="110"/>
            </w:tcMar>
            <w:vAlign w:val="center"/>
          </w:tcPr>
          <w:p>
            <w:pPr>
              <w:spacing w:line="276" w:lineRule="auto"/>
              <w:jc w:val="left"/>
            </w:pPr>
            <w:r/>
            <w:r>
              <w:rPr>
                <w:sz w:val="19"/>
              </w:rPr>
              <w:t>연 +1.2억원</w:t>
            </w:r>
          </w:p>
          <w:p>
            <w:pPr>
              <w:spacing w:line="276" w:lineRule="auto"/>
              <w:jc w:val="left"/>
            </w:pPr>
            <w:r>
              <w:rPr>
                <w:sz w:val="19"/>
              </w:rPr>
              <w:t>(BEP 돌파)</w:t>
            </w:r>
          </w:p>
        </w:tc>
        <w:tc>
          <w:tcPr>
            <w:tcW w:type="dxa" w:w="1872"/>
            <w:tcBorders>
              <w:top w:val="single" w:color="BDBDBD" w:sz="4"/>
              <w:left w:val="single" w:color="BDBDBD" w:sz="4"/>
              <w:bottom w:val="single" w:color="BDBDBD" w:sz="4"/>
              <w:right w:val="single" w:color="BDBDBD" w:sz="4"/>
            </w:tcBorders>
            <w:tcMar>
              <w:top w:type="dxa" w:w="60"/>
              <w:left w:type="dxa" w:w="110"/>
              <w:bottom w:type="dxa" w:w="60"/>
              <w:right w:type="dxa" w:w="110"/>
            </w:tcMar>
            <w:vAlign w:val="center"/>
          </w:tcPr>
          <w:p>
            <w:pPr>
              <w:spacing w:line="276" w:lineRule="auto"/>
              <w:jc w:val="left"/>
            </w:pPr>
            <w:r/>
            <w:r>
              <w:rPr>
                <w:sz w:val="19"/>
              </w:rPr>
              <w:t>흑자 전환 시점의 ‘동반 성장 파트너’ — 수혜 인원 확대·흑자 전환 실적을 ESG 보고서에 인용 가능</w:t>
            </w:r>
          </w:p>
        </w:tc>
      </w:tr>
      <w:tr>
        <w:tc>
          <w:tcPr>
            <w:tcW w:type="dxa" w:w="1872"/>
            <w:tcBorders>
              <w:top w:val="single" w:color="BDBDBD" w:sz="4"/>
              <w:left w:val="single" w:color="BDBDBD" w:sz="4"/>
              <w:bottom w:val="single" w:color="BDBDBD" w:sz="4"/>
              <w:right w:val="single" w:color="BDBDBD" w:sz="4"/>
            </w:tcBorders>
            <w:tcMar>
              <w:top w:type="dxa" w:w="60"/>
              <w:left w:type="dxa" w:w="110"/>
              <w:bottom w:type="dxa" w:w="60"/>
              <w:right w:type="dxa" w:w="110"/>
            </w:tcMar>
            <w:vAlign w:val="center"/>
          </w:tcPr>
          <w:p>
            <w:pPr>
              <w:spacing w:line="276" w:lineRule="auto"/>
              <w:jc w:val="left"/>
            </w:pPr>
            <w:r/>
            <w:r>
              <w:rPr>
                <w:sz w:val="19"/>
              </w:rPr>
              <w:t>완성기 (5년차~)</w:t>
            </w:r>
          </w:p>
        </w:tc>
        <w:tc>
          <w:tcPr>
            <w:tcW w:type="dxa" w:w="1872"/>
            <w:tcBorders>
              <w:top w:val="single" w:color="BDBDBD" w:sz="4"/>
              <w:left w:val="single" w:color="BDBDBD" w:sz="4"/>
              <w:bottom w:val="single" w:color="BDBDBD" w:sz="4"/>
              <w:right w:val="single" w:color="BDBDBD" w:sz="4"/>
            </w:tcBorders>
            <w:tcMar>
              <w:top w:type="dxa" w:w="60"/>
              <w:left w:type="dxa" w:w="110"/>
              <w:bottom w:type="dxa" w:w="60"/>
              <w:right w:type="dxa" w:w="110"/>
            </w:tcMar>
            <w:vAlign w:val="center"/>
          </w:tcPr>
          <w:p>
            <w:pPr>
              <w:spacing w:line="276" w:lineRule="auto"/>
              <w:jc w:val="left"/>
            </w:pPr>
            <w:r/>
            <w:r>
              <w:rPr>
                <w:sz w:val="19"/>
              </w:rPr>
              <w:t>80~200명</w:t>
            </w:r>
          </w:p>
        </w:tc>
        <w:tc>
          <w:tcPr>
            <w:tcW w:type="dxa" w:w="1872"/>
            <w:tcBorders>
              <w:top w:val="single" w:color="BDBDBD" w:sz="4"/>
              <w:left w:val="single" w:color="BDBDBD" w:sz="4"/>
              <w:bottom w:val="single" w:color="BDBDBD" w:sz="4"/>
              <w:right w:val="single" w:color="BDBDBD" w:sz="4"/>
            </w:tcBorders>
            <w:tcMar>
              <w:top w:type="dxa" w:w="60"/>
              <w:left w:type="dxa" w:w="110"/>
              <w:bottom w:type="dxa" w:w="60"/>
              <w:right w:type="dxa" w:w="110"/>
            </w:tcMar>
            <w:vAlign w:val="center"/>
          </w:tcPr>
          <w:p>
            <w:pPr>
              <w:spacing w:line="276" w:lineRule="auto"/>
              <w:jc w:val="left"/>
            </w:pPr>
            <w:r/>
            <w:r>
              <w:rPr>
                <w:sz w:val="19"/>
              </w:rPr>
              <w:t>5대 사회적기업 전면 가동</w:t>
            </w:r>
          </w:p>
          <w:p>
            <w:pPr>
              <w:spacing w:line="276" w:lineRule="auto"/>
              <w:jc w:val="left"/>
            </w:pPr>
            <w:r>
              <w:rPr>
                <w:sz w:val="19"/>
              </w:rPr>
              <w:t>+ 태양광·REC 사업 확장</w:t>
            </w:r>
          </w:p>
        </w:tc>
        <w:tc>
          <w:tcPr>
            <w:tcW w:type="dxa" w:w="1872"/>
            <w:tcBorders>
              <w:top w:val="single" w:color="BDBDBD" w:sz="4"/>
              <w:left w:val="single" w:color="BDBDBD" w:sz="4"/>
              <w:bottom w:val="single" w:color="BDBDBD" w:sz="4"/>
              <w:right w:val="single" w:color="BDBDBD" w:sz="4"/>
            </w:tcBorders>
            <w:tcMar>
              <w:top w:type="dxa" w:w="60"/>
              <w:left w:type="dxa" w:w="110"/>
              <w:bottom w:type="dxa" w:w="60"/>
              <w:right w:type="dxa" w:w="110"/>
            </w:tcMar>
            <w:vAlign w:val="center"/>
          </w:tcPr>
          <w:p>
            <w:pPr>
              <w:spacing w:line="276" w:lineRule="auto"/>
              <w:jc w:val="left"/>
            </w:pPr>
            <w:r/>
            <w:r>
              <w:rPr>
                <w:sz w:val="19"/>
              </w:rPr>
              <w:t>연 +0.78억원</w:t>
            </w:r>
          </w:p>
          <w:p>
            <w:pPr>
              <w:spacing w:line="276" w:lineRule="auto"/>
              <w:jc w:val="left"/>
            </w:pPr>
            <w:r>
              <w:rPr>
                <w:sz w:val="19"/>
              </w:rPr>
              <w:t>(공동체 환원·재단 유보)</w:t>
            </w:r>
          </w:p>
        </w:tc>
        <w:tc>
          <w:tcPr>
            <w:tcW w:type="dxa" w:w="1872"/>
            <w:tcBorders>
              <w:top w:val="single" w:color="BDBDBD" w:sz="4"/>
              <w:left w:val="single" w:color="BDBDBD" w:sz="4"/>
              <w:bottom w:val="single" w:color="BDBDBD" w:sz="4"/>
              <w:right w:val="single" w:color="BDBDBD" w:sz="4"/>
            </w:tcBorders>
            <w:tcMar>
              <w:top w:type="dxa" w:w="60"/>
              <w:left w:type="dxa" w:w="110"/>
              <w:bottom w:type="dxa" w:w="60"/>
              <w:right w:type="dxa" w:w="110"/>
            </w:tcMar>
            <w:vAlign w:val="center"/>
          </w:tcPr>
          <w:p>
            <w:pPr>
              <w:spacing w:line="276" w:lineRule="auto"/>
              <w:jc w:val="left"/>
            </w:pPr>
            <w:r/>
            <w:r>
              <w:rPr>
                <w:sz w:val="19"/>
              </w:rPr>
              <w:t>장기 파트너십 — 매년 안정적 환원 실적을 SDGs 성과·IR 자료로 지속 활용</w:t>
            </w:r>
          </w:p>
        </w:tc>
      </w:tr>
    </w:tbl>
    <w:p>
      <w:pPr>
        <w:spacing w:before="80" w:after="280"/>
      </w:pPr>
      <w:r>
        <w:rPr>
          <w:i/>
          <w:sz w:val="18"/>
        </w:rPr>
        <w:t>※ 세부 재무 가정(수가 산정 기준, 인건비, 민감도 분석 등)은 별첨 「종합 사업계획서」 6~11장 참조.</w:t>
      </w:r>
    </w:p>
    <w:p>
      <w:pPr>
        <w:pStyle w:val="Heading1"/>
      </w:pPr>
      <w:r>
        <w:t xml:space="preserve">제7장  파트너십 4가지 유형 — 키움 우선순위순</w:t>
      </w:r>
    </w:p>
    <w:p>
      <w:pPr>
        <w:spacing w:after="120" w:before="0" w:line="276"/>
      </w:pPr>
      <w:r>
        <w:rPr>
          <w:b w:val="false"/>
          <w:bCs w:val="false"/>
          <w:i w:val="false"/>
          <w:iCs w:val="false"/>
        </w:rPr>
        <w:t xml:space="preserve">키움증권그룹의 본업(투자)과 ‘키움과나눔’ 방향에 맞춰 우선순위를 배열했습니다.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4060"/>
        <w:gridCol w:w="3000"/>
      </w:tblGrid>
      <w:tr>
        <w:trPr>
          <w:tblHeader/>
        </w:trPr>
        <w:tc>
          <w:tcPr>
            <w:tcW w:type="dxa" w:w="7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우선</w:t>
            </w:r>
          </w:p>
        </w:tc>
        <w:tc>
          <w:tcPr>
            <w:tcW w:type="dxa" w:w="16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유형</w:t>
            </w:r>
          </w:p>
        </w:tc>
        <w:tc>
          <w:tcPr>
            <w:tcW w:type="dxa" w:w="40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내용</w:t>
            </w:r>
          </w:p>
        </w:tc>
        <w:tc>
          <w:tcPr>
            <w:tcW w:type="dxa" w:w="30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키움 적합도</w:t>
            </w:r>
          </w:p>
        </w:tc>
      </w:tr>
      <w:tr>
        <w:tc>
          <w:tcPr>
            <w:tcW w:type="dxa" w:w="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①</w:t>
            </w:r>
          </w:p>
        </w:tc>
        <w:tc>
          <w:tcPr>
            <w:tcW w:type="dxa" w:w="16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임팩트투자</w:t>
            </w:r>
          </w:p>
        </w:tc>
        <w:tc>
          <w:tcPr>
            <w:tcW w:type="dxa" w:w="40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사협 출자 참여 → 수익 발생 시 배당 또는 사회적 가치 환원 선택</w:t>
            </w:r>
          </w:p>
        </w:tc>
        <w:tc>
          <w:tcPr>
            <w:tcW w:type="dxa" w:w="30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 증권 본업과 직결 — 임팩트투자 포트폴리오·IR 활용</w:t>
            </w:r>
          </w:p>
        </w:tc>
      </w:tr>
      <w:tr>
        <w:tc>
          <w:tcPr>
            <w:tcW w:type="dxa" w:w="7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②</w:t>
            </w:r>
          </w:p>
        </w:tc>
        <w:tc>
          <w:tcPr>
            <w:tcW w:type="dxa" w:w="16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CSR 후원금</w:t>
            </w:r>
          </w:p>
        </w:tc>
        <w:tc>
          <w:tcPr>
            <w:tcW w:type="dxa" w:w="40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시설 건립·프로그램 운영비 지원 → 시설 명명권</w:t>
            </w:r>
          </w:p>
        </w:tc>
        <w:tc>
          <w:tcPr>
            <w:tcW w:type="dxa" w:w="30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 키움과나눔(청소년·장애인) 대상과 정합, 세액공제</w:t>
            </w:r>
          </w:p>
        </w:tc>
      </w:tr>
      <w:tr>
        <w:tc>
          <w:tcPr>
            <w:tcW w:type="dxa" w:w="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③</w:t>
            </w:r>
          </w:p>
        </w:tc>
        <w:tc>
          <w:tcPr>
            <w:tcW w:type="dxa" w:w="16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REC 장기 구매</w:t>
            </w:r>
          </w:p>
        </w:tc>
        <w:tc>
          <w:tcPr>
            <w:tcW w:type="dxa" w:w="40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태양광 REC 5~10년 고정 단가 구매</w:t>
            </w:r>
          </w:p>
        </w:tc>
        <w:tc>
          <w:tcPr>
            <w:tcW w:type="dxa" w:w="30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 탄소중립·RE100 보고용(보조)</w:t>
            </w:r>
          </w:p>
        </w:tc>
      </w:tr>
      <w:tr>
        <w:tc>
          <w:tcPr>
            <w:tcW w:type="dxa" w:w="7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④</w:t>
            </w:r>
          </w:p>
        </w:tc>
        <w:tc>
          <w:tcPr>
            <w:tcW w:type="dxa" w:w="16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스마트팜 매입</w:t>
            </w:r>
          </w:p>
        </w:tc>
        <w:tc>
          <w:tcPr>
            <w:tcW w:type="dxa" w:w="40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유기농 채소·가공품 정기 매입 → 임직원 복지</w:t>
            </w:r>
          </w:p>
        </w:tc>
        <w:tc>
          <w:tcPr>
            <w:tcW w:type="dxa" w:w="30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 사내 복지·사회적 구매 스토리</w:t>
            </w:r>
          </w:p>
        </w:tc>
      </w:tr>
    </w:tbl>
    <w:p>
      <w:r>
        <w:br w:type="page"/>
      </w:r>
    </w:p>
    <w:p>
      <w:pPr>
        <w:pStyle w:val="Heading1"/>
      </w:pPr>
      <w:r>
        <w:t xml:space="preserve">제8장  투자 안정성 — 수치로 보는 사업 근거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검증 항목</w:t>
            </w:r>
          </w:p>
        </w:tc>
        <w:tc>
          <w:tcPr>
            <w:tcW w:type="dxa" w:w="69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내용</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복지 안전망 기반</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장기요양 재가급여·아동그룹홈 위탁비 등 국가가 법으로 보장하는 제도권 재원이 현금흐름의 바닥을 형성</w:t>
            </w:r>
          </w:p>
        </w:tc>
      </w:tr>
      <w:tr>
        <w:tc>
          <w:tcPr>
            <w:tcW w:type="dxa" w:w="24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4축 분산 구조</w:t>
            </w:r>
          </w:p>
        </w:tc>
        <w:tc>
          <w:tcPr>
            <w:tcW w:type="dxa" w:w="69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복지위탁 + 5대 사회적기업 매출 + ESG 후원 + 돌봄코인 내부순환이 교차 → 단일 재원 고갈 리스크 차단</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단계별 흑자</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씨앗기 ±0(보증금 락킹) → 성장기 연 +1.2억(BEP 돌파) → 완성기 연 +0.78억(공동체 환원·재단 유보)</w:t>
            </w:r>
          </w:p>
        </w:tc>
      </w:tr>
      <w:tr>
        <w:tc>
          <w:tcPr>
            <w:tcW w:type="dxa" w:w="24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초기 부도 리스크 0</w:t>
            </w:r>
          </w:p>
        </w:tc>
        <w:tc>
          <w:tcPr>
            <w:tcW w:type="dxa" w:w="69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대규모 PF 대출 없이 시작 — 건축가 조합원 직접 시공(원가 30% 절감) + 폐교 장기 임대</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임팩트투자 회수 구조</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사회적협동조합·공익재단 구조 하에서 사회적 가치 환원 + 안정적 운영수지 → 임팩트 측정·보고 용이</w:t>
            </w:r>
          </w:p>
        </w:tc>
      </w:tr>
    </w:tbl>
    <w:p>
      <w:pPr>
        <w:spacing w:after="120" w:before="40" w:line="276"/>
      </w:pPr>
      <w:r>
        <w:rPr>
          <w:b w:val="false"/>
          <w:bCs w:val="false"/>
          <w:i w:val="false"/>
          <w:iCs w:val="false"/>
        </w:rPr>
        <w:t xml:space="preserve">세부 재무는 별첨 「종합 사업계획서」 참조.</w:t>
      </w:r>
    </w:p>
    <w:p>
      <w:r>
        <w:br w:type="page"/>
      </w:r>
    </w:p>
    <w:p>
      <w:pPr>
        <w:pStyle w:val="Heading1"/>
      </w:pPr>
      <w:r>
        <w:t xml:space="preserve">제9장  다음 단계 — 30일 내 실행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단계</w:t>
            </w:r>
          </w:p>
        </w:tc>
        <w:tc>
          <w:tcPr>
            <w:tcW w:type="dxa" w:w="73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내용</w:t>
            </w:r>
          </w:p>
        </w:tc>
      </w:tr>
      <w:tr>
        <w:tc>
          <w:tcPr>
            <w:tcW w:type="dxa" w:w="20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① 담당자 미팅</w:t>
            </w:r>
          </w:p>
        </w:tc>
        <w:tc>
          <w:tcPr>
            <w:tcW w:type="dxa" w:w="73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ESG위원회·ESG 추진팀·키움과나눔 동석 30분 미팅 → 우선 파트너십 유형 논의</w:t>
            </w:r>
          </w:p>
        </w:tc>
      </w:tr>
      <w:tr>
        <w:tc>
          <w:tcPr>
            <w:tcW w:type="dxa" w:w="20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② 맞춤 제안서</w:t>
            </w:r>
          </w:p>
        </w:tc>
        <w:tc>
          <w:tcPr>
            <w:tcW w:type="dxa" w:w="73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미팅 후 7일 내 키움 ESG 보고서 항목에 최적화된 맞춤 계약안 제출</w:t>
            </w:r>
          </w:p>
        </w:tc>
      </w:tr>
      <w:tr>
        <w:tc>
          <w:tcPr>
            <w:tcW w:type="dxa" w:w="20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③ 현장 방문</w:t>
            </w:r>
          </w:p>
        </w:tc>
        <w:tc>
          <w:tcPr>
            <w:tcW w:type="dxa" w:w="73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예정 부지 방문 — 자연환경·스마트팜·태양광 입지 직접 확인</w:t>
            </w:r>
          </w:p>
        </w:tc>
      </w:tr>
      <w:tr>
        <w:tc>
          <w:tcPr>
            <w:tcW w:type="dxa" w:w="20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④ MOU 체결</w:t>
            </w:r>
          </w:p>
        </w:tc>
        <w:tc>
          <w:tcPr>
            <w:tcW w:type="dxa" w:w="73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2026년 하반기 내 파트너십 MOU 체결 → 당해년도 ESG 보고서 반영 가능</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5E9" w:sz="4"/>
              <w:left w:val="single" w:color="2E7D32" w:sz="18"/>
              <w:bottom w:val="single" w:color="E8F5E9" w:sz="4"/>
              <w:right w:val="single" w:color="E8F5E9" w:sz="4"/>
            </w:tcBorders>
            <w:shd w:fill="E8F5E9" w:val="clear"/>
            <w:tcMar>
              <w:top w:type="dxa" w:w="120"/>
              <w:left w:type="dxa" w:w="200"/>
              <w:bottom w:type="dxa" w:w="120"/>
              <w:right w:type="dxa" w:w="160"/>
            </w:tcMar>
          </w:tcPr>
          <w:p>
            <w:pPr>
              <w:jc w:val="center"/>
            </w:pPr>
            <w:r>
              <w:rPr>
                <w:b/>
                <w:bCs/>
                <w:color w:val="1B5E20"/>
              </w:rPr>
              <w:t xml:space="preserve">키움증권그룹의 ‘나눌수록 커진다’가, 한 마을의 일상으로 실현되는 지점에서 — 진정한 임팩트가 만들어집니다.</w:t>
            </w:r>
          </w:p>
        </w:tc>
      </w:tr>
    </w:tbl>
    <w:p>
      <w:pPr>
        <w:spacing w:after="160"/>
      </w:pPr>
    </w:p>
    <w:p>
      <w:pPr>
        <w:spacing w:after="30" w:before="0" w:line="276"/>
        <w:jc w:val="center"/>
      </w:pPr>
      <w:r>
        <w:rPr>
          <w:b w:val="false"/>
          <w:bCs w:val="false"/>
          <w:i w:val="false"/>
          <w:iCs w:val="false"/>
          <w:color w:val="555555"/>
        </w:rPr>
        <w:t xml:space="preserve">2026년   |   자연돌봄공동체 사회적협동조합 설립 준비위원회</w:t>
      </w:r>
    </w:p>
    <w:p>
      <w:pPr>
        <w:spacing w:after="120" w:before="0" w:line="276"/>
        <w:jc w:val="center"/>
      </w:pPr>
      <w:r>
        <w:rPr>
          <w:b w:val="false"/>
          <w:bCs w:val="false"/>
          <w:i w:val="false"/>
          <w:iCs w:val="false"/>
          <w:color w:val="555555"/>
        </w:rPr>
        <w:t xml:space="preserve">대표  이 상 석    ☎ 010-2521-2030</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E6C9" w:sz="4" w:space="6"/>
      </w:pBdr>
      <w:jc w:val="center"/>
    </w:pPr>
    <w:r>
      <w:rPr>
        <w:color w:val="888888"/>
        <w:sz w:val="16"/>
        <w:szCs w:val="16"/>
      </w:rPr>
      <w:t xml:space="preserve">자연돌봄공동체 키움증권그룹 ESG 제안서   |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21212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120"/>
      <w:jc w:val="center"/>
    </w:pPr>
    <w:rPr>
      <w:rFonts w:ascii="맑은 고딕" w:cs="맑은 고딕" w:eastAsia="맑은 고딕" w:hAnsi="맑은 고딕"/>
      <w:b/>
      <w:bCs/>
      <w:color w:val="1B5E20"/>
      <w:sz w:val="54"/>
      <w:szCs w:val="54"/>
    </w:rPr>
  </w:style>
  <w:style w:type="paragraph" w:styleId="Heading1">
    <w:name w:val="Heading 1"/>
    <w:basedOn w:val="Normal"/>
    <w:next w:val="Normal"/>
    <w:qFormat/>
    <w:pPr>
      <w:pBdr>
        <w:bottom w:val="single" w:color="1B5E20" w:sz="6" w:space="2"/>
      </w:pBdr>
      <w:shd w:fill="2E7D32" w:val="clear"/>
      <w:spacing w:after="160" w:before="320"/>
      <w:outlineLvl w:val="0"/>
    </w:pPr>
    <w:rPr>
      <w:rFonts w:ascii="맑은 고딕" w:cs="맑은 고딕" w:eastAsia="맑은 고딕" w:hAnsi="맑은 고딕"/>
      <w:b/>
      <w:bCs/>
      <w:color w:val="FFFFFF"/>
      <w:sz w:val="29"/>
      <w:szCs w:val="29"/>
    </w:rPr>
  </w:style>
  <w:style w:type="paragraph" w:styleId="Heading2">
    <w:name w:val="Heading 2"/>
    <w:basedOn w:val="Normal"/>
    <w:next w:val="Normal"/>
    <w:qFormat/>
    <w:pPr>
      <w:pBdr>
        <w:bottom w:val="single" w:color="C8E6C9" w:sz="4" w:space="2"/>
      </w:pBdr>
      <w:spacing w:after="100" w:before="240"/>
      <w:outlineLvl w:val="1"/>
    </w:pPr>
    <w:rPr>
      <w:rFonts w:ascii="맑은 고딕" w:cs="맑은 고딕" w:eastAsia="맑은 고딕" w:hAnsi="맑은 고딕"/>
      <w:b/>
      <w:bCs/>
      <w:color w:val="1B5E20"/>
      <w:sz w:val="24"/>
      <w:szCs w:val="24"/>
    </w:rPr>
  </w:style>
  <w:style w:type="paragraph" w:styleId="Heading3">
    <w:name w:val="Heading 3"/>
    <w:basedOn w:val="Normal"/>
    <w:next w:val="Normal"/>
    <w:qFormat/>
    <w:pPr>
      <w:spacing w:after="60" w:before="160"/>
      <w:outlineLvl w:val="2"/>
    </w:pPr>
    <w:rPr>
      <w:rFonts w:ascii="맑은 고딕" w:cs="맑은 고딕" w:eastAsia="맑은 고딕" w:hAnsi="맑은 고딕"/>
      <w:b/>
      <w:bCs/>
      <w:color w:val="43A04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2026-06-16T07:51:44.158Z</dcterms:created>
  <dcterms:modified xsi:type="dcterms:W3CDTF">2026-06-16T07:51:44.159Z</dcterms:modified>
</cp:coreProperties>
</file>

<file path=docProps/custom.xml><?xml version="1.0" encoding="utf-8"?>
<Properties xmlns="http://schemas.openxmlformats.org/officeDocument/2006/custom-properties" xmlns:vt="http://schemas.openxmlformats.org/officeDocument/2006/docPropsVTypes"/>
</file>