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mc:Ignorable="w14 wp14 w15">
  <w:body>
    <w:tbl>
      <w:tblPr>
        <w:tblW w:w="9510" w:type="dxa"/>
        <w:jc w:val="center"/>
        <w:tblInd w:w="0" w:type="dxa"/>
        <w:tblLayout w:type="fixed"/>
        <w:tblCellMar>
          <w:top w:w="28" w:type="dxa"/>
          <w:start w:w="102" w:type="dxa"/>
          <w:bottom w:w="28" w:type="dxa"/>
          <w:end w:w="102" w:type="dxa"/>
        </w:tblCellMar>
      </w:tblPr>
      <w:tblGrid>
        <w:gridCol w:w="1917"/>
        <w:gridCol w:w="2474"/>
        <w:gridCol w:w="57"/>
        <w:gridCol w:w="1587"/>
        <w:gridCol w:w="944"/>
        <w:gridCol w:w="2531"/>
      </w:tblGrid>
      <w:tr>
        <w:trPr>
          <w:trHeight w:val="398" w:hRule="atLeast"/>
        </w:trPr>
        <w:tc>
          <w:tcPr>
            <w:tcW w:w="9510" w:type="dxa"/>
            <w:gridSpan w:val="6"/>
            <w:tcBorders>
              <w:bottom w:val="single" w:sz="8" w:space="0" w:color="000000"/>
            </w:tcBorders>
            <w:vAlign w:val="center"/>
          </w:tcPr>
          <w:p>
            <w:pPr>
              <w:pStyle w:val="Style15"/>
              <w:snapToGrid w:val="false"/>
              <w:spacing w:lineRule="auto" w:line="240"/>
              <w:jc w:val="center"/>
              <w:rPr>
                <w:rFonts w:ascii="HY헤드라인M" w:hAnsi="HY헤드라인M" w:eastAsia="HY헤드라인M" w:cs="HY헤드라인M"/>
                <w:spacing w:val="-18"/>
                <w:sz w:val="12"/>
                <w:szCs w:val="12"/>
                <w:lang w:eastAsia="ko-KR"/>
              </w:rPr>
            </w:pPr>
            <w:r>
              <w:rPr>
                <w:rFonts w:eastAsia="HY헤드라인M" w:cs="HY헤드라인M" w:ascii="HY헤드라인M" w:hAnsi="HY헤드라인M"/>
                <w:spacing w:val="-18"/>
                <w:sz w:val="12"/>
                <w:szCs w:val="12"/>
                <w:lang w:eastAsia="ko-KR"/>
              </w:rPr>
            </w:r>
          </w:p>
        </w:tc>
      </w:tr>
      <w:tr>
        <w:trPr>
          <w:trHeight w:val="659" w:hRule="atLeast"/>
        </w:trPr>
        <w:tc>
          <w:tcPr>
            <w:tcW w:w="9510" w:type="dxa"/>
            <w:gridSpan w:val="6"/>
            <w:tcBorders>
              <w:top w:val="single" w:sz="8" w:space="0" w:color="000000"/>
              <w:bottom w:val="single" w:sz="8" w:space="0" w:color="000000"/>
            </w:tcBorders>
            <w:shd w:fill="BFBFBF" w:val="clear"/>
            <w:vAlign w:val="center"/>
          </w:tcPr>
          <w:p>
            <w:pPr>
              <w:pStyle w:val="Style15"/>
              <w:spacing w:lineRule="auto" w:line="240"/>
              <w:jc w:val="center"/>
              <w:rPr>
                <w:rFonts w:ascii="HY헤드라인M" w:hAnsi="HY헤드라인M" w:eastAsia="HY헤드라인M" w:cs="HY헤드라인M"/>
                <w:spacing w:val="-18"/>
                <w:sz w:val="36"/>
                <w:szCs w:val="36"/>
                <w:lang w:eastAsia="ko-KR"/>
              </w:rPr>
            </w:pPr>
            <w:r>
              <w:rPr>
                <w:rFonts w:eastAsia="HY헤드라인M" w:cs="HY헤드라인M" w:ascii="HY헤드라인M" w:hAnsi="HY헤드라인M"/>
                <w:spacing w:val="-18"/>
                <w:sz w:val="36"/>
                <w:szCs w:val="36"/>
                <w:lang w:eastAsia="ko-KR"/>
              </w:rPr>
              <w:t>2026</w:t>
            </w:r>
            <w:r>
              <w:rPr>
                <w:rFonts w:ascii="HY헤드라인M" w:hAnsi="HY헤드라인M" w:cs="HY헤드라인M" w:eastAsia="HY헤드라인M"/>
                <w:spacing w:val="-18"/>
                <w:sz w:val="36"/>
                <w:szCs w:val="36"/>
                <w:lang w:eastAsia="ko-KR"/>
              </w:rPr>
              <w:t>년 제</w:t>
            </w:r>
            <w:r>
              <w:rPr>
                <w:rFonts w:eastAsia="HY헤드라인M" w:cs="HY헤드라인M" w:ascii="HY헤드라인M" w:hAnsi="HY헤드라인M"/>
                <w:spacing w:val="-18"/>
                <w:sz w:val="36"/>
                <w:szCs w:val="36"/>
                <w:lang w:eastAsia="ko-KR"/>
              </w:rPr>
              <w:t>3</w:t>
            </w:r>
            <w:r>
              <w:rPr>
                <w:rFonts w:ascii="HY헤드라인M" w:hAnsi="HY헤드라인M" w:cs="HY헤드라인M" w:eastAsia="HY헤드라인M"/>
                <w:spacing w:val="-18"/>
                <w:sz w:val="36"/>
                <w:szCs w:val="36"/>
                <w:lang w:eastAsia="ko-KR"/>
              </w:rPr>
              <w:t xml:space="preserve">차 국방 </w:t>
            </w:r>
            <w:r>
              <w:rPr>
                <w:rFonts w:eastAsia="HY헤드라인M" w:cs="HY헤드라인M" w:ascii="HY헤드라인M" w:hAnsi="HY헤드라인M"/>
                <w:spacing w:val="-18"/>
                <w:sz w:val="36"/>
                <w:szCs w:val="36"/>
                <w:lang w:eastAsia="ko-KR"/>
              </w:rPr>
              <w:t xml:space="preserve">AI </w:t>
            </w:r>
            <w:r>
              <w:rPr>
                <w:rFonts w:ascii="HY헤드라인M" w:hAnsi="HY헤드라인M" w:cs="HY헤드라인M" w:eastAsia="HY헤드라인M"/>
                <w:spacing w:val="-18"/>
                <w:sz w:val="36"/>
                <w:szCs w:val="36"/>
                <w:lang w:eastAsia="ko-KR"/>
              </w:rPr>
              <w:t>활용 아이디어 경연대회 공모 기획서</w:t>
            </w:r>
          </w:p>
        </w:tc>
      </w:tr>
      <w:tr>
        <w:trPr>
          <w:trHeight w:val="346" w:hRule="atLeast"/>
        </w:trPr>
        <w:tc>
          <w:tcPr>
            <w:tcW w:w="9510" w:type="dxa"/>
            <w:gridSpan w:val="6"/>
            <w:tcBorders>
              <w:top w:val="single" w:sz="8" w:space="0" w:color="000000"/>
              <w:bottom w:val="single" w:sz="8" w:space="0" w:color="000000"/>
            </w:tcBorders>
            <w:vAlign w:val="center"/>
          </w:tcPr>
          <w:p>
            <w:pPr>
              <w:pStyle w:val="Style15"/>
              <w:snapToGrid w:val="false"/>
              <w:spacing w:lineRule="auto" w:line="240"/>
              <w:jc w:val="center"/>
              <w:rPr>
                <w:rFonts w:ascii="맑은 고딕" w:hAnsi="맑은 고딕" w:eastAsia="맑은 고딕" w:cs="맑은 고딕"/>
                <w:b/>
                <w:bCs/>
                <w:spacing w:val="-18"/>
                <w:sz w:val="12"/>
                <w:szCs w:val="12"/>
                <w:lang w:eastAsia="ko-KR"/>
              </w:rPr>
            </w:pPr>
            <w:r>
              <w:rPr>
                <w:rFonts w:eastAsia="맑은 고딕" w:cs="맑은 고딕" w:ascii="맑은 고딕" w:hAnsi="맑은 고딕"/>
                <w:b/>
                <w:bCs/>
                <w:spacing w:val="-18"/>
                <w:sz w:val="12"/>
                <w:szCs w:val="12"/>
                <w:lang w:eastAsia="ko-KR"/>
              </w:rPr>
            </w:r>
          </w:p>
        </w:tc>
      </w:tr>
      <w:tr>
        <w:trPr>
          <w:trHeight w:val="542" w:hRule="atLeast"/>
        </w:trPr>
        <w:tc>
          <w:tcPr>
            <w:tcW w:w="9510" w:type="dxa"/>
            <w:gridSpan w:val="6"/>
            <w:tcBorders>
              <w:top w:val="single" w:sz="8" w:space="0" w:color="000000"/>
              <w:start w:val="single" w:sz="8" w:space="0" w:color="000000"/>
              <w:bottom w:val="single" w:sz="2" w:space="0" w:color="000000"/>
              <w:end w:val="single" w:sz="8" w:space="0" w:color="000000"/>
            </w:tcBorders>
            <w:shd w:fill="D9D9D9" w:val="clear"/>
            <w:vAlign w:val="center"/>
          </w:tcPr>
          <w:p>
            <w:pPr>
              <w:pStyle w:val="Style15"/>
              <w:spacing w:lineRule="auto" w:line="240"/>
              <w:jc w:val="start"/>
              <w:rPr>
                <w:rFonts w:ascii="맑은 고딕" w:hAnsi="맑은 고딕" w:eastAsia="맑은 고딕" w:cs="맑은 고딕"/>
                <w:b/>
                <w:bCs/>
                <w:sz w:val="26"/>
                <w:szCs w:val="26"/>
              </w:rPr>
            </w:pPr>
            <w:r>
              <w:rPr>
                <w:rFonts w:eastAsia="맑은 고딕" w:cs="맑은 고딕" w:ascii="맑은 고딕" w:hAnsi="맑은 고딕"/>
                <w:b/>
                <w:bCs/>
                <w:sz w:val="26"/>
                <w:szCs w:val="26"/>
              </w:rPr>
              <w:t xml:space="preserve">1. </w:t>
            </w:r>
            <w:r>
              <w:rPr>
                <w:rFonts w:ascii="맑은 고딕" w:hAnsi="맑은 고딕" w:cs="맑은 고딕" w:eastAsia="맑은 고딕"/>
                <w:b/>
                <w:bCs/>
                <w:sz w:val="26"/>
                <w:szCs w:val="26"/>
              </w:rPr>
              <w:t>참가자 정보</w:t>
            </w:r>
          </w:p>
        </w:tc>
      </w:tr>
      <w:tr>
        <w:trPr>
          <w:trHeight w:val="502" w:hRule="atLeast"/>
        </w:trPr>
        <w:tc>
          <w:tcPr>
            <w:tcW w:w="1917" w:type="dxa"/>
            <w:tcBorders>
              <w:top w:val="single" w:sz="2" w:space="0" w:color="000000"/>
              <w:start w:val="single" w:sz="8" w:space="0" w:color="000000"/>
              <w:bottom w:val="single" w:sz="2"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sz w:val="22"/>
                <w:szCs w:val="22"/>
              </w:rPr>
            </w:pPr>
            <w:r>
              <w:rPr>
                <w:rFonts w:ascii="맑은 고딕" w:hAnsi="맑은 고딕" w:cs="맑은 고딕" w:eastAsia="맑은 고딕"/>
                <w:sz w:val="22"/>
                <w:szCs w:val="22"/>
              </w:rPr>
              <w:t>접수번호</w:t>
            </w:r>
          </w:p>
        </w:tc>
        <w:tc>
          <w:tcPr>
            <w:tcW w:w="7593" w:type="dxa"/>
            <w:gridSpan w:val="5"/>
            <w:tcBorders>
              <w:top w:val="single" w:sz="2" w:space="0" w:color="000000"/>
              <w:start w:val="single" w:sz="2" w:space="0" w:color="000000"/>
              <w:bottom w:val="single" w:sz="2" w:space="0" w:color="000000"/>
              <w:end w:val="single" w:sz="8" w:space="0" w:color="000000"/>
            </w:tcBorders>
            <w:vAlign w:val="center"/>
          </w:tcPr>
          <w:p>
            <w:pPr>
              <w:pStyle w:val="Style15"/>
              <w:spacing w:lineRule="auto" w:line="240"/>
              <w:jc w:val="start"/>
              <w:rPr>
                <w:rFonts w:ascii="맑은 고딕" w:hAnsi="맑은 고딕" w:eastAsia="맑은 고딕" w:cs="맑은 고딕"/>
                <w:i/>
                <w:i/>
                <w:iCs/>
                <w:color w:val="0000FF"/>
                <w:sz w:val="22"/>
                <w:szCs w:val="22"/>
                <w:lang w:eastAsia="ko-KR"/>
              </w:rPr>
            </w:pPr>
            <w:r>
              <w:rPr>
                <w:rFonts w:eastAsia="맑은 고딕" w:cs="맑은 고딕" w:ascii="맑은 고딕" w:hAnsi="맑은 고딕"/>
                <w:i/>
                <w:iCs/>
                <w:color w:val="0000FF"/>
                <w:sz w:val="22"/>
                <w:szCs w:val="22"/>
                <w:lang w:eastAsia="ko-KR"/>
              </w:rPr>
              <w:t xml:space="preserve">※ </w:t>
            </w:r>
            <w:r>
              <w:rPr>
                <w:rFonts w:ascii="맑은 고딕" w:hAnsi="맑은 고딕" w:cs="맑은 고딕" w:eastAsia="맑은 고딕"/>
                <w:i/>
                <w:iCs/>
                <w:color w:val="0000FF"/>
                <w:sz w:val="22"/>
                <w:szCs w:val="22"/>
                <w:lang w:eastAsia="ko-KR"/>
              </w:rPr>
              <w:t>접수번호란은 비워두세요</w:t>
            </w:r>
            <w:r>
              <w:rPr>
                <w:rFonts w:eastAsia="맑은 고딕" w:cs="맑은 고딕" w:ascii="맑은 고딕" w:hAnsi="맑은 고딕"/>
                <w:i/>
                <w:iCs/>
                <w:color w:val="0000FF"/>
                <w:sz w:val="22"/>
                <w:szCs w:val="22"/>
                <w:lang w:eastAsia="ko-KR"/>
              </w:rPr>
              <w:t>.(</w:t>
            </w:r>
            <w:r>
              <w:rPr>
                <w:rFonts w:ascii="맑은 고딕" w:hAnsi="맑은 고딕" w:cs="맑은 고딕" w:eastAsia="맑은 고딕"/>
                <w:i/>
                <w:iCs/>
                <w:color w:val="0000FF"/>
                <w:sz w:val="22"/>
                <w:szCs w:val="22"/>
                <w:lang w:eastAsia="ko-KR"/>
              </w:rPr>
              <w:t>운영사무국에서 일괄 부여 예정</w:t>
            </w:r>
            <w:r>
              <w:rPr>
                <w:rFonts w:eastAsia="맑은 고딕" w:cs="맑은 고딕" w:ascii="맑은 고딕" w:hAnsi="맑은 고딕"/>
                <w:i/>
                <w:iCs/>
                <w:color w:val="0000FF"/>
                <w:sz w:val="22"/>
                <w:szCs w:val="22"/>
                <w:lang w:eastAsia="ko-KR"/>
              </w:rPr>
              <w:t>)</w:t>
            </w:r>
          </w:p>
        </w:tc>
      </w:tr>
      <w:tr>
        <w:trPr>
          <w:trHeight w:val="502" w:hRule="atLeast"/>
        </w:trPr>
        <w:tc>
          <w:tcPr>
            <w:tcW w:w="1917" w:type="dxa"/>
            <w:tcBorders>
              <w:top w:val="single" w:sz="2" w:space="0" w:color="000000"/>
              <w:start w:val="single" w:sz="8" w:space="0" w:color="000000"/>
              <w:bottom w:val="single" w:sz="2"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sz w:val="22"/>
                <w:szCs w:val="22"/>
              </w:rPr>
            </w:pPr>
            <w:r>
              <w:rPr>
                <w:rFonts w:ascii="맑은 고딕" w:hAnsi="맑은 고딕" w:cs="맑은 고딕" w:eastAsia="맑은 고딕"/>
                <w:sz w:val="22"/>
                <w:szCs w:val="22"/>
              </w:rPr>
              <w:t>특허</w:t>
            </w:r>
            <w:r>
              <w:rPr>
                <w:rFonts w:eastAsia="맑은 고딕" w:cs="맑은 고딕" w:ascii="맑은 고딕" w:hAnsi="맑은 고딕"/>
                <w:sz w:val="22"/>
                <w:szCs w:val="22"/>
              </w:rPr>
              <w:t>(</w:t>
            </w:r>
            <w:r>
              <w:rPr>
                <w:rFonts w:ascii="맑은 고딕" w:hAnsi="맑은 고딕" w:cs="맑은 고딕" w:eastAsia="맑은 고딕"/>
                <w:sz w:val="22"/>
                <w:szCs w:val="22"/>
              </w:rPr>
              <w:t>출원</w:t>
            </w:r>
            <w:r>
              <w:rPr>
                <w:rFonts w:eastAsia="맑은 고딕" w:cs="맑은 고딕" w:ascii="맑은 고딕" w:hAnsi="맑은 고딕"/>
                <w:sz w:val="22"/>
                <w:szCs w:val="22"/>
              </w:rPr>
              <w:t>)</w:t>
            </w:r>
            <w:r>
              <w:rPr>
                <w:rFonts w:ascii="맑은 고딕" w:hAnsi="맑은 고딕" w:cs="맑은 고딕" w:eastAsia="맑은 고딕"/>
                <w:sz w:val="22"/>
                <w:szCs w:val="22"/>
              </w:rPr>
              <w:t>번호</w:t>
            </w:r>
          </w:p>
        </w:tc>
        <w:tc>
          <w:tcPr>
            <w:tcW w:w="7593" w:type="dxa"/>
            <w:gridSpan w:val="5"/>
            <w:tcBorders>
              <w:top w:val="single" w:sz="2" w:space="0" w:color="000000"/>
              <w:start w:val="single" w:sz="2" w:space="0" w:color="000000"/>
              <w:bottom w:val="single" w:sz="2" w:space="0" w:color="000000"/>
              <w:end w:val="single" w:sz="8" w:space="0" w:color="000000"/>
            </w:tcBorders>
            <w:vAlign w:val="center"/>
          </w:tcPr>
          <w:p>
            <w:pPr>
              <w:pStyle w:val="Style15"/>
              <w:spacing w:lineRule="auto" w:line="240"/>
              <w:jc w:val="start"/>
              <w:rPr>
                <w:rFonts w:ascii="맑은 고딕" w:hAnsi="맑은 고딕" w:eastAsia="맑은 고딕" w:cs="맑은 고딕"/>
                <w:i/>
                <w:i/>
                <w:iCs/>
                <w:color w:val="0000FF"/>
                <w:sz w:val="22"/>
                <w:szCs w:val="22"/>
                <w:lang w:eastAsia="ko-KR"/>
              </w:rPr>
            </w:pPr>
            <w:r>
              <w:rPr>
                <w:rFonts w:eastAsia="맑은 고딕" w:cs="맑은 고딕" w:ascii="맑은 고딕" w:hAnsi="맑은 고딕"/>
                <w:i/>
                <w:iCs/>
                <w:color w:val="0000FF"/>
                <w:sz w:val="22"/>
                <w:szCs w:val="22"/>
                <w:lang w:eastAsia="ko-KR"/>
              </w:rPr>
              <w:t xml:space="preserve">※ </w:t>
            </w:r>
            <w:r>
              <w:rPr>
                <w:rFonts w:ascii="맑은 고딕" w:hAnsi="맑은 고딕" w:cs="맑은 고딕" w:eastAsia="맑은 고딕"/>
                <w:i/>
                <w:iCs/>
                <w:color w:val="0000FF"/>
                <w:sz w:val="22"/>
                <w:szCs w:val="22"/>
                <w:lang w:eastAsia="ko-KR"/>
              </w:rPr>
              <w:t>특허가 있을 경우 기입</w:t>
            </w:r>
          </w:p>
        </w:tc>
      </w:tr>
      <w:tr>
        <w:trPr>
          <w:trHeight w:val="502" w:hRule="atLeast"/>
        </w:trPr>
        <w:tc>
          <w:tcPr>
            <w:tcW w:w="1917" w:type="dxa"/>
            <w:tcBorders>
              <w:top w:val="single" w:sz="2" w:space="0" w:color="000000"/>
              <w:start w:val="single" w:sz="8" w:space="0" w:color="000000"/>
              <w:bottom w:val="single" w:sz="2"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sz w:val="22"/>
                <w:szCs w:val="22"/>
              </w:rPr>
            </w:pPr>
            <w:r>
              <w:rPr>
                <w:rFonts w:ascii="맑은 고딕" w:hAnsi="맑은 고딕" w:cs="맑은 고딕" w:eastAsia="맑은 고딕"/>
                <w:sz w:val="22"/>
                <w:szCs w:val="22"/>
              </w:rPr>
              <w:t>성    명</w:t>
            </w:r>
          </w:p>
        </w:tc>
        <w:tc>
          <w:tcPr>
            <w:tcW w:w="2474" w:type="dxa"/>
            <w:tcBorders>
              <w:top w:val="single" w:sz="2" w:space="0" w:color="000000"/>
              <w:start w:val="single" w:sz="2" w:space="0" w:color="000000"/>
              <w:bottom w:val="single" w:sz="2" w:space="0" w:color="000000"/>
              <w:end w:val="single" w:sz="2" w:space="0" w:color="000000"/>
            </w:tcBorders>
            <w:vAlign w:val="center"/>
          </w:tcPr>
          <w:p>
            <w:pPr>
              <w:pStyle w:val="Style15"/>
              <w:snapToGrid w:val="false"/>
              <w:spacing w:lineRule="auto" w:line="240"/>
              <w:jc w:val="start"/>
              <w:rPr>
                <w:rFonts w:ascii="맑은 고딕" w:hAnsi="맑은 고딕" w:eastAsia="맑은 고딕" w:cs="맑은 고딕"/>
                <w:sz w:val="22"/>
                <w:szCs w:val="22"/>
              </w:rPr>
            </w:pPr>
            <w:r>
              <w:rPr>
                <w:rFonts w:eastAsia="맑은 고딕" w:cs="맑은 고딕" w:ascii="맑은 고딕" w:hAnsi="맑은 고딕"/>
                <w:sz w:val="22"/>
                <w:szCs w:val="22"/>
              </w:rPr>
            </w:r>
          </w:p>
        </w:tc>
        <w:tc>
          <w:tcPr>
            <w:tcW w:w="1644" w:type="dxa"/>
            <w:gridSpan w:val="2"/>
            <w:tcBorders>
              <w:top w:val="single" w:sz="2" w:space="0" w:color="000000"/>
              <w:start w:val="single" w:sz="2" w:space="0" w:color="000000"/>
              <w:bottom w:val="single" w:sz="2"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sz w:val="22"/>
                <w:szCs w:val="22"/>
              </w:rPr>
            </w:pPr>
            <w:r>
              <w:rPr>
                <w:rFonts w:ascii="맑은 고딕" w:hAnsi="맑은 고딕" w:cs="맑은 고딕" w:eastAsia="맑은 고딕"/>
                <w:sz w:val="22"/>
                <w:szCs w:val="22"/>
              </w:rPr>
              <w:t>소    속</w:t>
            </w:r>
          </w:p>
        </w:tc>
        <w:tc>
          <w:tcPr>
            <w:tcW w:w="3475" w:type="dxa"/>
            <w:gridSpan w:val="2"/>
            <w:tcBorders>
              <w:top w:val="single" w:sz="2" w:space="0" w:color="000000"/>
              <w:start w:val="single" w:sz="2" w:space="0" w:color="000000"/>
              <w:bottom w:val="single" w:sz="2" w:space="0" w:color="000000"/>
              <w:end w:val="single" w:sz="8" w:space="0" w:color="000000"/>
            </w:tcBorders>
            <w:vAlign w:val="center"/>
          </w:tcPr>
          <w:p>
            <w:pPr>
              <w:pStyle w:val="Style15"/>
              <w:snapToGrid w:val="false"/>
              <w:spacing w:lineRule="auto" w:line="240"/>
              <w:jc w:val="start"/>
              <w:rPr>
                <w:rFonts w:ascii="맑은 고딕" w:hAnsi="맑은 고딕" w:eastAsia="맑은 고딕" w:cs="맑은 고딕"/>
                <w:sz w:val="22"/>
                <w:szCs w:val="22"/>
              </w:rPr>
            </w:pPr>
            <w:r>
              <w:rPr>
                <w:rFonts w:eastAsia="맑은 고딕" w:cs="맑은 고딕" w:ascii="맑은 고딕" w:hAnsi="맑은 고딕"/>
                <w:sz w:val="22"/>
                <w:szCs w:val="22"/>
              </w:rPr>
            </w:r>
          </w:p>
        </w:tc>
      </w:tr>
      <w:tr>
        <w:trPr>
          <w:trHeight w:val="502" w:hRule="atLeast"/>
        </w:trPr>
        <w:tc>
          <w:tcPr>
            <w:tcW w:w="1917" w:type="dxa"/>
            <w:tcBorders>
              <w:top w:val="single" w:sz="2" w:space="0" w:color="000000"/>
              <w:start w:val="single" w:sz="8" w:space="0" w:color="000000"/>
              <w:bottom w:val="single" w:sz="2"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sz w:val="22"/>
                <w:szCs w:val="22"/>
              </w:rPr>
            </w:pPr>
            <w:r>
              <w:rPr>
                <w:rFonts w:ascii="맑은 고딕" w:hAnsi="맑은 고딕" w:cs="맑은 고딕" w:eastAsia="맑은 고딕"/>
                <w:sz w:val="22"/>
                <w:szCs w:val="22"/>
              </w:rPr>
              <w:t>전화번호</w:t>
            </w:r>
          </w:p>
        </w:tc>
        <w:tc>
          <w:tcPr>
            <w:tcW w:w="2474" w:type="dxa"/>
            <w:tcBorders>
              <w:top w:val="single" w:sz="2" w:space="0" w:color="000000"/>
              <w:start w:val="single" w:sz="2" w:space="0" w:color="000000"/>
              <w:bottom w:val="single" w:sz="2" w:space="0" w:color="000000"/>
              <w:end w:val="single" w:sz="2" w:space="0" w:color="000000"/>
            </w:tcBorders>
            <w:vAlign w:val="center"/>
          </w:tcPr>
          <w:p>
            <w:pPr>
              <w:pStyle w:val="Style15"/>
              <w:snapToGrid w:val="false"/>
              <w:spacing w:lineRule="auto" w:line="240"/>
              <w:jc w:val="start"/>
              <w:rPr>
                <w:rFonts w:ascii="맑은 고딕" w:hAnsi="맑은 고딕" w:eastAsia="맑은 고딕" w:cs="맑은 고딕"/>
                <w:sz w:val="22"/>
                <w:szCs w:val="22"/>
              </w:rPr>
            </w:pPr>
            <w:r>
              <w:rPr>
                <w:rFonts w:eastAsia="맑은 고딕" w:cs="맑은 고딕" w:ascii="맑은 고딕" w:hAnsi="맑은 고딕"/>
                <w:sz w:val="22"/>
                <w:szCs w:val="22"/>
              </w:rPr>
            </w:r>
          </w:p>
        </w:tc>
        <w:tc>
          <w:tcPr>
            <w:tcW w:w="1644" w:type="dxa"/>
            <w:gridSpan w:val="2"/>
            <w:tcBorders>
              <w:top w:val="single" w:sz="2" w:space="0" w:color="000000"/>
              <w:start w:val="single" w:sz="2" w:space="0" w:color="000000"/>
              <w:bottom w:val="single" w:sz="2"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sz w:val="22"/>
                <w:szCs w:val="22"/>
              </w:rPr>
            </w:pPr>
            <w:r>
              <w:rPr>
                <w:rFonts w:ascii="맑은 고딕" w:hAnsi="맑은 고딕" w:cs="맑은 고딕" w:eastAsia="맑은 고딕"/>
                <w:sz w:val="22"/>
                <w:szCs w:val="22"/>
              </w:rPr>
              <w:t>이 메 일</w:t>
            </w:r>
          </w:p>
        </w:tc>
        <w:tc>
          <w:tcPr>
            <w:tcW w:w="3475" w:type="dxa"/>
            <w:gridSpan w:val="2"/>
            <w:tcBorders>
              <w:top w:val="single" w:sz="2" w:space="0" w:color="000000"/>
              <w:start w:val="single" w:sz="2" w:space="0" w:color="000000"/>
              <w:bottom w:val="single" w:sz="2" w:space="0" w:color="000000"/>
              <w:end w:val="single" w:sz="8" w:space="0" w:color="000000"/>
            </w:tcBorders>
            <w:vAlign w:val="center"/>
          </w:tcPr>
          <w:p>
            <w:pPr>
              <w:pStyle w:val="Style15"/>
              <w:snapToGrid w:val="false"/>
              <w:spacing w:lineRule="auto" w:line="240"/>
              <w:jc w:val="start"/>
              <w:rPr>
                <w:rFonts w:ascii="맑은 고딕" w:hAnsi="맑은 고딕" w:eastAsia="맑은 고딕" w:cs="맑은 고딕"/>
                <w:sz w:val="22"/>
                <w:szCs w:val="22"/>
              </w:rPr>
            </w:pPr>
            <w:r>
              <w:rPr>
                <w:rFonts w:eastAsia="맑은 고딕" w:cs="맑은 고딕" w:ascii="맑은 고딕" w:hAnsi="맑은 고딕"/>
                <w:sz w:val="22"/>
                <w:szCs w:val="22"/>
              </w:rPr>
            </w:r>
          </w:p>
        </w:tc>
      </w:tr>
      <w:tr>
        <w:trPr>
          <w:trHeight w:val="179" w:hRule="atLeast"/>
        </w:trPr>
        <w:tc>
          <w:tcPr>
            <w:tcW w:w="9510" w:type="dxa"/>
            <w:gridSpan w:val="6"/>
            <w:tcBorders>
              <w:top w:val="single" w:sz="8" w:space="0" w:color="000000"/>
              <w:bottom w:val="single" w:sz="8" w:space="0" w:color="000000"/>
            </w:tcBorders>
            <w:vAlign w:val="center"/>
          </w:tcPr>
          <w:p>
            <w:pPr>
              <w:pStyle w:val="Style15"/>
              <w:snapToGrid w:val="false"/>
              <w:spacing w:lineRule="auto" w:line="240"/>
              <w:jc w:val="center"/>
              <w:rPr>
                <w:rFonts w:ascii="맑은 고딕" w:hAnsi="맑은 고딕" w:eastAsia="맑은 고딕" w:cs="맑은 고딕"/>
                <w:sz w:val="12"/>
                <w:szCs w:val="12"/>
              </w:rPr>
            </w:pPr>
            <w:r>
              <w:rPr>
                <w:rFonts w:eastAsia="맑은 고딕" w:cs="맑은 고딕" w:ascii="맑은 고딕" w:hAnsi="맑은 고딕"/>
                <w:sz w:val="12"/>
                <w:szCs w:val="12"/>
              </w:rPr>
            </w:r>
          </w:p>
        </w:tc>
      </w:tr>
      <w:tr>
        <w:trPr>
          <w:trHeight w:val="729" w:hRule="atLeast"/>
        </w:trPr>
        <w:tc>
          <w:tcPr>
            <w:tcW w:w="1917" w:type="dxa"/>
            <w:tcBorders>
              <w:top w:val="single" w:sz="8" w:space="0" w:color="000000"/>
              <w:start w:val="single" w:sz="8" w:space="0" w:color="000000"/>
              <w:bottom w:val="single" w:sz="8" w:space="0" w:color="000000"/>
              <w:end w:val="single" w:sz="2" w:space="0" w:color="000000"/>
            </w:tcBorders>
            <w:shd w:fill="D9D9D9" w:val="clear"/>
            <w:vAlign w:val="center"/>
          </w:tcPr>
          <w:p>
            <w:pPr>
              <w:pStyle w:val="Style15"/>
              <w:spacing w:lineRule="auto" w:line="240"/>
              <w:jc w:val="center"/>
              <w:rPr>
                <w:rFonts w:ascii="맑은 고딕" w:hAnsi="맑은 고딕" w:eastAsia="맑은 고딕" w:cs="맑은 고딕"/>
                <w:b/>
                <w:bCs/>
                <w:sz w:val="26"/>
                <w:szCs w:val="26"/>
              </w:rPr>
            </w:pPr>
            <w:r>
              <w:rPr>
                <w:rFonts w:ascii="맑은 고딕" w:hAnsi="맑은 고딕" w:cs="맑은 고딕" w:eastAsia="맑은 고딕"/>
                <w:b/>
                <w:bCs/>
                <w:sz w:val="26"/>
                <w:szCs w:val="26"/>
              </w:rPr>
              <w:t>아이디어명</w:t>
            </w:r>
          </w:p>
        </w:tc>
        <w:tc>
          <w:tcPr>
            <w:tcW w:w="7593" w:type="dxa"/>
            <w:gridSpan w:val="5"/>
            <w:tcBorders>
              <w:top w:val="single" w:sz="8" w:space="0" w:color="000000"/>
              <w:start w:val="single" w:sz="2" w:space="0" w:color="000000"/>
              <w:bottom w:val="single" w:sz="8" w:space="0" w:color="000000"/>
              <w:end w:val="single" w:sz="8" w:space="0" w:color="000000"/>
            </w:tcBorders>
            <w:vAlign w:val="center"/>
          </w:tcPr>
          <w:p>
            <w:pPr>
              <w:pStyle w:val="Style15"/>
              <w:spacing w:lineRule="auto" w:line="240"/>
              <w:jc w:val="start"/>
              <w:rPr>
                <w:rFonts w:ascii="맑은 고딕" w:hAnsi="맑은 고딕" w:eastAsia="맑은 고딕" w:cs="맑은 고딕"/>
                <w:i/>
                <w:i/>
                <w:iCs/>
                <w:color w:val="0000FF"/>
                <w:sz w:val="22"/>
                <w:szCs w:val="22"/>
              </w:rPr>
            </w:pPr>
            <w:r>
              <w:rPr>
                <w:rFonts w:eastAsia="맑은 고딕" w:cs="맑은 고딕" w:ascii="맑은 고딕" w:hAnsi="맑은 고딕"/>
                <w:i/>
                <w:iCs/>
                <w:color w:val="0000FF"/>
                <w:sz w:val="22"/>
                <w:szCs w:val="22"/>
                <w:lang w:eastAsia="ko-KR"/>
              </w:rPr>
              <w:t xml:space="preserve">※ </w:t>
            </w:r>
            <w:r>
              <w:rPr>
                <w:rFonts w:ascii="맑은 고딕" w:hAnsi="맑은 고딕" w:cs="맑은 고딕" w:eastAsia="맑은 고딕"/>
                <w:i/>
                <w:iCs/>
                <w:color w:val="0000FF"/>
                <w:sz w:val="22"/>
                <w:szCs w:val="22"/>
                <w:lang w:eastAsia="ko-KR"/>
              </w:rPr>
              <w:t>파일명 및 아이디어명 사용 제한 특수문자</w:t>
            </w:r>
            <w:r>
              <w:rPr>
                <w:rFonts w:eastAsia="맑은 고딕" w:cs="맑은 고딕" w:ascii="맑은 고딕" w:hAnsi="맑은 고딕"/>
                <w:i/>
                <w:iCs/>
                <w:color w:val="0000FF"/>
                <w:sz w:val="22"/>
                <w:szCs w:val="22"/>
                <w:lang w:eastAsia="ko-KR"/>
              </w:rPr>
              <w:t xml:space="preserve">( \ / : * ? </w:t>
            </w:r>
            <w:r>
              <w:rPr>
                <w:rFonts w:eastAsia="맑은 고딕" w:cs="맑은 고딕" w:ascii="맑은 고딕" w:hAnsi="맑은 고딕"/>
                <w:i/>
                <w:iCs/>
                <w:color w:val="0000FF"/>
                <w:sz w:val="22"/>
                <w:szCs w:val="22"/>
              </w:rPr>
              <w:t>" &lt; &gt; | )</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결식위험 상한제어 기반 부대 급식량 산정 지원체계</w:t>
            </w:r>
          </w:p>
        </w:tc>
      </w:tr>
      <w:tr>
        <w:trPr>
          <w:trHeight w:val="23" w:hRule="atLeast"/>
        </w:trPr>
        <w:tc>
          <w:tcPr>
            <w:tcW w:w="9510" w:type="dxa"/>
            <w:gridSpan w:val="6"/>
            <w:tcBorders>
              <w:top w:val="single" w:sz="8" w:space="0" w:color="000000"/>
              <w:bottom w:val="single" w:sz="8" w:space="0" w:color="000000"/>
            </w:tcBorders>
            <w:vAlign w:val="center"/>
          </w:tcPr>
          <w:p>
            <w:pPr>
              <w:pStyle w:val="Style15"/>
              <w:snapToGrid w:val="false"/>
              <w:spacing w:lineRule="auto" w:line="240"/>
              <w:jc w:val="center"/>
              <w:rPr>
                <w:rFonts w:ascii="맑은 고딕" w:hAnsi="맑은 고딕" w:eastAsia="맑은 고딕" w:cs="맑은 고딕"/>
                <w:i/>
                <w:i/>
                <w:iCs/>
                <w:color w:val="0000FF"/>
                <w:sz w:val="12"/>
                <w:szCs w:val="12"/>
              </w:rPr>
            </w:pPr>
            <w:r>
              <w:rPr>
                <w:rFonts w:eastAsia="맑은 고딕" w:cs="맑은 고딕" w:ascii="맑은 고딕" w:hAnsi="맑은 고딕"/>
                <w:i/>
                <w:iCs/>
                <w:color w:val="0000FF"/>
                <w:sz w:val="12"/>
                <w:szCs w:val="12"/>
              </w:rPr>
            </w:r>
          </w:p>
        </w:tc>
      </w:tr>
      <w:tr>
        <w:trPr>
          <w:trHeight w:val="23" w:hRule="atLeast"/>
        </w:trPr>
        <w:tc>
          <w:tcPr>
            <w:tcW w:w="1917" w:type="dxa"/>
            <w:vMerge w:val="restart"/>
            <w:tcBorders>
              <w:top w:val="single" w:sz="8" w:space="0" w:color="000000"/>
              <w:start w:val="single" w:sz="8" w:space="0" w:color="000000"/>
              <w:bottom w:val="single" w:sz="8" w:space="0" w:color="000000"/>
              <w:end w:val="single" w:sz="4" w:space="0" w:color="000000"/>
            </w:tcBorders>
            <w:shd w:fill="D9D9D9" w:val="clear"/>
            <w:vAlign w:val="center"/>
          </w:tcPr>
          <w:p>
            <w:pPr>
              <w:pStyle w:val="Style15"/>
              <w:jc w:val="center"/>
              <w:rPr>
                <w:rFonts w:ascii="맑은 고딕" w:hAnsi="맑은 고딕" w:eastAsia="맑은 고딕" w:cs="맑은 고딕"/>
                <w:b/>
                <w:bCs/>
                <w:sz w:val="26"/>
                <w:szCs w:val="26"/>
                <w:lang w:eastAsia="ko-KR"/>
              </w:rPr>
            </w:pPr>
            <w:r>
              <w:rPr>
                <w:rFonts w:ascii="맑은 고딕" w:hAnsi="맑은 고딕" w:cs="맑은 고딕" w:eastAsia="맑은 고딕"/>
                <w:b/>
                <w:bCs/>
                <w:sz w:val="26"/>
                <w:szCs w:val="26"/>
                <w:lang w:eastAsia="ko-KR"/>
              </w:rPr>
              <w:t>기술 분야</w:t>
            </w:r>
          </w:p>
          <w:p>
            <w:pPr>
              <w:pStyle w:val="Style15"/>
              <w:jc w:val="center"/>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w:t>
            </w:r>
            <w:r>
              <w:rPr>
                <w:rFonts w:ascii="맑은 고딕" w:hAnsi="맑은 고딕" w:cs="맑은 고딕" w:eastAsia="맑은 고딕"/>
                <w:sz w:val="22"/>
                <w:szCs w:val="22"/>
                <w:lang w:eastAsia="ko-KR"/>
              </w:rPr>
              <w:t>중복 선택 가능</w:t>
            </w:r>
            <w:r>
              <w:rPr>
                <w:rFonts w:eastAsia="맑은 고딕" w:cs="맑은 고딕" w:ascii="맑은 고딕" w:hAnsi="맑은 고딕"/>
                <w:sz w:val="22"/>
                <w:szCs w:val="22"/>
                <w:lang w:eastAsia="ko-KR"/>
              </w:rPr>
              <w:t>)</w:t>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웹 기반 기술</w:t>
            </w:r>
          </w:p>
        </w:tc>
        <w:tc>
          <w:tcPr>
            <w:tcW w:w="2531" w:type="dxa"/>
            <w:gridSpan w:val="2"/>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모바일 기반 기술</w:t>
            </w:r>
          </w:p>
        </w:tc>
        <w:tc>
          <w:tcPr>
            <w:tcW w:w="2531" w:type="dxa"/>
            <w:tcBorders>
              <w:end w:val="single" w:sz="8"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임베디드 기반 기술</w:t>
            </w:r>
          </w:p>
        </w:tc>
      </w:tr>
      <w:tr>
        <w:trPr>
          <w:trHeight w:val="23" w:hRule="atLeast"/>
        </w:trPr>
        <w:tc>
          <w:tcPr>
            <w:tcW w:w="1917" w:type="dxa"/>
            <w:vMerge w:val="continue"/>
            <w:tcBorders>
              <w:top w:val="single" w:sz="8" w:space="0" w:color="000000"/>
              <w:start w:val="single" w:sz="8" w:space="0" w:color="000000"/>
              <w:bottom w:val="single" w:sz="8" w:space="0" w:color="000000"/>
              <w:end w:val="single" w:sz="4" w:space="0" w:color="000000"/>
            </w:tcBorders>
            <w:shd w:fill="D9D9D9"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클라우드 네이티브</w:t>
            </w:r>
          </w:p>
        </w:tc>
        <w:tc>
          <w:tcPr>
            <w:tcW w:w="2531" w:type="dxa"/>
            <w:gridSpan w:val="2"/>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엣지 컴퓨팅</w:t>
            </w:r>
          </w:p>
        </w:tc>
        <w:tc>
          <w:tcPr>
            <w:tcW w:w="2531" w:type="dxa"/>
            <w:tcBorders>
              <w:end w:val="single" w:sz="8"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엣지</w:t>
            </w:r>
            <w:r>
              <w:rPr>
                <w:rFonts w:eastAsia="맑은 고딕" w:cs="맑은 고딕" w:ascii="맑은 고딕" w:hAnsi="맑은 고딕"/>
                <w:sz w:val="22"/>
                <w:szCs w:val="22"/>
              </w:rPr>
              <w:t>-</w:t>
            </w:r>
            <w:r>
              <w:rPr>
                <w:rFonts w:ascii="맑은 고딕" w:hAnsi="맑은 고딕" w:cs="맑은 고딕" w:eastAsia="맑은 고딕"/>
                <w:sz w:val="22"/>
                <w:szCs w:val="22"/>
              </w:rPr>
              <w:t>클라우드 협업</w:t>
            </w:r>
          </w:p>
        </w:tc>
      </w:tr>
      <w:tr>
        <w:trPr>
          <w:trHeight w:val="23" w:hRule="atLeast"/>
        </w:trPr>
        <w:tc>
          <w:tcPr>
            <w:tcW w:w="1917" w:type="dxa"/>
            <w:vMerge w:val="continue"/>
            <w:tcBorders>
              <w:top w:val="single" w:sz="8" w:space="0" w:color="000000"/>
              <w:start w:val="single" w:sz="8" w:space="0" w:color="000000"/>
              <w:bottom w:val="single" w:sz="8" w:space="0" w:color="000000"/>
              <w:end w:val="single" w:sz="4" w:space="0" w:color="000000"/>
            </w:tcBorders>
            <w:shd w:fill="D9D9D9"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보안</w:t>
            </w:r>
            <w:r>
              <w:rPr>
                <w:rFonts w:eastAsia="맑은 고딕" w:cs="맑은 고딕" w:ascii="맑은 고딕" w:hAnsi="맑은 고딕"/>
                <w:sz w:val="22"/>
                <w:szCs w:val="22"/>
                <w:lang w:eastAsia="ko-KR"/>
              </w:rPr>
              <w:t>*</w:t>
            </w:r>
          </w:p>
        </w:tc>
        <w:tc>
          <w:tcPr>
            <w:tcW w:w="2531" w:type="dxa"/>
            <w:gridSpan w:val="2"/>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데이터 통합</w:t>
            </w:r>
          </w:p>
        </w:tc>
        <w:tc>
          <w:tcPr>
            <w:tcW w:w="2531" w:type="dxa"/>
            <w:tcBorders>
              <w:end w:val="single" w:sz="8" w:space="0" w:color="000000"/>
            </w:tcBorders>
            <w:vAlign w:val="center"/>
          </w:tcPr>
          <w:p>
            <w:pPr>
              <w:pStyle w:val="Style15"/>
              <w:spacing w:lineRule="auto" w:line="240"/>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 xml:space="preserve">기타 </w:t>
            </w:r>
            <w:r>
              <w:rPr>
                <w:rFonts w:eastAsia="맑은 고딕" w:cs="맑은 고딕" w:ascii="맑은 고딕" w:hAnsi="맑은 고딕"/>
                <w:sz w:val="22"/>
                <w:szCs w:val="22"/>
              </w:rPr>
              <w:t>(</w:t>
            </w:r>
            <w:r>
              <w:rPr>
                <w:rFonts w:eastAsia="맑은 고딕" w:cs="맑은 고딕" w:ascii="맑은 고딕" w:hAnsi="맑은 고딕"/>
                <w:sz w:val="22"/>
                <w:szCs w:val="22"/>
                <w:lang w:eastAsia="ko-KR"/>
              </w:rPr>
              <w:t xml:space="preserve">    </w:t>
            </w:r>
            <w:r>
              <w:rPr>
                <w:rFonts w:eastAsia="맑은 고딕" w:cs="맑은 고딕" w:ascii="맑은 고딕" w:hAnsi="맑은 고딕"/>
                <w:sz w:val="22"/>
                <w:szCs w:val="22"/>
              </w:rPr>
              <w:t xml:space="preserve">       )</w:t>
            </w:r>
          </w:p>
        </w:tc>
      </w:tr>
      <w:tr>
        <w:trPr>
          <w:trHeight w:val="23" w:hRule="atLeast"/>
        </w:trPr>
        <w:tc>
          <w:tcPr>
            <w:tcW w:w="9510" w:type="dxa"/>
            <w:gridSpan w:val="6"/>
            <w:tcBorders>
              <w:top w:val="single" w:sz="8" w:space="0" w:color="000000"/>
              <w:bottom w:val="single" w:sz="8" w:space="0" w:color="000000"/>
            </w:tcBorders>
            <w:vAlign w:val="center"/>
          </w:tcPr>
          <w:p>
            <w:pPr>
              <w:pStyle w:val="Normal"/>
              <w:ind w:hanging="204" w:start="204" w:end="0"/>
              <w:textAlignment w:val="baseline"/>
              <w:rPr>
                <w:rFonts w:ascii="함초롬바탕" w:hAnsi="함초롬바탕" w:eastAsia="굴림;Gulim" w:cs="굴림;Gulim"/>
                <w:color w:val="000000"/>
                <w:sz w:val="20"/>
                <w:szCs w:val="20"/>
                <w:lang w:eastAsia="ko-KR"/>
              </w:rPr>
            </w:pPr>
            <w:r>
              <w:rPr>
                <w:rFonts w:cs="굴림;Gulim"/>
                <w:color w:val="008000"/>
                <w:lang w:eastAsia="ko-KR"/>
              </w:rPr>
              <w:t xml:space="preserve">* </w:t>
            </w:r>
            <w:r>
              <w:rPr>
                <w:rFonts w:cs="굴림;Gulim"/>
                <w:color w:val="008000"/>
                <w:lang w:eastAsia="ko-KR"/>
              </w:rPr>
              <w:t>보안 분야에 해당하는 참가작은 ‘</w:t>
            </w:r>
            <w:r>
              <w:rPr>
                <w:rFonts w:cs="굴림;Gulim"/>
                <w:color w:val="008000"/>
                <w:lang w:eastAsia="ko-KR"/>
              </w:rPr>
              <w:t>26. 8. 6.(</w:t>
            </w:r>
            <w:r>
              <w:rPr>
                <w:rFonts w:cs="굴림;Gulim"/>
                <w:color w:val="008000"/>
                <w:lang w:eastAsia="ko-KR"/>
              </w:rPr>
              <w:t>목</w:t>
            </w:r>
            <w:r>
              <w:rPr>
                <w:rFonts w:cs="굴림;Gulim"/>
                <w:color w:val="008000"/>
                <w:lang w:eastAsia="ko-KR"/>
              </w:rPr>
              <w:t>)</w:t>
            </w:r>
            <w:r>
              <w:rPr>
                <w:rFonts w:cs="굴림;Gulim"/>
                <w:color w:val="008000"/>
                <w:lang w:eastAsia="ko-KR"/>
              </w:rPr>
              <w:t>까지 소속 부대</w:t>
            </w:r>
            <w:r>
              <w:rPr>
                <w:rFonts w:cs="굴림;Gulim"/>
                <w:color w:val="008000"/>
                <w:lang w:eastAsia="ko-KR"/>
              </w:rPr>
              <w:t>(</w:t>
            </w:r>
            <w:r>
              <w:rPr>
                <w:rFonts w:cs="굴림;Gulim"/>
                <w:color w:val="008000"/>
                <w:lang w:eastAsia="ko-KR"/>
              </w:rPr>
              <w:t>기관</w:t>
            </w:r>
            <w:r>
              <w:rPr>
                <w:rFonts w:cs="굴림;Gulim"/>
                <w:color w:val="008000"/>
                <w:lang w:eastAsia="ko-KR"/>
              </w:rPr>
              <w:t>)</w:t>
            </w:r>
            <w:r>
              <w:rPr>
                <w:rFonts w:cs="굴림;Gulim"/>
                <w:color w:val="008000"/>
                <w:lang w:eastAsia="ko-KR"/>
              </w:rPr>
              <w:t>의 보안성 검토 결과를 운영사무국 이메일 주소</w:t>
            </w:r>
            <w:r>
              <w:rPr>
                <w:rFonts w:cs="굴림;Gulim"/>
                <w:color w:val="008000"/>
                <w:lang w:eastAsia="ko-KR"/>
              </w:rPr>
              <w:t>(idea@maicon.kr)</w:t>
            </w:r>
            <w:r>
              <w:rPr>
                <w:rFonts w:cs="굴림;Gulim"/>
                <w:color w:val="008000"/>
                <w:lang w:eastAsia="ko-KR"/>
              </w:rPr>
              <w:t>로 필히 제출해야 합니다</w:t>
            </w:r>
            <w:r>
              <w:rPr>
                <w:rFonts w:cs="굴림;Gulim"/>
                <w:color w:val="008000"/>
                <w:lang w:eastAsia="ko-KR"/>
              </w:rPr>
              <w:t>.</w:t>
            </w:r>
          </w:p>
          <w:p>
            <w:pPr>
              <w:pStyle w:val="Normal"/>
              <w:ind w:hanging="204" w:start="204" w:end="0"/>
              <w:textAlignment w:val="baseline"/>
              <w:rPr>
                <w:rFonts w:ascii="함초롬바탕" w:hAnsi="함초롬바탕" w:eastAsia="굴림;Gulim" w:cs="굴림;Gulim"/>
                <w:color w:val="000000"/>
                <w:sz w:val="20"/>
                <w:szCs w:val="20"/>
                <w:lang w:eastAsia="ko-KR"/>
              </w:rPr>
            </w:pPr>
            <w:r>
              <w:rPr>
                <w:rFonts w:cs="굴림;Gulim"/>
                <w:color w:val="008000"/>
                <w:lang w:eastAsia="ko-KR"/>
              </w:rPr>
              <w:t>※</w:t>
            </w:r>
            <w:r>
              <w:rPr>
                <w:rFonts w:cs="맑은 고딕"/>
                <w:color w:val="008000"/>
                <w:lang w:eastAsia="ko-KR"/>
              </w:rPr>
              <w:t xml:space="preserve"> </w:t>
            </w:r>
            <w:r>
              <w:rPr>
                <w:rFonts w:cs="굴림;Gulim"/>
                <w:color w:val="008000"/>
                <w:lang w:eastAsia="ko-KR"/>
              </w:rPr>
              <w:t>보안 부적합 판정 및 미제출 하는 경우 심사 대상에서 제외됨</w:t>
            </w:r>
          </w:p>
          <w:p>
            <w:pPr>
              <w:pStyle w:val="Style15"/>
              <w:spacing w:lineRule="auto" w:line="240"/>
              <w:jc w:val="start"/>
              <w:rPr>
                <w:rFonts w:ascii="맑은 고딕" w:hAnsi="맑은 고딕" w:eastAsia="맑은 고딕" w:cs="맑은 고딕"/>
                <w:color w:val="000000"/>
                <w:sz w:val="12"/>
                <w:szCs w:val="12"/>
                <w:lang w:eastAsia="ko-KR"/>
              </w:rPr>
            </w:pPr>
            <w:r>
              <w:rPr>
                <w:rFonts w:eastAsia="맑은 고딕" w:cs="맑은 고딕" w:ascii="맑은 고딕" w:hAnsi="맑은 고딕"/>
                <w:color w:val="000000"/>
                <w:sz w:val="12"/>
                <w:szCs w:val="12"/>
                <w:lang w:eastAsia="ko-KR"/>
              </w:rPr>
            </w:r>
          </w:p>
        </w:tc>
      </w:tr>
      <w:tr>
        <w:trPr>
          <w:trHeight w:val="23" w:hRule="atLeast"/>
        </w:trPr>
        <w:tc>
          <w:tcPr>
            <w:tcW w:w="1917" w:type="dxa"/>
            <w:vMerge w:val="restart"/>
            <w:tcBorders>
              <w:top w:val="single" w:sz="8" w:space="0" w:color="000000"/>
              <w:start w:val="single" w:sz="8" w:space="0" w:color="000000"/>
              <w:bottom w:val="single" w:sz="8" w:space="0" w:color="000000"/>
              <w:end w:val="single" w:sz="4" w:space="0" w:color="000000"/>
            </w:tcBorders>
            <w:shd w:fill="D9D9D9" w:val="clear"/>
            <w:vAlign w:val="center"/>
          </w:tcPr>
          <w:p>
            <w:pPr>
              <w:pStyle w:val="Style15"/>
              <w:jc w:val="center"/>
              <w:rPr>
                <w:rFonts w:ascii="맑은 고딕" w:hAnsi="맑은 고딕" w:eastAsia="맑은 고딕" w:cs="맑은 고딕"/>
                <w:b/>
                <w:bCs/>
                <w:sz w:val="26"/>
                <w:szCs w:val="26"/>
                <w:lang w:eastAsia="ko-KR"/>
              </w:rPr>
            </w:pPr>
            <w:r>
              <w:rPr>
                <w:rFonts w:eastAsia="맑은 고딕" w:cs="맑은 고딕" w:ascii="맑은 고딕" w:hAnsi="맑은 고딕"/>
                <w:b/>
                <w:bCs/>
                <w:sz w:val="26"/>
                <w:szCs w:val="26"/>
                <w:lang w:eastAsia="ko-KR"/>
              </w:rPr>
              <w:t xml:space="preserve">AI </w:t>
            </w:r>
            <w:r>
              <w:rPr>
                <w:rFonts w:ascii="맑은 고딕" w:hAnsi="맑은 고딕" w:cs="맑은 고딕" w:eastAsia="맑은 고딕"/>
                <w:b/>
                <w:bCs/>
                <w:sz w:val="26"/>
                <w:szCs w:val="26"/>
                <w:lang w:eastAsia="ko-KR"/>
              </w:rPr>
              <w:t>분야</w:t>
            </w:r>
          </w:p>
          <w:p>
            <w:pPr>
              <w:pStyle w:val="Style15"/>
              <w:jc w:val="center"/>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w:t>
            </w:r>
            <w:r>
              <w:rPr>
                <w:rFonts w:ascii="맑은 고딕" w:hAnsi="맑은 고딕" w:cs="맑은 고딕" w:eastAsia="맑은 고딕"/>
                <w:sz w:val="22"/>
                <w:szCs w:val="22"/>
                <w:lang w:eastAsia="ko-KR"/>
              </w:rPr>
              <w:t>중복 선택 가능</w:t>
            </w:r>
            <w:r>
              <w:rPr>
                <w:rFonts w:eastAsia="맑은 고딕" w:cs="맑은 고딕" w:ascii="맑은 고딕" w:hAnsi="맑은 고딕"/>
                <w:sz w:val="22"/>
                <w:szCs w:val="22"/>
                <w:lang w:eastAsia="ko-KR"/>
              </w:rPr>
              <w:t>)</w:t>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컴퓨터 비전</w:t>
            </w:r>
          </w:p>
        </w:tc>
        <w:tc>
          <w:tcPr>
            <w:tcW w:w="2531" w:type="dxa"/>
            <w:gridSpan w:val="2"/>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음성 및 신호 인식</w:t>
            </w:r>
          </w:p>
        </w:tc>
        <w:tc>
          <w:tcPr>
            <w:tcW w:w="2531" w:type="dxa"/>
            <w:tcBorders>
              <w:end w:val="single" w:sz="8"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다중 모달 인식</w:t>
            </w:r>
          </w:p>
        </w:tc>
      </w:tr>
      <w:tr>
        <w:trPr>
          <w:trHeight w:val="23" w:hRule="atLeast"/>
        </w:trPr>
        <w:tc>
          <w:tcPr>
            <w:tcW w:w="1917" w:type="dxa"/>
            <w:vMerge w:val="continue"/>
            <w:tcBorders>
              <w:top w:val="single" w:sz="8" w:space="0" w:color="000000"/>
              <w:start w:val="single" w:sz="8" w:space="0" w:color="000000"/>
              <w:bottom w:val="single" w:sz="8" w:space="0" w:color="000000"/>
              <w:end w:val="single" w:sz="4" w:space="0" w:color="000000"/>
            </w:tcBorders>
            <w:shd w:fill="D9D9D9"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시계열 분석</w:t>
            </w:r>
          </w:p>
        </w:tc>
        <w:tc>
          <w:tcPr>
            <w:tcW w:w="2531" w:type="dxa"/>
            <w:gridSpan w:val="2"/>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예측 및 예지</w:t>
            </w:r>
          </w:p>
        </w:tc>
        <w:tc>
          <w:tcPr>
            <w:tcW w:w="2531" w:type="dxa"/>
            <w:tcBorders>
              <w:end w:val="single" w:sz="8"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이상 징후 탐지</w:t>
            </w:r>
          </w:p>
        </w:tc>
      </w:tr>
      <w:tr>
        <w:trPr>
          <w:trHeight w:val="23" w:hRule="atLeast"/>
        </w:trPr>
        <w:tc>
          <w:tcPr>
            <w:tcW w:w="1917" w:type="dxa"/>
            <w:vMerge w:val="continue"/>
            <w:tcBorders>
              <w:top w:val="single" w:sz="8" w:space="0" w:color="000000"/>
              <w:start w:val="single" w:sz="8" w:space="0" w:color="000000"/>
              <w:bottom w:val="single" w:sz="8" w:space="0" w:color="000000"/>
              <w:end w:val="single" w:sz="4" w:space="0" w:color="000000"/>
            </w:tcBorders>
            <w:shd w:fill="D9D9D9"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eastAsia="맑은 고딕" w:cs="맑은 고딕" w:ascii="맑은 고딕" w:hAnsi="맑은 고딕"/>
                <w:sz w:val="22"/>
                <w:szCs w:val="22"/>
              </w:rPr>
              <w:t xml:space="preserve">LLM </w:t>
            </w:r>
            <w:r>
              <w:rPr>
                <w:rFonts w:ascii="맑은 고딕" w:hAnsi="맑은 고딕" w:cs="맑은 고딕" w:eastAsia="맑은 고딕"/>
                <w:sz w:val="22"/>
                <w:szCs w:val="22"/>
              </w:rPr>
              <w:t>기반</w:t>
            </w:r>
          </w:p>
        </w:tc>
        <w:tc>
          <w:tcPr>
            <w:tcW w:w="2531" w:type="dxa"/>
            <w:gridSpan w:val="2"/>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정보 추출</w:t>
            </w:r>
          </w:p>
        </w:tc>
        <w:tc>
          <w:tcPr>
            <w:tcW w:w="2531" w:type="dxa"/>
            <w:tcBorders>
              <w:end w:val="single" w:sz="8"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정보 시각화</w:t>
            </w:r>
          </w:p>
        </w:tc>
      </w:tr>
      <w:tr>
        <w:trPr>
          <w:trHeight w:val="23" w:hRule="atLeast"/>
        </w:trPr>
        <w:tc>
          <w:tcPr>
            <w:tcW w:w="1917" w:type="dxa"/>
            <w:vMerge w:val="continue"/>
            <w:tcBorders>
              <w:top w:val="single" w:sz="8" w:space="0" w:color="000000"/>
              <w:start w:val="single" w:sz="8" w:space="0" w:color="000000"/>
              <w:bottom w:val="single" w:sz="8" w:space="0" w:color="000000"/>
              <w:end w:val="single" w:sz="4" w:space="0" w:color="000000"/>
            </w:tcBorders>
            <w:shd w:fill="D9D9D9"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2531" w:type="dxa"/>
            <w:gridSpan w:val="2"/>
            <w:tcBorders>
              <w:start w:val="single" w:sz="4" w:space="0" w:color="000000"/>
            </w:tcBorders>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최적화</w:t>
            </w:r>
          </w:p>
        </w:tc>
        <w:tc>
          <w:tcPr>
            <w:tcW w:w="5062" w:type="dxa"/>
            <w:gridSpan w:val="3"/>
            <w:tcBorders>
              <w:end w:val="single" w:sz="8" w:space="0" w:color="000000"/>
            </w:tcBorders>
            <w:vAlign w:val="center"/>
          </w:tcPr>
          <w:p>
            <w:pPr>
              <w:pStyle w:val="Style15"/>
              <w:spacing w:lineRule="auto" w:line="240"/>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w:t>
            </w:r>
            <w:r>
              <w:rPr>
                <w:rFonts w:eastAsia="맑은 고딕" w:cs="맑은 고딕" w:ascii="맑은 고딕" w:hAnsi="맑은 고딕"/>
                <w:sz w:val="22"/>
                <w:szCs w:val="22"/>
              </w:rPr>
              <w:t xml:space="preserve"> </w:t>
            </w:r>
            <w:r>
              <w:rPr>
                <w:rFonts w:ascii="맑은 고딕" w:hAnsi="맑은 고딕" w:cs="맑은 고딕" w:eastAsia="맑은 고딕"/>
                <w:sz w:val="22"/>
                <w:szCs w:val="22"/>
              </w:rPr>
              <w:t xml:space="preserve">기타 </w:t>
            </w:r>
            <w:r>
              <w:rPr>
                <w:rFonts w:eastAsia="맑은 고딕" w:cs="맑은 고딕" w:ascii="맑은 고딕" w:hAnsi="맑은 고딕"/>
                <w:sz w:val="22"/>
                <w:szCs w:val="22"/>
              </w:rPr>
              <w:t>(</w:t>
            </w:r>
            <w:r>
              <w:rPr>
                <w:rFonts w:eastAsia="맑은 고딕" w:cs="맑은 고딕" w:ascii="맑은 고딕" w:hAnsi="맑은 고딕"/>
                <w:sz w:val="22"/>
                <w:szCs w:val="22"/>
                <w:lang w:eastAsia="ko-KR"/>
              </w:rPr>
              <w:t xml:space="preserve">                                  )</w:t>
            </w:r>
          </w:p>
        </w:tc>
      </w:tr>
      <w:tr>
        <w:trPr>
          <w:trHeight w:val="23" w:hRule="atLeast"/>
        </w:trPr>
        <w:tc>
          <w:tcPr>
            <w:tcW w:w="9510" w:type="dxa"/>
            <w:gridSpan w:val="6"/>
            <w:tcBorders>
              <w:top w:val="single" w:sz="8" w:space="0" w:color="000000"/>
              <w:bottom w:val="single" w:sz="8" w:space="0" w:color="000000"/>
            </w:tcBorders>
            <w:vAlign w:val="center"/>
          </w:tcPr>
          <w:p>
            <w:pPr>
              <w:pStyle w:val="Style15"/>
              <w:snapToGrid w:val="false"/>
              <w:spacing w:lineRule="auto" w:line="240"/>
              <w:jc w:val="center"/>
              <w:rPr>
                <w:rFonts w:ascii="맑은 고딕" w:hAnsi="맑은 고딕" w:eastAsia="맑은 고딕" w:cs="맑은 고딕"/>
                <w:sz w:val="12"/>
                <w:szCs w:val="12"/>
                <w:lang w:eastAsia="ko-KR"/>
              </w:rPr>
            </w:pPr>
            <w:r>
              <w:rPr>
                <w:rFonts w:eastAsia="맑은 고딕" w:cs="맑은 고딕" w:ascii="맑은 고딕" w:hAnsi="맑은 고딕"/>
                <w:sz w:val="12"/>
                <w:szCs w:val="12"/>
                <w:lang w:eastAsia="ko-KR"/>
              </w:rPr>
            </w:r>
          </w:p>
        </w:tc>
      </w:tr>
      <w:tr>
        <w:trPr>
          <w:trHeight w:val="129" w:hRule="atLeast"/>
        </w:trPr>
        <w:tc>
          <w:tcPr>
            <w:tcW w:w="9510" w:type="dxa"/>
            <w:gridSpan w:val="6"/>
            <w:tcBorders>
              <w:top w:val="single" w:sz="8" w:space="0" w:color="000000"/>
              <w:start w:val="single" w:sz="8" w:space="0" w:color="000000"/>
              <w:bottom w:val="single" w:sz="2" w:space="0" w:color="000000"/>
              <w:end w:val="single" w:sz="8" w:space="0" w:color="000000"/>
            </w:tcBorders>
            <w:shd w:fill="D9D9D9" w:val="clear"/>
            <w:vAlign w:val="center"/>
          </w:tcPr>
          <w:p>
            <w:pPr>
              <w:pStyle w:val="Style15"/>
              <w:spacing w:lineRule="auto" w:line="240"/>
              <w:jc w:val="start"/>
              <w:rPr>
                <w:rFonts w:ascii="맑은 고딕" w:hAnsi="맑은 고딕" w:eastAsia="맑은 고딕" w:cs="맑은 고딕"/>
                <w:b/>
                <w:bCs/>
                <w:sz w:val="26"/>
                <w:szCs w:val="26"/>
              </w:rPr>
            </w:pPr>
            <w:r>
              <w:rPr>
                <w:rFonts w:eastAsia="맑은 고딕" w:cs="맑은 고딕" w:ascii="맑은 고딕" w:hAnsi="맑은 고딕"/>
                <w:b/>
                <w:bCs/>
                <w:sz w:val="26"/>
                <w:szCs w:val="26"/>
              </w:rPr>
              <w:t xml:space="preserve">2. </w:t>
            </w:r>
            <w:r>
              <w:rPr>
                <w:rFonts w:ascii="맑은 고딕" w:hAnsi="맑은 고딕" w:cs="맑은 고딕" w:eastAsia="맑은 고딕"/>
                <w:b/>
                <w:bCs/>
                <w:sz w:val="26"/>
                <w:szCs w:val="26"/>
              </w:rPr>
              <w:t>아이디어 개요</w:t>
            </w:r>
          </w:p>
        </w:tc>
      </w:tr>
      <w:tr>
        <w:trPr>
          <w:trHeight w:val="466"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1) </w:t>
            </w:r>
            <w:r>
              <w:rPr>
                <w:rFonts w:ascii="맑은 고딕" w:hAnsi="맑은 고딕" w:cs="맑은 고딕" w:eastAsia="맑은 고딕"/>
                <w:b/>
                <w:bCs/>
                <w:sz w:val="22"/>
                <w:szCs w:val="22"/>
              </w:rPr>
              <w:t>제안 배경 및 목적</w:t>
            </w:r>
          </w:p>
        </w:tc>
      </w:tr>
      <w:tr>
        <w:trPr>
          <w:trHeight w:val="1171" w:hRule="atLeast"/>
        </w:trPr>
        <w:tc>
          <w:tcPr>
            <w:tcW w:w="9510" w:type="dxa"/>
            <w:gridSpan w:val="6"/>
            <w:tcBorders>
              <w:top w:val="single" w:sz="2" w:space="0" w:color="000000"/>
              <w:start w:val="single" w:sz="8" w:space="0" w:color="000000"/>
              <w:bottom w:val="single" w:sz="2" w:space="0" w:color="000000"/>
              <w:end w:val="single" w:sz="8" w:space="0" w:color="000000"/>
            </w:tcBorders>
          </w:tcPr>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병영식당의 취사량은 매 끼니 식수인원 신고값과 담당자의 경험적 판단으로 정해진다. 그러나 휴가·외출·파견에 따른 출타 변동, 훈련·행사 일정, 요일과 메뉴에 따른 취식률 차이가 겹치면서 신고 인원과 실제 식사 인원 사이에는 상시적인 편차가 남는다. 결식은 지휘 책임이 따르는 사안이므로 담당자는 구조적으로 넉넉히 취사하는 쪽을 택하게 되고, 이 방어적 과잉취사가 잔반으로 누적된다.</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이 구조는 통계로도 드러난다. 국방부가 기획재정부에 제시한 자료를 인용한 보도에 따르면 군의 음식물 쓰레기 처리비용은 2018년 약 103억 원에서 2023년 약 195억 원으로 늘었다(출처 5). 국정감사 제출자료를 인용한 별도 보도는 장병 1인당 연간 배출량이 2017년 125kg에서 2021년 195kg으로 증가했고, 2020년 기준으로는 장병 182kg으로 같은 해 국민 1인당 100kg의 약 1.8배였다고 전한다(출처 6). 병력이 감소하는 추세에서 1인당 배출량이 늘었다는 사실은, 문제의 원인이 급식의 질이 아니라 “얼마를 만들 것인가”를 정하는 절차 자체에 있음을 시사한다.</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2026년 기본급식비는 1인 1일 13,000원에서 14,000원으로 인상되었다(출처 7). 단가 인상이 급식 만족도로 이어지려면 투입 재원이 잔반으로 빠져나가는 경로를 함께 줄여야 한다. 한편 군 일부 제대에는 급식 자동 청구 체계가 도입되어 식수 인원을 파악하고 적정 식재료량을 예측함으로써 인력과 예산 낭비를 줄이고 있다(출처 8). 이 체계는 집계·예측 정확도를 높여 소요량의 점추정을 개선한다. 그러나 그 추정이 어느 범위로 빗나갈지, 그 불확실성 아래에서 결식위험을 어디까지 감수하며 얼마를 만들 것인지는 여전히 담당자 개인의 판단에 남아 있다.</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집단급식 선행연구는 식수 예측이 오랫동안 경험칙에 의존해 왔으며 데이터 기반 예측이 정확도를 개선함을 보고한다(출처 1, 2). 예측을 재고·발주 결정으로 변환하는 비용최적화 이론은 1950년대 정립 이후 기계학습 예측과 결합되는 흐름으로 발전했다(출처 3, 4). 본 제안의 목적은 예측 정확도를 더 높이는 데 있지 않다. 예측에 남는 불확실성을 확률분포로 드러내고, 결식위험의 허용 수준을 지휘관이 정하는 정책 수치로 노출시켜 통제 가능하게 만드는 데 있다.</w:t>
            </w:r>
          </w:p>
        </w:tc>
      </w:tr>
      <w:tr>
        <w:trPr>
          <w:trHeight w:val="450"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2) </w:t>
            </w:r>
            <w:r>
              <w:rPr>
                <w:rFonts w:ascii="맑은 고딕" w:hAnsi="맑은 고딕" w:cs="맑은 고딕" w:eastAsia="맑은 고딕"/>
                <w:b/>
                <w:bCs/>
                <w:sz w:val="22"/>
                <w:szCs w:val="22"/>
              </w:rPr>
              <w:t>아이디어 요약</w:t>
            </w:r>
          </w:p>
        </w:tc>
      </w:tr>
      <w:tr>
        <w:trPr>
          <w:trHeight w:val="1433" w:hRule="atLeast"/>
        </w:trPr>
        <w:tc>
          <w:tcPr>
            <w:tcW w:w="9510" w:type="dxa"/>
            <w:gridSpan w:val="6"/>
            <w:tcBorders>
              <w:top w:val="single" w:sz="2" w:space="0" w:color="000000"/>
              <w:start w:val="single" w:sz="8" w:space="0" w:color="000000"/>
              <w:bottom w:val="single" w:sz="8" w:space="0" w:color="000000"/>
              <w:end w:val="single" w:sz="8" w:space="0" w:color="000000"/>
            </w:tcBorders>
          </w:tcPr>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기존 식수 신고체계나 급식 자동 청구 체계를 대체하지 않고 그 위에 얹는 2계층 구조다.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예측 계층 — 신고값·출타현황·훈련일정·요일·메뉴를 입력으로 “신고값 대비 실제 취식인원의 편차”를 학습해, 하나의 값이 아니라 확률분포로 산출한다.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결정 계층 — 지휘관이 설정한 결식 허용확률 α(예: 1%)를 서비스수준으로 삼아 분포의 (1−α) 분위에서 권고 취사량을 산출하고, 그 선택이 함의하는 결식·잔반 비용비를 함께 표시한다.</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담당자는 권고량과 불확실성 구간, 산출 근거를 확인해 조정·승인하며 당일 실적은 재학습에 환류된다. 폐쇄망 온프레미스에서 CPU만으로 구동되고 신규 하드웨어 도입이 없다. 자동 청구 체계가 운용 중인 부대라면 그 체계가 표준화한 집계값을 예측 계층의 입력으로 그대로 활용한다.</w:t>
            </w:r>
          </w:p>
        </w:tc>
      </w:tr>
      <w:tr>
        <w:trPr>
          <w:trHeight w:val="263" w:hRule="atLeast"/>
        </w:trPr>
        <w:tc>
          <w:tcPr>
            <w:tcW w:w="9510" w:type="dxa"/>
            <w:gridSpan w:val="6"/>
            <w:tcBorders>
              <w:top w:val="single" w:sz="8" w:space="0" w:color="000000"/>
              <w:start w:val="single" w:sz="8" w:space="0" w:color="000000"/>
              <w:bottom w:val="single" w:sz="2" w:space="0" w:color="000000"/>
              <w:end w:val="single" w:sz="8" w:space="0" w:color="000000"/>
            </w:tcBorders>
            <w:shd w:fill="D9D9D9" w:val="clear"/>
            <w:vAlign w:val="center"/>
          </w:tcPr>
          <w:p>
            <w:pPr>
              <w:pStyle w:val="Style15"/>
              <w:spacing w:lineRule="auto" w:line="240"/>
              <w:jc w:val="start"/>
              <w:rPr>
                <w:rFonts w:ascii="맑은 고딕" w:hAnsi="맑은 고딕" w:eastAsia="맑은 고딕" w:cs="맑은 고딕"/>
                <w:b/>
                <w:bCs/>
                <w:sz w:val="26"/>
                <w:szCs w:val="26"/>
              </w:rPr>
            </w:pPr>
            <w:r>
              <w:rPr>
                <w:rFonts w:eastAsia="맑은 고딕" w:cs="맑은 고딕" w:ascii="맑은 고딕" w:hAnsi="맑은 고딕"/>
                <w:b/>
                <w:bCs/>
                <w:sz w:val="26"/>
                <w:szCs w:val="26"/>
              </w:rPr>
              <w:t xml:space="preserve">3. </w:t>
            </w:r>
            <w:r>
              <w:rPr>
                <w:rFonts w:ascii="맑은 고딕" w:hAnsi="맑은 고딕" w:cs="맑은 고딕" w:eastAsia="맑은 고딕"/>
                <w:b/>
                <w:bCs/>
                <w:sz w:val="26"/>
                <w:szCs w:val="26"/>
              </w:rPr>
              <w:t>세부 기획안</w:t>
            </w:r>
          </w:p>
        </w:tc>
      </w:tr>
      <w:tr>
        <w:trPr>
          <w:trHeight w:val="502"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1) </w:t>
            </w:r>
            <w:r>
              <w:rPr>
                <w:rFonts w:ascii="맑은 고딕" w:hAnsi="맑은 고딕" w:cs="맑은 고딕" w:eastAsia="맑은 고딕"/>
                <w:b/>
                <w:bCs/>
                <w:sz w:val="22"/>
                <w:szCs w:val="22"/>
              </w:rPr>
              <w:t>아이디어 상세내용</w:t>
            </w:r>
          </w:p>
        </w:tc>
      </w:tr>
      <w:tr>
        <w:trPr>
          <w:trHeight w:val="2280" w:hRule="atLeast"/>
        </w:trPr>
        <w:tc>
          <w:tcPr>
            <w:tcW w:w="9510" w:type="dxa"/>
            <w:gridSpan w:val="6"/>
            <w:tcBorders>
              <w:top w:val="single" w:sz="2" w:space="0" w:color="000000"/>
              <w:start w:val="single" w:sz="8" w:space="0" w:color="000000"/>
              <w:bottom w:val="single" w:sz="2" w:space="0" w:color="000000"/>
              <w:end w:val="single" w:sz="8" w:space="0" w:color="000000"/>
            </w:tcBorders>
          </w:tcPr>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가. 예측 계층 — 편차(잔차) 학습</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실제 취식인원을 처음부터 예측하는 대신, 이미 존재하는 신고값을 기준선으로 두고 “신고값 대비 편차”를 학습 대상으로 삼는다. 편차는 절대량보다 분산이 작고 부대 규모 의존성이 낮아, 데이터가 적은 부대에서도 학습이 가능하고 부대 간 모델 전이가 쉽다.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입력 — 끼니별 신고 식수, 출타 집계(휴가·외출·파견), 훈련·행사 일정 구분, 요일·공휴일, 메뉴 속성(주메뉴 분류·선호 지표), 직전 동일요일·동일메뉴 편차 이력</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모델 — 분위수 손실(pinball loss)을 사용하는 경량 그래디언트 부스팅 앙상블. 50·80·90·95·99% 분위를 동시에 출력해 편차의 확률분포를 근사한다.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선택 근거 — 분위수 회귀는 오차의 비대칭 비용 구조를 손실함수 수준에서 직접 반영하고 변수 기여도 제시가 가능하다. 구동은 CPU 추론, 부대당 모델 크기 수 MB 수준으로 GPU·외부 API가 불필요하다.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나. 결정 계층 — 결식위험 상한 제어</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고전 재고이론의 표준 결과는 부족비용 Cu와 과잉비용 Co의 비율로 최적 서비스수준 τ* = Cu/(Cu+Co)를 정한다(출처 3, 4). 그러나 군 급식에서 Cu는 화폐로 환산하기 어렵고, 이를 임의로 추정하면 “AI가 결식 허용치를 정한다”는 수용성 문제가 발생한다.</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본 제안은 방향을 뒤집는다. 지휘관이 결식 허용확률 α를 정책값으로 선언하면 서비스수준은 τ = 1 − α로 정해지고, 권고 취사량은 예측분포의 τ분위가 된다. 시스템은 역으로 그 α가 함의하는 Cu/Co 비율(= τ/(1−τ))을 함께 표시해, 지휘관이 자신이 설정한 위험 수준의 의미를 수치로 확인하게 한다. 결식위험은 AI가 정하는 값이 아니라 지휘관이 정하고 AI가 이행·감시하는 값이 된다.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다. 실제 운용 시나리오와 서비스 흐름</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① 전일 오후 익일 3식 편차 예측 및 권고안 자동 생성 → ② 담당자가 권고량·불확실성 구간·산출 근거를 확인하고 필요 시 수정 후 승인(수정 시 사유 코드 선택)</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③ 승인값으로 취사·식자재 불출(자동 청구 체계 운용 부대는 청구값과 연동) → ④ 당일 실적(실취식 인원 또는 잔반 계측값) 입력 시 예측오차 자동 기록</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⑤ 주 단위 재학습, 담당자 수정 이력은 모델 개선 신호로 분석 → ⑥ 지휘부는 부대별 결식 발생률·서비스수준 달성도·잔반 추이를 대시보드로 확인</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최종 결정권은 항상 담당자에게 있으며 시스템은 권고와 근거만 제시한다.</w:t>
            </w:r>
          </w:p>
        </w:tc>
      </w:tr>
      <w:tr>
        <w:trPr>
          <w:trHeight w:val="438"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2) </w:t>
            </w:r>
            <w:r>
              <w:rPr>
                <w:rFonts w:ascii="맑은 고딕" w:hAnsi="맑은 고딕" w:cs="맑은 고딕" w:eastAsia="맑은 고딕"/>
                <w:b/>
                <w:bCs/>
                <w:sz w:val="22"/>
                <w:szCs w:val="22"/>
              </w:rPr>
              <w:t>차별성</w:t>
            </w:r>
          </w:p>
        </w:tc>
      </w:tr>
      <w:tr>
        <w:trPr>
          <w:trHeight w:val="1995" w:hRule="atLeast"/>
        </w:trPr>
        <w:tc>
          <w:tcPr>
            <w:tcW w:w="9510" w:type="dxa"/>
            <w:gridSpan w:val="6"/>
            <w:tcBorders>
              <w:top w:val="single" w:sz="2" w:space="0" w:color="000000"/>
              <w:start w:val="single" w:sz="8" w:space="0" w:color="000000"/>
              <w:bottom w:val="single" w:sz="2" w:space="0" w:color="000000"/>
              <w:end w:val="single" w:sz="8" w:space="0" w:color="000000"/>
            </w:tcBorders>
          </w:tcPr>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가. 기존 국방 시스템과의 차별점</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군 일부 제대에 도입된 급식 자동 청구 체계는 식수 인원을 파악하고 적정 식재료량을 예측하는 것을 임무로 한다(출처 8). 본 제안은 그 체계가 예측을 수행하지 않는다고 주장하지 않는다. 차이는 예측의 유무가 아니라 불확실성을 다루는 방식에 있다.</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기존 체계의 산출물은 소요량의 점추정이다. 점추정은 “얼마일 것 같다”까지만 말하고 그 추정이 어느 범위로, 어느 쪽으로 빗나가는지는 말하지 않는다. 그 판단이 남는 한 담당자는 추정값 위에 경험적 여유분을 얹게 되며 그 여유분은 근거도 기록도 남지 않는다. 본 제안의 산출물은 편차의 확률분포와, 지휘관이 선언한 위험 허용 수준을 적용해 도출된 결정값이다. 여유분이 감각이 아니라 정책 수치에서 계산되고 목표 위험과 실제 달성률이 매일 기록·검증된다. 두 체계는 경쟁 관계가 아니며, 자동 청구 체계가 표준화한 집계 데이터는 본 제안 예측 계층의 가장 정제된 입력이 되므로 그 체계가 도입된 부대일수록 효과가 커진다.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나. 상용 서비스와의 차별점</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민간 집단급식 분야에도 권장 식수를 제시하는 예측 서비스가 존재한다(업계 일반 동향으로 서술하며 개별 제품의 1차 출처는 확인하지 못함 — 근거 미확보). 민간에서는 결식과 잔반의 손실이 모두 화폐로 환산되므로 기대비용 최소화가 성립한다. 군에서는 결식이 지휘 책임 사안이어서 화폐 환산이 어렵고, 이 비대칭 때문에 비용을 추정하는 대신 허용 위험을 선언하는 구조가 필요하다. 설계 전제가 달라 상용 서비스의 이식으로는 성립하지 않는다.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다. AI를 접목하는 새로운 시도</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① 절대 인원이 아니라 신고값 대비 편차를 학습 대상으로 삼아 소량 데이터 학습과 부대 간 모델 전이를 가능하게 한 점 ② 분위수 손실로 확률분포를 산출하고 지휘 정책값과 결합해 AI 출력이 그 자체로 의사결정 규칙이 되게 한 점 ③ 결식위험을 사전 설정 파라미터로 노출해 통제·검증 대상으로 만든 점</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이 세 요소의 결합은 국내 군 급양 분야에서 공개적으로 확인된 선례를 찾지 못했다(불확실 — 비공개 내부 검토 과제의 존재 가능성은 배제할 수 없음).</w:t>
            </w:r>
          </w:p>
        </w:tc>
      </w:tr>
      <w:tr>
        <w:trPr>
          <w:trHeight w:val="502"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3) </w:t>
            </w:r>
            <w:r>
              <w:rPr>
                <w:rFonts w:ascii="맑은 고딕" w:hAnsi="맑은 고딕" w:cs="맑은 고딕" w:eastAsia="맑은 고딕"/>
                <w:b/>
                <w:bCs/>
                <w:sz w:val="22"/>
                <w:szCs w:val="22"/>
              </w:rPr>
              <w:t>실현 가능성</w:t>
            </w:r>
          </w:p>
        </w:tc>
      </w:tr>
      <w:tr>
        <w:trPr>
          <w:trHeight w:val="2770" w:hRule="atLeast"/>
        </w:trPr>
        <w:tc>
          <w:tcPr>
            <w:tcW w:w="9510" w:type="dxa"/>
            <w:gridSpan w:val="6"/>
            <w:tcBorders>
              <w:top w:val="single" w:sz="2" w:space="0" w:color="000000"/>
              <w:start w:val="single" w:sz="8" w:space="0" w:color="000000"/>
              <w:bottom w:val="single" w:sz="2" w:space="0" w:color="000000"/>
              <w:end w:val="single" w:sz="8" w:space="0" w:color="000000"/>
            </w:tcBorders>
          </w:tcPr>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가. 아이디어 실현을 위해 필요한 AI 모델 및 아키텍처</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분위수 손실 기반 경량 그래디언트 부스팅(예측 계층) + 분위 선택 규칙(결정 계층). 학습·추론 모두 CPU에서 수행되며 일반 사무용 서버 사양으로 충분하다. 사용자 화면은 국방망 내부 표준 웹 기술로 구현하고 외부 통신은 없다. GPU, 대규모 언어모델, 외부 클라우드 API를 사용하지 않으므로 폐쇄망 제약과 충돌하지 않는다.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나. 군 데이터 활용 가능성 및 확보·정제 방안 — 정답(라벨) 부재에 대한 3단 대응</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본 제안의 최대 기술 위험은 “실제 취식인원”이 모든 부대에서 기록되고 있지 않다는 점이다. 데이터가 있다고 전제하지 않고 부대 여건별로 세 갈래 경로를 둔다.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1단계(전자 배식·퇴식 기록 보유 부대) — 실취식 인원을 직접 라벨로 사용. 2단계(잔반 계측값 보유 부대) — 취사량과 잔반 중량으로 실취식량을 역산해 근사 라벨 생성</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3단계(둘 다 없는 부대) — 초기 4~8주 시범 계측(끼니별 잔반 중량 기록)으로 최소 라벨을 확보하고, 그 기간에는 유사 규모·유사 편성 부대의 모델을 전이 적용한 뒤 자체 데이터로 재학습</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입력 변수(신고값·출타·훈련일정·메뉴)는 급양·인사·작전교육 업무에서 이미 생성되고 있으나, 부대별로 단일 화면에서 조회 가능한 형태인지는 시범부대 실사로 확인해야 한다(불확실). 정제는 결측 끼니 제외, 특이일(대규모 훈련·재해) 플래그 분리, 부대 규모 기준 정규화 순으로 수행한다. 3단계 부대의 물리적 소요는 계측용 저울에 한정된다.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다. 현행 법령·제도 내 실행 가능성</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개인 단위 정보를 사용하지 않고 부대 단위 집계값만 다루므로 개인정보 수집·이용 부담이 낮다. 국방망 내부 데이터를 내부 업무 목적으로만 처리하고 외부 반출이 없어 기술분야 “보안” 항목에 해당하지 않는다. 급식 관련 규정상 취사량 결정 권한은 부대에 있으며 본 체계는 권고만 제공하므로 기존 권한 구조를 변경하지 않는다. 세부 규정 검토는 시범운용 승인 과정에서 확정한다.</w:t>
            </w:r>
          </w:p>
        </w:tc>
      </w:tr>
      <w:tr>
        <w:trPr>
          <w:trHeight w:val="502"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4) </w:t>
            </w:r>
            <w:r>
              <w:rPr>
                <w:rFonts w:ascii="맑은 고딕" w:hAnsi="맑은 고딕" w:cs="맑은 고딕" w:eastAsia="맑은 고딕"/>
                <w:b/>
                <w:bCs/>
                <w:sz w:val="22"/>
                <w:szCs w:val="22"/>
              </w:rPr>
              <w:t>적용 효과성</w:t>
            </w:r>
          </w:p>
        </w:tc>
      </w:tr>
      <w:tr>
        <w:trPr>
          <w:trHeight w:val="2217" w:hRule="atLeast"/>
        </w:trPr>
        <w:tc>
          <w:tcPr>
            <w:tcW w:w="9510" w:type="dxa"/>
            <w:gridSpan w:val="6"/>
            <w:tcBorders>
              <w:top w:val="single" w:sz="2" w:space="0" w:color="000000"/>
              <w:start w:val="single" w:sz="8" w:space="0" w:color="000000"/>
              <w:bottom w:val="single" w:sz="2" w:space="0" w:color="000000"/>
              <w:end w:val="single" w:sz="8" w:space="0" w:color="000000"/>
            </w:tcBorders>
          </w:tcPr>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가. 문제 해결에 대한 직접적인 기여도</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경험적 안전마진에 의존하던 취사량 결정을, 예측된 불확실성과 지휘관이 선언한 위험 허용치에 근거한 결정으로 전환한다. 자동 청구 체계가 집계와 점추정의 정확도를 개선한다면, 본 제안은 그 위에서 결정의 근거와 위험 수준을 기록 가능한 형태로 명시화한다.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나. 정량 기대효과 (산출 근거 병기, 감축률은 가정치로 불확실)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모수 — 군 음식물 쓰레기 연간 처리비용 약 195억 원(2023년 기준, 출처 5). 감축 여력의 상한 — 2020년 기준 장병 1인당 배출량은 182kg으로 같은 해 국민 1인당 100kg의 약 1.8배다(출처 6). 다만 군은 1일 3식 전량을 단체급식으로 제공해 민간 통계와 산정 범위가 달라 격차 전부가 낭비는 아니며, 이를 그대로 감축 목표로 환산해서는 안 된다. 격차의 일부만을 회수 대상으로 본다.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시나리오 — 배출량 감축률 5% / 10% / 15%를 가정할 때 처리비 절감액은 각각 약 9.8억 / 19.5억 / 29.3억 원이다(195억 원 × 감축률). 감축률은 검증되지 않은 가정치이며, 선행연구가 보고한 예측정확도 개선 효과(출처 1, 2)를 참고해 보수적 범위로 설정했다.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식자재비 절감 — 감축 잔반에 대응하는 식자재비 절감은 처리비 절감보다 클 것으로 예상되나 조리 투입 대비 배출 중량 비율의 공식 통계를 확인하지 못해(근거 미확보) 금액으로 계상하지 않고 시범운용 실측 항목으로 둔다.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중복 계상 방지 — 자동 청구 체계의 효과는 집계·점추정 정확도 경로에서, 본 제안의 효과는 위험 수준을 반영한 취사량 결정 경로에서 발생한다. 시범운용에서 두 체계 도입 부대와 미도입 부대를 구분해 각각 실측하고 합산하지 않는다.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다. 정성 기대효과 및 전투력 기여</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① 결식위험의 수치적 통제 — 현재 결식위험은 담당자 개인의 감각에 맡겨져 관리되지 않는 값이다. 이를 α로 선언하고 달성도를 사후 검증하면 급식 가용성이 관리 가능한 지표가 된다. 급식은 전투지속능력의 기초 조건이므로 가용성의 신뢰도 관리는 전투준비태세 안정화에 기여한다.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② 담당자의 판단 부담과 조리 인력의 과잉 조리 부담 완화, 잔반 운반·처리 병력 시간 절감. 절감된 시간은 훈련·정비 시간으로 환원된다. ③ 부대별 예측 정확도와 편차 원인 데이터가 축적되어 급양 정책의 근거 자산이 된다.</w:t>
            </w:r>
          </w:p>
        </w:tc>
      </w:tr>
      <w:tr>
        <w:trPr>
          <w:trHeight w:val="458"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b/>
                <w:bCs/>
                <w:sz w:val="22"/>
                <w:szCs w:val="22"/>
              </w:rPr>
            </w:pPr>
            <w:r>
              <w:rPr>
                <w:rFonts w:eastAsia="맑은 고딕" w:cs="맑은 고딕" w:ascii="맑은 고딕" w:hAnsi="맑은 고딕"/>
                <w:b/>
                <w:bCs/>
                <w:sz w:val="22"/>
                <w:szCs w:val="22"/>
              </w:rPr>
              <w:t xml:space="preserve">5) </w:t>
            </w:r>
            <w:r>
              <w:rPr>
                <w:rFonts w:ascii="맑은 고딕" w:hAnsi="맑은 고딕" w:cs="맑은 고딕" w:eastAsia="맑은 고딕"/>
                <w:b/>
                <w:bCs/>
                <w:sz w:val="22"/>
                <w:szCs w:val="22"/>
              </w:rPr>
              <w:t>추진 전략</w:t>
            </w:r>
          </w:p>
        </w:tc>
      </w:tr>
      <w:tr>
        <w:trPr>
          <w:trHeight w:val="2252" w:hRule="atLeast"/>
        </w:trPr>
        <w:tc>
          <w:tcPr>
            <w:tcW w:w="9510" w:type="dxa"/>
            <w:gridSpan w:val="6"/>
            <w:tcBorders>
              <w:top w:val="single" w:sz="2" w:space="0" w:color="000000"/>
              <w:start w:val="single" w:sz="8" w:space="0" w:color="000000"/>
              <w:bottom w:val="single" w:sz="2" w:space="0" w:color="000000"/>
              <w:end w:val="single" w:sz="8" w:space="0" w:color="000000"/>
            </w:tcBorders>
          </w:tcPr>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가. 단계별 로드맵</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1단계 기술개발(1~4개월) — 시범부대 2~3개 선정, 데이터 통합 가능 여부 및 라벨 확보 경로(1/2/3단계) 판정, 4~8주 잔반 계측, 편차 예측모델 개발. 검증 기준은 신고값 단독 사용 대비 편차 예측의 평균절대오차 개선 여부.</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2단계 시험운용(5~10개월) — 그림자 운용(권고만 기록) 후 실적용 전환, α 값 조정, 잔반 중량·처리비 실측, 자동 청구 체계 도입 부대와 미도입 부대 구분 비교, 담당자 수정 이력 분석.</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3단계 전군확산(11개월~) — 표준 데이터 규격(변수 정의서) 배포, 부대 유형별(훈련·야전·학교기관) 모델 분리 운영, 각 군 급양 담당 부서와 연계 협의, 초기 데이터 부족 부대에 전이 모델 우선 적용.</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중단 기준 — 1단계에서 예측 개선폭이 유의하지 않거나, 2단계에서 실제 결식 발생률이 설정한 α를 초과하면 변수·모델을 재설계하고 확산을 보류한다.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나. 예상 제약사항 및 대응 방안</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라벨 부재 — 3단 라벨 전략으로 대응하며 최소 요구 조건은 4~8주 잔반 중량 계측이다. 부대별 데이터 형식 상이는 변수 정의서를 선배포하고 최소 필수 변수 집합을 규정해 해소한다.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특이일 예측 실패 — 대규모 훈련·재해 발생 시 불확실성 구간을 확대 표시하고 담당자 수동 모드로 전환한다. 담당자 수용성은 최종 결정권 보장, 예측 적중 이력의 투명 공개, 권고 수정 시 불이익 없음을 운영 규칙으로 명문화해 확보한다.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기능 중복 오인은 점추정 개선과 위험 통제의 경계를 명시해 대응하고, 유지보수는 중앙에서 모델을 관리·배포해 부대에 별도 인력을 두지 않는다.</w:t>
            </w:r>
          </w:p>
        </w:tc>
      </w:tr>
      <w:tr>
        <w:trPr>
          <w:trHeight w:val="502" w:hRule="atLeast"/>
        </w:trPr>
        <w:tc>
          <w:tcPr>
            <w:tcW w:w="9510" w:type="dxa"/>
            <w:gridSpan w:val="6"/>
            <w:tcBorders>
              <w:top w:val="single" w:sz="2" w:space="0" w:color="000000"/>
              <w:start w:val="single" w:sz="8" w:space="0" w:color="000000"/>
              <w:bottom w:val="single" w:sz="2" w:space="0" w:color="000000"/>
              <w:end w:val="single" w:sz="8" w:space="0" w:color="000000"/>
            </w:tcBorders>
            <w:shd w:fill="D9D9D9" w:val="clear"/>
            <w:vAlign w:val="center"/>
          </w:tcPr>
          <w:p>
            <w:pPr>
              <w:pStyle w:val="Style15"/>
              <w:spacing w:lineRule="auto" w:line="240"/>
              <w:rPr>
                <w:rFonts w:ascii="맑은 고딕" w:hAnsi="맑은 고딕" w:eastAsia="맑은 고딕" w:cs="맑은 고딕"/>
                <w:sz w:val="22"/>
                <w:szCs w:val="22"/>
              </w:rPr>
            </w:pPr>
            <w:r>
              <w:rPr>
                <w:rFonts w:eastAsia="맑은 고딕" w:cs="맑은 고딕" w:ascii="맑은 고딕" w:hAnsi="맑은 고딕"/>
                <w:b/>
                <w:bCs/>
                <w:sz w:val="22"/>
                <w:szCs w:val="22"/>
              </w:rPr>
              <w:t xml:space="preserve">6) </w:t>
            </w:r>
            <w:r>
              <w:rPr>
                <w:rFonts w:ascii="맑은 고딕" w:hAnsi="맑은 고딕" w:cs="맑은 고딕" w:eastAsia="맑은 고딕"/>
                <w:b/>
                <w:bCs/>
                <w:sz w:val="22"/>
                <w:szCs w:val="22"/>
              </w:rPr>
              <w:t>기타</w:t>
            </w:r>
            <w:r>
              <w:rPr>
                <w:rFonts w:eastAsia="맑은 고딕" w:cs="맑은 고딕" w:ascii="맑은 고딕" w:hAnsi="맑은 고딕"/>
                <w:sz w:val="22"/>
                <w:szCs w:val="22"/>
              </w:rPr>
              <w:t>(</w:t>
            </w:r>
            <w:r>
              <w:rPr>
                <w:rFonts w:ascii="맑은 고딕" w:hAnsi="맑은 고딕" w:cs="맑은 고딕" w:eastAsia="맑은 고딕"/>
                <w:sz w:val="22"/>
                <w:szCs w:val="22"/>
              </w:rPr>
              <w:t>자유 작성</w:t>
            </w:r>
            <w:r>
              <w:rPr>
                <w:rFonts w:eastAsia="맑은 고딕" w:cs="맑은 고딕" w:ascii="맑은 고딕" w:hAnsi="맑은 고딕"/>
                <w:sz w:val="22"/>
                <w:szCs w:val="22"/>
              </w:rPr>
              <w:t>)</w:t>
            </w:r>
          </w:p>
        </w:tc>
      </w:tr>
      <w:tr>
        <w:trPr>
          <w:trHeight w:val="2246" w:hRule="atLeast"/>
        </w:trPr>
        <w:tc>
          <w:tcPr>
            <w:tcW w:w="9510" w:type="dxa"/>
            <w:gridSpan w:val="6"/>
            <w:tcBorders>
              <w:top w:val="single" w:sz="2" w:space="0" w:color="000000"/>
              <w:start w:val="single" w:sz="8" w:space="0" w:color="000000"/>
              <w:bottom w:val="single" w:sz="8" w:space="0" w:color="000000"/>
              <w:end w:val="single" w:sz="8" w:space="0" w:color="000000"/>
            </w:tcBorders>
          </w:tcPr>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가. 개념도 — 서비스 흐름</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[국방망 기존 데이터] 신고 식수 · 출타 집계 · 훈련일정 · 메뉴 · (자동 청구 체계 산출값) → [예측 계층] 편차(신고값 − 실취식) 분위수 학습 → 편차 확률분포 산출</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[결정 계층] 지휘관 설정 결식 허용확률 α → 서비스수준 τ = 1 − α → τ분위 권고 취사량 및 함의 Cu/Co 표시 → [권고 화면] 권고량 · 불확실성 구간 · 산출 근거 → 담당자 확인 · 수정 · 승인</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[실행] 취사 및 식자재 불출(자동 청구 체계 연동) → [환류] 당일 실적 · 잔반 계측 → 예측오차 기록 → 주간 재학습 → 지휘부 대시보드(결식률 · 서비스수준 달성도 · 잔반 추이)</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나. 사전 시뮬레이션 검증 계획</w:t>
            </w:r>
          </w:p>
          <w:p>
            <w:pPr>
              <w:pStyle w:val="Style15"/>
              <w:spacing w:lineRule="auto" w:line="276"/>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공개된 구내식당 식수 데이터셋으로 ① 편차 학습이 절대량 학습보다 오차가 작은지, ② 분위 선택 규칙이 설정한 결식 허용확률을 실제로 달성하는지를 사전 검증해 발표 자료로 제시한다.</w:t>
            </w:r>
          </w:p>
          <w:p>
            <w:pPr>
              <w:pStyle w:val="Style15"/>
              <w:spacing w:lineRule="auto" w:line="276"/>
              <w:rPr>
                <w:b/>
                <w:bCs/>
                <w:rFonts w:ascii="맑은 고딕" w:hAnsi="맑은 고딕" w:eastAsia="맑은 고딕" w:cs="맑은 고딕"/>
                <w:sz w:val="22"/>
                <w:szCs w:val="22"/>
                <w:lang w:eastAsia="ko-KR"/>
              </w:rPr>
            </w:pPr>
            <w:r>
              <w:rPr>
                <w:b/>
                <w:bCs/>
                <w:rFonts w:eastAsia="맑은 고딕" w:cs="맑은 고딕" w:ascii="맑은 고딕" w:hAnsi="맑은 고딕"/>
                <w:sz w:val="22"/>
                <w:szCs w:val="22"/>
                <w:lang w:eastAsia="ko-KR"/>
              </w:rPr>
              <w:t xml:space="preserve">다. 인용 출처</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1. 전종식·박은주·권오병(2019), 기계학습방법을 활용한 대형 집단급식소의 식수 예측: S시청 구내직원식당의 실데이터를 기반으로, 대한영양사협회 학술지 25(1), 44-58. DOI: 10.14373/JKDA.2019.25.1.44</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2. 정영한·이동규(2024), 효율적인 집단식사 서비스 제공을 위한 공공기관 구내식당 실데이터 기반의 식수 예측 기계학습 모델연구, 정보과학회 컴퓨팅의 실제 논문지(2024.4).</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3. Arrow, K. J., Harris, T. &amp; Marschak, J.(1951), Optimal Inventory Policy, Econometrica 19(3), 250-272. DOI: 10.2307/1906813 — 임계분위 공식은 이 논문의 직접 표현이 아니라 후속 연구에서 정식화된 표준 결과다.</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4. Ban, G.-Y. &amp; Rudin, C.(2019), The Big Data Newsvendor: Practical Insights from Machine Learning, Operations Research 67(1), 90-108. DOI: 10.1287/opre.2018.1757</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5. 군 음식물 쓰레기 처리비용 2018년 약 103억 원 → 2023년 약 195억 원: 국방부가 기획재정부에 제시한 자료를 인용한 보도. 한국경제(2024.10.3). https://www.hankyung.com/article/2024100330467 — 정부 공개 원문은 확인하지 못함(근거 미확보).</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6. 장병 1인당 배출량 2017년 125kg → 2021년 195kg, 2020년 기준 장병 182kg 대 국민 100kg: 국정감사 국방부 제출자료(의원실 공개) 인용 보도. 내외통신. http://www.nwtnews.co.kr/news/articleView.html?idxno=99636 — 원자료는 확인하지 못함(근거 미확보).</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7. 2026년 장병 기본급식비 1인 1일 13,000원 → 14,000원: 「2026년 국방예산 확정」 보도자료, 대한민국 정책브리핑(2025.12). https://www.korea.kr/briefing/pressReleaseView.do?newsId=156733517</w:t>
            </w:r>
          </w:p>
          <w:p>
            <w:pPr>
              <w:pStyle w:val="Style15"/>
              <w:spacing w:lineRule="auto" w:line="276"/>
              <w:ind w:hanging="374" w:start="374" w:end="0"/>
              <w:jc w:val="start"/>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8. 군 일부 제대의 급식 자동 청구 체계 도입 및 운용 목적(식수 인원 파악·적정 식재료량 예측): 한국일보(2026.6.14). https://www.hankookilbo.com/news/article/A2026061412380005044 — 언론보도 기준이며 군 공식 검증자료가 아님(불확실).</w:t>
            </w:r>
          </w:p>
        </w:tc>
      </w:tr>
      <w:tr>
        <w:trPr>
          <w:trHeight w:val="2206" w:hRule="atLeast"/>
        </w:trPr>
        <w:tc>
          <w:tcPr>
            <w:tcW w:w="9510" w:type="dxa"/>
            <w:gridSpan w:val="6"/>
            <w:tcBorders>
              <w:top w:val="single" w:sz="8" w:space="0" w:color="000000"/>
            </w:tcBorders>
          </w:tcPr>
          <w:p>
            <w:pPr>
              <w:pStyle w:val="Style15"/>
              <w:rPr>
                <w:rFonts w:ascii="맑은 고딕" w:hAnsi="맑은 고딕" w:eastAsia="맑은 고딕" w:cs="맑은 고딕"/>
                <w:b/>
                <w:bCs/>
                <w:sz w:val="22"/>
                <w:szCs w:val="22"/>
                <w:lang w:eastAsia="ko-KR"/>
              </w:rPr>
            </w:pPr>
            <w:r>
              <w:rPr>
                <w:rFonts w:eastAsia="맑은 고딕" w:cs="맑은 고딕" w:ascii="맑은 고딕" w:hAnsi="맑은 고딕"/>
                <w:b/>
                <w:bCs/>
                <w:sz w:val="22"/>
                <w:szCs w:val="22"/>
                <w:lang w:eastAsia="ko-KR"/>
              </w:rPr>
              <w:t xml:space="preserve">[ </w:t>
            </w:r>
            <w:r>
              <w:rPr>
                <w:rFonts w:ascii="맑은 고딕" w:hAnsi="맑은 고딕" w:cs="맑은 고딕" w:eastAsia="맑은 고딕"/>
                <w:b/>
                <w:bCs/>
                <w:sz w:val="22"/>
                <w:szCs w:val="22"/>
                <w:lang w:eastAsia="ko-KR"/>
              </w:rPr>
              <w:t xml:space="preserve">작성 시 유의사항 </w:t>
            </w:r>
            <w:r>
              <w:rPr>
                <w:rFonts w:eastAsia="맑은 고딕" w:cs="맑은 고딕" w:ascii="맑은 고딕" w:hAnsi="맑은 고딕"/>
                <w:b/>
                <w:bCs/>
                <w:sz w:val="22"/>
                <w:szCs w:val="22"/>
                <w:lang w:eastAsia="ko-KR"/>
              </w:rPr>
              <w:t>]</w:t>
            </w:r>
          </w:p>
          <w:p>
            <w:pPr>
              <w:pStyle w:val="Style15"/>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분량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자유 </w:t>
            </w:r>
            <w:r>
              <w:rPr>
                <w:rFonts w:eastAsia="맑은 고딕" w:cs="맑은 고딕" w:ascii="맑은 고딕" w:hAnsi="맑은 고딕"/>
                <w:sz w:val="22"/>
                <w:szCs w:val="22"/>
                <w:lang w:eastAsia="ko-KR"/>
              </w:rPr>
              <w:t>(</w:t>
            </w:r>
            <w:r>
              <w:rPr>
                <w:rFonts w:ascii="맑은 고딕" w:hAnsi="맑은 고딕" w:cs="맑은 고딕" w:eastAsia="맑은 고딕"/>
                <w:sz w:val="22"/>
                <w:szCs w:val="22"/>
                <w:lang w:eastAsia="ko-KR"/>
              </w:rPr>
              <w:t xml:space="preserve">가급적 </w:t>
            </w:r>
            <w:r>
              <w:rPr>
                <w:rFonts w:eastAsia="맑은 고딕" w:cs="맑은 고딕" w:ascii="맑은 고딕" w:hAnsi="맑은 고딕"/>
                <w:sz w:val="22"/>
                <w:szCs w:val="22"/>
                <w:lang w:eastAsia="ko-KR"/>
              </w:rPr>
              <w:t>A4 5</w:t>
            </w:r>
            <w:r>
              <w:rPr>
                <w:rFonts w:ascii="맑은 고딕" w:hAnsi="맑은 고딕" w:cs="맑은 고딕" w:eastAsia="맑은 고딕"/>
                <w:sz w:val="22"/>
                <w:szCs w:val="22"/>
                <w:lang w:eastAsia="ko-KR"/>
              </w:rPr>
              <w:t>매 이내</w:t>
            </w:r>
            <w:r>
              <w:rPr>
                <w:rFonts w:eastAsia="맑은 고딕" w:cs="맑은 고딕" w:ascii="맑은 고딕" w:hAnsi="맑은 고딕"/>
                <w:sz w:val="22"/>
                <w:szCs w:val="22"/>
                <w:lang w:eastAsia="ko-KR"/>
              </w:rPr>
              <w:t>)</w:t>
            </w:r>
          </w:p>
          <w:p>
            <w:pPr>
              <w:pStyle w:val="Style15"/>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서식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맑은고딕 </w:t>
            </w:r>
            <w:r>
              <w:rPr>
                <w:rFonts w:eastAsia="맑은 고딕" w:cs="맑은 고딕" w:ascii="맑은 고딕" w:hAnsi="맑은 고딕"/>
                <w:sz w:val="22"/>
                <w:szCs w:val="22"/>
                <w:lang w:eastAsia="ko-KR"/>
              </w:rPr>
              <w:t xml:space="preserve">11pt </w:t>
            </w:r>
            <w:r>
              <w:rPr>
                <w:rFonts w:ascii="맑은 고딕" w:hAnsi="맑은 고딕" w:cs="맑은 고딕" w:eastAsia="맑은 고딕"/>
                <w:sz w:val="22"/>
                <w:szCs w:val="22"/>
                <w:lang w:eastAsia="ko-KR"/>
              </w:rPr>
              <w:t>준수</w:t>
            </w:r>
          </w:p>
          <w:p>
            <w:pPr>
              <w:pStyle w:val="Style15"/>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출처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인용 자료</w:t>
            </w:r>
            <w:r>
              <w:rPr>
                <w:rFonts w:eastAsia="맑은 고딕" w:cs="맑은 고딕" w:ascii="맑은 고딕" w:hAnsi="맑은 고딕"/>
                <w:sz w:val="22"/>
                <w:szCs w:val="22"/>
                <w:lang w:eastAsia="ko-KR"/>
              </w:rPr>
              <w:t>(</w:t>
            </w:r>
            <w:r>
              <w:rPr>
                <w:rFonts w:ascii="맑은 고딕" w:hAnsi="맑은 고딕" w:cs="맑은 고딕" w:eastAsia="맑은 고딕"/>
                <w:sz w:val="22"/>
                <w:szCs w:val="22"/>
                <w:lang w:eastAsia="ko-KR"/>
              </w:rPr>
              <w:t>논문</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기사</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사진</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표 등</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사용 시 반드시 하단에 출처 기재</w:t>
            </w:r>
          </w:p>
          <w:p>
            <w:pPr>
              <w:pStyle w:val="Style15"/>
              <w:rPr>
                <w:rFonts w:ascii="맑은 고딕" w:hAnsi="맑은 고딕" w:eastAsia="맑은 고딕" w:cs="맑은 고딕"/>
                <w:sz w:val="22"/>
                <w:szCs w:val="22"/>
                <w:lang w:eastAsia="ko-KR"/>
              </w:rPr>
            </w:pPr>
            <w:r>
              <w:rPr>
                <w:rFonts w:eastAsia="맑은 고딕" w:cs="맑은 고딕" w:ascii="맑은 고딕" w:hAnsi="맑은 고딕"/>
                <w:sz w:val="22"/>
                <w:szCs w:val="22"/>
                <w:lang w:eastAsia="ko-KR"/>
              </w:rPr>
              <w:t xml:space="preserve">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제출 </w:t>
            </w:r>
            <w:r>
              <w:rPr>
                <w:rFonts w:eastAsia="맑은 고딕" w:cs="맑은 고딕" w:ascii="맑은 고딕" w:hAnsi="맑은 고딕"/>
                <w:sz w:val="22"/>
                <w:szCs w:val="22"/>
                <w:lang w:eastAsia="ko-KR"/>
              </w:rPr>
              <w:t xml:space="preserve">: </w:t>
            </w:r>
            <w:r>
              <w:rPr>
                <w:rFonts w:ascii="맑은 고딕" w:hAnsi="맑은 고딕" w:cs="맑은 고딕" w:eastAsia="맑은 고딕"/>
                <w:sz w:val="22"/>
                <w:szCs w:val="22"/>
                <w:lang w:eastAsia="ko-KR"/>
              </w:rPr>
              <w:t xml:space="preserve">작성 완료 후 </w:t>
            </w:r>
            <w:r>
              <w:rPr>
                <w:rFonts w:eastAsia="맑은 고딕" w:cs="맑은 고딕" w:ascii="맑은 고딕" w:hAnsi="맑은 고딕"/>
                <w:sz w:val="22"/>
                <w:szCs w:val="22"/>
                <w:lang w:eastAsia="ko-KR"/>
              </w:rPr>
              <w:t xml:space="preserve">PDF </w:t>
            </w:r>
            <w:r>
              <w:rPr>
                <w:rFonts w:ascii="맑은 고딕" w:hAnsi="맑은 고딕" w:cs="맑은 고딕" w:eastAsia="맑은 고딕"/>
                <w:sz w:val="22"/>
                <w:szCs w:val="22"/>
                <w:lang w:eastAsia="ko-KR"/>
              </w:rPr>
              <w:t>파일로 변환하여 제출</w:t>
            </w:r>
          </w:p>
        </w:tc>
      </w:tr>
    </w:tbl>
    <w:p>
      <w:pPr>
        <w:pStyle w:val="Normal"/>
        <w:rPr>
          <w:sz w:val="2"/>
          <w:lang w:eastAsia="ko-KR"/>
        </w:rPr>
      </w:pPr>
      <w:r>
        <w:rPr>
          <w:sz w:val="2"/>
          <w:lang w:eastAsia="ko-KR"/>
        </w:rPr>
      </w:r>
    </w:p>
    <w:sectPr>
      <w:type w:val="nextPage"/>
      <w:pgSz w:w="11906" w:h="16838"/>
      <w:pgMar w:left="1134" w:right="1134" w:gutter="0" w:header="0" w:top="851" w:footer="0" w:bottom="851"/>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맑은 고딕">
    <w:charset w:val="81"/>
    <w:family w:val="modern"/>
    <w:pitch w:val="variable"/>
  </w:font>
  <w:font w:name="Arial Unicode MS">
    <w:altName w:val="Arial"/>
    <w:charset w:val="00" w:characterSet="windows-1252"/>
    <w:family w:val="swiss"/>
    <w:pitch w:val="variable"/>
  </w:font>
  <w:font w:name="Liberation Sans">
    <w:altName w:val="Arial"/>
    <w:charset w:val="00" w:characterSet="iso-8859-1"/>
    <w:family w:val="swiss"/>
    <w:pitch w:val="variable"/>
  </w:font>
  <w:font w:name="함초롬바탕">
    <w:charset w:val="81"/>
    <w:family w:val="roman"/>
    <w:pitch w:val="variable"/>
  </w:font>
  <w:font w:name="함초롬돋움">
    <w:charset w:val="81"/>
    <w:family w:val="modern"/>
    <w:pitch w:val="variable"/>
  </w:font>
  <w:font w:name="바탕">
    <w:altName w:val="Batang"/>
    <w:charset w:val="81"/>
    <w:family w:val="roman"/>
    <w:pitch w:val="variable"/>
  </w:font>
  <w:font w:name="신명 태고딕">
    <w:altName w:val="Yu Gothic"/>
    <w:charset w:val="80"/>
    <w:family w:val="roman"/>
    <w:pitch w:val="default"/>
  </w:font>
  <w:font w:name="HCI Poppy">
    <w:charset w:val="00" w:characterSet="windows-1252"/>
    <w:family w:val="roman"/>
    <w:pitch w:val="default"/>
  </w:font>
  <w:font w:name="KoPub돋움체 Light">
    <w:charset w:val="81"/>
    <w:family w:val="auto"/>
    <w:pitch w:val="variable"/>
  </w:font>
  <w:font w:name="HCI Hollyhock">
    <w:charset w:val="00" w:characterSet="windows-1252"/>
    <w:family w:val="roman"/>
    <w:pitch w:val="default"/>
  </w:font>
  <w:font w:name="산세리프">
    <w:charset w:val="80"/>
    <w:family w:val="roman"/>
    <w:pitch w:val="default"/>
  </w:font>
  <w:font w:name="HY헤드라인M">
    <w:charset w:val="8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4"/>
  <w:gutterAtTop/>
  <w:defaultTabStop w:val="80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맑은 고딕" w:hAnsi="맑은 고딕" w:eastAsia="맑은 고딕" w:cs="Times New Roman"/>
      <w:color w:val="auto"/>
      <w:sz w:val="22"/>
      <w:szCs w:val="22"/>
      <w:lang w:val="en-US" w:bidi="ar-SA" w:eastAsia="zh-CN"/>
    </w:rPr>
  </w:style>
  <w:style w:type="character" w:styleId="WW8Num1z0">
    <w:name w:val="WW8Num1z0"/>
    <w:qFormat/>
    <w:rPr>
      <w:rFonts w:ascii="Arial Unicode MS;Arial" w:hAnsi="Arial Unicode MS;Arial" w:cs="Arial Unicode MS;Arial"/>
    </w:rPr>
  </w:style>
  <w:style w:type="character" w:styleId="Style14">
    <w:name w:val="기본 단락 글꼴"/>
    <w:qFormat/>
    <w:rPr/>
  </w:style>
  <w:style w:type="character" w:styleId="Char">
    <w:name w:val="머리글 Char"/>
    <w:basedOn w:val="Style14"/>
    <w:qFormat/>
    <w:rPr/>
  </w:style>
  <w:style w:type="character" w:styleId="Char1">
    <w:name w:val="바닥글 Char"/>
    <w:basedOn w:val="Style14"/>
    <w:qFormat/>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Header">
    <w:name w:val="Header"/>
    <w:basedOn w:val="Normal"/>
    <w:pPr>
      <w:snapToGrid w:val="false"/>
    </w:pPr>
    <w:rPr/>
  </w:style>
  <w:style w:type="paragraph" w:styleId="Footer">
    <w:name w:val="Footer"/>
    <w:basedOn w:val="Normal"/>
    <w:pPr>
      <w:snapToGrid w:val="false"/>
    </w:pPr>
    <w:rPr/>
  </w:style>
  <w:style w:type="paragraph" w:styleId="Style15">
    <w:name w:val="바탕글"/>
    <w:qFormat/>
    <w:pPr>
      <w:widowControl w:val="false"/>
      <w:autoSpaceDE w:val="false"/>
      <w:bidi w:val="0"/>
      <w:spacing w:lineRule="auto" w:line="247"/>
      <w:jc w:val="both"/>
    </w:pPr>
    <w:rPr>
      <w:rFonts w:ascii="함초롬바탕" w:hAnsi="함초롬바탕" w:eastAsia="함초롬바탕" w:cs="함초롬바탕"/>
      <w:color w:val="000000"/>
      <w:sz w:val="20"/>
      <w:szCs w:val="20"/>
      <w:lang w:val="en-US" w:bidi="ar-SA" w:eastAsia="zh-CN"/>
    </w:rPr>
  </w:style>
  <w:style w:type="paragraph" w:styleId="1">
    <w:name w:val="본문1"/>
    <w:qFormat/>
    <w:pPr>
      <w:widowControl w:val="false"/>
      <w:autoSpaceDE w:val="false"/>
      <w:bidi w:val="0"/>
      <w:spacing w:lineRule="auto" w:line="247"/>
      <w:ind w:hanging="0" w:start="300" w:end="0"/>
      <w:jc w:val="both"/>
    </w:pPr>
    <w:rPr>
      <w:rFonts w:ascii="함초롬바탕" w:hAnsi="함초롬바탕" w:eastAsia="함초롬바탕" w:cs="함초롬바탕"/>
      <w:color w:val="000000"/>
      <w:sz w:val="20"/>
      <w:szCs w:val="20"/>
      <w:lang w:val="en-US" w:bidi="ar-SA" w:eastAsia="zh-CN"/>
    </w:rPr>
  </w:style>
  <w:style w:type="paragraph" w:styleId="11">
    <w:name w:val="개요 1"/>
    <w:qFormat/>
    <w:pPr>
      <w:widowControl w:val="false"/>
      <w:numPr>
        <w:ilvl w:val="0"/>
        <w:numId w:val="1"/>
      </w:numPr>
      <w:autoSpaceDE w:val="false"/>
      <w:bidi w:val="0"/>
      <w:spacing w:lineRule="auto" w:line="247"/>
      <w:ind w:hanging="0" w:start="200" w:end="0"/>
      <w:jc w:val="both"/>
    </w:pPr>
    <w:rPr>
      <w:rFonts w:ascii="함초롬바탕" w:hAnsi="함초롬바탕" w:eastAsia="함초롬바탕" w:cs="함초롬바탕"/>
      <w:color w:val="000000"/>
      <w:sz w:val="20"/>
      <w:szCs w:val="20"/>
      <w:lang w:val="en-US" w:bidi="ar-SA" w:eastAsia="zh-CN"/>
    </w:rPr>
  </w:style>
  <w:style w:type="paragraph" w:styleId="2">
    <w:name w:val="개요 2"/>
    <w:qFormat/>
    <w:pPr>
      <w:widowControl w:val="false"/>
      <w:numPr>
        <w:ilvl w:val="0"/>
        <w:numId w:val="1"/>
      </w:numPr>
      <w:autoSpaceDE w:val="false"/>
      <w:bidi w:val="0"/>
      <w:spacing w:lineRule="auto" w:line="247"/>
      <w:ind w:hanging="0" w:start="400" w:end="0"/>
      <w:jc w:val="both"/>
    </w:pPr>
    <w:rPr>
      <w:rFonts w:ascii="함초롬바탕" w:hAnsi="함초롬바탕" w:eastAsia="함초롬바탕" w:cs="함초롬바탕"/>
      <w:color w:val="000000"/>
      <w:sz w:val="20"/>
      <w:szCs w:val="20"/>
      <w:lang w:val="en-US" w:bidi="ar-SA" w:eastAsia="zh-CN"/>
    </w:rPr>
  </w:style>
  <w:style w:type="paragraph" w:styleId="3">
    <w:name w:val="개요 3"/>
    <w:qFormat/>
    <w:pPr>
      <w:widowControl w:val="false"/>
      <w:numPr>
        <w:ilvl w:val="0"/>
        <w:numId w:val="1"/>
      </w:numPr>
      <w:autoSpaceDE w:val="false"/>
      <w:bidi w:val="0"/>
      <w:spacing w:lineRule="auto" w:line="247"/>
      <w:ind w:hanging="0" w:start="600" w:end="0"/>
      <w:jc w:val="both"/>
    </w:pPr>
    <w:rPr>
      <w:rFonts w:ascii="함초롬바탕" w:hAnsi="함초롬바탕" w:eastAsia="함초롬바탕" w:cs="함초롬바탕"/>
      <w:color w:val="000000"/>
      <w:sz w:val="20"/>
      <w:szCs w:val="20"/>
      <w:lang w:val="en-US" w:bidi="ar-SA" w:eastAsia="zh-CN"/>
    </w:rPr>
  </w:style>
  <w:style w:type="paragraph" w:styleId="4">
    <w:name w:val="개요 4"/>
    <w:qFormat/>
    <w:pPr>
      <w:widowControl w:val="false"/>
      <w:numPr>
        <w:ilvl w:val="0"/>
        <w:numId w:val="1"/>
      </w:numPr>
      <w:autoSpaceDE w:val="false"/>
      <w:bidi w:val="0"/>
      <w:spacing w:lineRule="auto" w:line="247"/>
      <w:ind w:hanging="0" w:start="800" w:end="0"/>
      <w:jc w:val="both"/>
    </w:pPr>
    <w:rPr>
      <w:rFonts w:ascii="함초롬바탕" w:hAnsi="함초롬바탕" w:eastAsia="함초롬바탕" w:cs="함초롬바탕"/>
      <w:color w:val="000000"/>
      <w:sz w:val="20"/>
      <w:szCs w:val="20"/>
      <w:lang w:val="en-US" w:bidi="ar-SA" w:eastAsia="zh-CN"/>
    </w:rPr>
  </w:style>
  <w:style w:type="paragraph" w:styleId="5">
    <w:name w:val="개요 5"/>
    <w:qFormat/>
    <w:pPr>
      <w:widowControl w:val="false"/>
      <w:numPr>
        <w:ilvl w:val="0"/>
        <w:numId w:val="1"/>
      </w:numPr>
      <w:autoSpaceDE w:val="false"/>
      <w:bidi w:val="0"/>
      <w:spacing w:lineRule="auto" w:line="247"/>
      <w:ind w:hanging="0" w:start="1000" w:end="0"/>
      <w:jc w:val="both"/>
    </w:pPr>
    <w:rPr>
      <w:rFonts w:ascii="함초롬바탕" w:hAnsi="함초롬바탕" w:eastAsia="함초롬바탕" w:cs="함초롬바탕"/>
      <w:color w:val="000000"/>
      <w:sz w:val="20"/>
      <w:szCs w:val="20"/>
      <w:lang w:val="en-US" w:bidi="ar-SA" w:eastAsia="zh-CN"/>
    </w:rPr>
  </w:style>
  <w:style w:type="paragraph" w:styleId="6">
    <w:name w:val="개요 6"/>
    <w:qFormat/>
    <w:pPr>
      <w:widowControl w:val="false"/>
      <w:numPr>
        <w:ilvl w:val="0"/>
        <w:numId w:val="1"/>
      </w:numPr>
      <w:autoSpaceDE w:val="false"/>
      <w:bidi w:val="0"/>
      <w:spacing w:lineRule="auto" w:line="247"/>
      <w:ind w:hanging="0" w:start="1200" w:end="0"/>
      <w:jc w:val="both"/>
    </w:pPr>
    <w:rPr>
      <w:rFonts w:ascii="함초롬바탕" w:hAnsi="함초롬바탕" w:eastAsia="함초롬바탕" w:cs="함초롬바탕"/>
      <w:color w:val="000000"/>
      <w:sz w:val="20"/>
      <w:szCs w:val="20"/>
      <w:lang w:val="en-US" w:bidi="ar-SA" w:eastAsia="zh-CN"/>
    </w:rPr>
  </w:style>
  <w:style w:type="paragraph" w:styleId="7">
    <w:name w:val="개요 7"/>
    <w:qFormat/>
    <w:pPr>
      <w:widowControl w:val="false"/>
      <w:numPr>
        <w:ilvl w:val="0"/>
        <w:numId w:val="1"/>
      </w:numPr>
      <w:autoSpaceDE w:val="false"/>
      <w:bidi w:val="0"/>
      <w:spacing w:lineRule="auto" w:line="247"/>
      <w:ind w:hanging="0" w:start="1400" w:end="0"/>
      <w:jc w:val="both"/>
    </w:pPr>
    <w:rPr>
      <w:rFonts w:ascii="함초롬바탕" w:hAnsi="함초롬바탕" w:eastAsia="함초롬바탕" w:cs="함초롬바탕"/>
      <w:color w:val="000000"/>
      <w:sz w:val="20"/>
      <w:szCs w:val="20"/>
      <w:lang w:val="en-US" w:bidi="ar-SA" w:eastAsia="zh-CN"/>
    </w:rPr>
  </w:style>
  <w:style w:type="paragraph" w:styleId="Style16">
    <w:name w:val="쪽 번호"/>
    <w:qFormat/>
    <w:pPr>
      <w:widowControl w:val="false"/>
      <w:autoSpaceDE w:val="false"/>
      <w:bidi w:val="0"/>
      <w:spacing w:lineRule="auto" w:line="247"/>
      <w:jc w:val="both"/>
    </w:pPr>
    <w:rPr>
      <w:rFonts w:ascii="함초롬돋움" w:hAnsi="함초롬돋움" w:eastAsia="함초롬돋움" w:cs="함초롬돋움"/>
      <w:color w:val="000000"/>
      <w:sz w:val="20"/>
      <w:szCs w:val="20"/>
      <w:lang w:val="en-US" w:bidi="ar-SA" w:eastAsia="zh-CN"/>
    </w:rPr>
  </w:style>
  <w:style w:type="paragraph" w:styleId="Style17">
    <w:name w:val="머리말"/>
    <w:qFormat/>
    <w:pPr>
      <w:widowControl w:val="false"/>
      <w:autoSpaceDE w:val="false"/>
      <w:bidi w:val="0"/>
      <w:jc w:val="both"/>
    </w:pPr>
    <w:rPr>
      <w:rFonts w:ascii="함초롬돋움" w:hAnsi="함초롬돋움" w:eastAsia="함초롬돋움" w:cs="함초롬돋움"/>
      <w:color w:val="000000"/>
      <w:sz w:val="18"/>
      <w:szCs w:val="18"/>
      <w:lang w:val="en-US" w:bidi="ar-SA" w:eastAsia="zh-CN"/>
    </w:rPr>
  </w:style>
  <w:style w:type="paragraph" w:styleId="Style18">
    <w:name w:val="각주"/>
    <w:qFormat/>
    <w:pPr>
      <w:widowControl w:val="false"/>
      <w:autoSpaceDE w:val="false"/>
      <w:bidi w:val="0"/>
      <w:ind w:hanging="262" w:start="262" w:end="0"/>
      <w:jc w:val="both"/>
    </w:pPr>
    <w:rPr>
      <w:rFonts w:ascii="함초롬바탕" w:hAnsi="함초롬바탕" w:eastAsia="함초롬바탕" w:cs="함초롬바탕"/>
      <w:color w:val="000000"/>
      <w:sz w:val="18"/>
      <w:szCs w:val="18"/>
      <w:lang w:val="en-US" w:bidi="ar-SA" w:eastAsia="zh-CN"/>
    </w:rPr>
  </w:style>
  <w:style w:type="paragraph" w:styleId="Style19">
    <w:name w:val="미주"/>
    <w:qFormat/>
    <w:pPr>
      <w:widowControl w:val="false"/>
      <w:autoSpaceDE w:val="false"/>
      <w:bidi w:val="0"/>
      <w:ind w:hanging="262" w:start="262" w:end="0"/>
      <w:jc w:val="both"/>
    </w:pPr>
    <w:rPr>
      <w:rFonts w:ascii="함초롬바탕" w:hAnsi="함초롬바탕" w:eastAsia="함초롬바탕" w:cs="함초롬바탕"/>
      <w:color w:val="000000"/>
      <w:sz w:val="18"/>
      <w:szCs w:val="18"/>
      <w:lang w:val="en-US" w:bidi="ar-SA" w:eastAsia="zh-CN"/>
    </w:rPr>
  </w:style>
  <w:style w:type="paragraph" w:styleId="Style20">
    <w:name w:val="메모"/>
    <w:qFormat/>
    <w:pPr>
      <w:widowControl w:val="false"/>
      <w:autoSpaceDE w:val="false"/>
      <w:bidi w:val="0"/>
    </w:pPr>
    <w:rPr>
      <w:rFonts w:ascii="함초롬돋움" w:hAnsi="함초롬돋움" w:eastAsia="함초롬돋움" w:cs="함초롬돋움"/>
      <w:color w:val="000000"/>
      <w:spacing w:val="-4"/>
      <w:sz w:val="18"/>
      <w:szCs w:val="18"/>
      <w:lang w:val="en-US" w:bidi="ar-SA" w:eastAsia="zh-CN"/>
    </w:rPr>
  </w:style>
  <w:style w:type="paragraph" w:styleId="12">
    <w:name w:val="바탕글 사본1"/>
    <w:qFormat/>
    <w:pPr>
      <w:widowControl w:val="false"/>
      <w:autoSpaceDE w:val="false"/>
      <w:bidi w:val="0"/>
      <w:spacing w:lineRule="auto" w:line="247"/>
      <w:jc w:val="both"/>
    </w:pPr>
    <w:rPr>
      <w:rFonts w:ascii="바탕;Batang" w:hAnsi="바탕;Batang" w:eastAsia="바탕;Batang" w:cs="바탕;Batang"/>
      <w:color w:val="000000"/>
      <w:sz w:val="20"/>
      <w:szCs w:val="20"/>
      <w:lang w:val="en-US" w:bidi="ar-SA" w:eastAsia="zh-CN"/>
    </w:rPr>
  </w:style>
  <w:style w:type="paragraph" w:styleId="51">
    <w:name w:val="바탕글 사본5"/>
    <w:qFormat/>
    <w:pPr>
      <w:widowControl w:val="false"/>
      <w:autoSpaceDE w:val="false"/>
      <w:bidi w:val="0"/>
      <w:spacing w:lineRule="auto" w:line="247"/>
      <w:jc w:val="both"/>
    </w:pPr>
    <w:rPr>
      <w:rFonts w:ascii="함초롬바탕" w:hAnsi="함초롬바탕" w:eastAsia="함초롬바탕" w:cs="함초롬바탕"/>
      <w:color w:val="000000"/>
      <w:sz w:val="20"/>
      <w:szCs w:val="20"/>
      <w:lang w:val="en-US" w:bidi="ar-SA" w:eastAsia="zh-CN"/>
    </w:rPr>
  </w:style>
  <w:style w:type="paragraph" w:styleId="Style21">
    <w:name w:val="가"/>
    <w:qFormat/>
    <w:pPr>
      <w:widowControl w:val="false"/>
      <w:autoSpaceDE w:val="false"/>
      <w:bidi w:val="0"/>
      <w:snapToGrid w:val="false"/>
      <w:spacing w:lineRule="auto" w:line="312"/>
      <w:ind w:hanging="0" w:start="200" w:end="0"/>
      <w:jc w:val="both"/>
    </w:pPr>
    <w:rPr>
      <w:rFonts w:ascii="신명 태고딕;Yu Gothic" w:hAnsi="신명 태고딕;Yu Gothic" w:eastAsia="신명 태고딕;Yu Gothic" w:cs="신명 태고딕;Yu Gothic"/>
      <w:color w:val="000000"/>
      <w:sz w:val="28"/>
      <w:szCs w:val="28"/>
      <w:lang w:val="en-US" w:bidi="ar-SA" w:eastAsia="zh-CN"/>
    </w:rPr>
  </w:style>
  <w:style w:type="paragraph" w:styleId="41">
    <w:name w:val="바탕글 사본4"/>
    <w:qFormat/>
    <w:pPr>
      <w:widowControl w:val="false"/>
      <w:autoSpaceDE w:val="false"/>
      <w:bidi w:val="0"/>
      <w:snapToGrid w:val="false"/>
      <w:spacing w:lineRule="auto" w:line="247"/>
      <w:jc w:val="both"/>
    </w:pPr>
    <w:rPr>
      <w:rFonts w:ascii="HCI Poppy" w:hAnsi="HCI Poppy" w:eastAsia="휴먼명조" w:cs="휴먼명조"/>
      <w:color w:val="000000"/>
      <w:sz w:val="30"/>
      <w:szCs w:val="30"/>
      <w:lang w:val="en-US" w:bidi="ar-SA" w:eastAsia="zh-CN"/>
    </w:rPr>
  </w:style>
  <w:style w:type="paragraph" w:styleId="Style22">
    <w:name w:val="표제목"/>
    <w:qFormat/>
    <w:pPr>
      <w:widowControl w:val="false"/>
      <w:autoSpaceDE w:val="false"/>
      <w:bidi w:val="0"/>
      <w:snapToGrid w:val="false"/>
      <w:jc w:val="center"/>
    </w:pPr>
    <w:rPr>
      <w:rFonts w:ascii="맑은 고딕" w:hAnsi="맑은 고딕" w:eastAsia="맑은 고딕" w:cs="맑은 고딕"/>
      <w:b/>
      <w:bCs/>
      <w:color w:val="000000"/>
      <w:sz w:val="22"/>
      <w:szCs w:val="22"/>
      <w:lang w:val="en-US" w:bidi="ar-SA" w:eastAsia="zh-CN"/>
    </w:rPr>
  </w:style>
  <w:style w:type="paragraph" w:styleId="Style23">
    <w:name w:val="표중앙"/>
    <w:qFormat/>
    <w:pPr>
      <w:widowControl w:val="false"/>
      <w:autoSpaceDE w:val="false"/>
      <w:bidi w:val="0"/>
      <w:snapToGrid w:val="false"/>
      <w:jc w:val="center"/>
    </w:pPr>
    <w:rPr>
      <w:rFonts w:ascii="KoPub돋움체 Light" w:hAnsi="KoPub돋움체 Light" w:eastAsia="KoPub돋움체 Light" w:cs="KoPub돋움체 Light"/>
      <w:color w:val="000000"/>
      <w:sz w:val="22"/>
      <w:szCs w:val="22"/>
      <w:lang w:val="en-US" w:bidi="ar-SA" w:eastAsia="zh-CN"/>
    </w:rPr>
  </w:style>
  <w:style w:type="paragraph" w:styleId="Style24">
    <w:name w:val="표본문"/>
    <w:qFormat/>
    <w:pPr>
      <w:widowControl w:val="false"/>
      <w:autoSpaceDE w:val="false"/>
      <w:bidi w:val="0"/>
      <w:snapToGrid w:val="false"/>
      <w:jc w:val="center"/>
    </w:pPr>
    <w:rPr>
      <w:rFonts w:ascii="HCI Hollyhock" w:hAnsi="HCI Hollyhock" w:eastAsia="휴먼고딕" w:cs="휴먼고딕"/>
      <w:color w:val="000000"/>
      <w:spacing w:val="-5"/>
      <w:w w:val="95"/>
      <w:sz w:val="20"/>
      <w:szCs w:val="20"/>
      <w:lang w:val="en-US" w:bidi="ar-SA" w:eastAsia="zh-CN"/>
    </w:rPr>
  </w:style>
  <w:style w:type="paragraph" w:styleId="Style25">
    <w:name w:val="선그리기"/>
    <w:qFormat/>
    <w:pPr>
      <w:widowControl w:val="false"/>
      <w:autoSpaceDE w:val="false"/>
      <w:bidi w:val="0"/>
      <w:snapToGrid w:val="false"/>
      <w:spacing w:lineRule="auto" w:line="247"/>
      <w:jc w:val="both"/>
    </w:pPr>
    <w:rPr>
      <w:rFonts w:ascii="산세리프" w:hAnsi="산세리프" w:eastAsia="HY신명조" w:cs="HY신명조"/>
      <w:color w:val="000000"/>
      <w:sz w:val="20"/>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2026-04-27T21:35:00Z</dcterms:created>
  <dc:creator>USER</dc:creator>
  <dc:description/>
  <cp:keywords/>
  <dc:language>en-US</dc:language>
  <cp:lastModifiedBy>조 민형</cp:lastModifiedBy>
  <dcterms:modified xsi:type="dcterms:W3CDTF">2026-07-12T09:16:00Z</dcterms:modified>
  <cp:revision>10</cp:revision>
  <dc:subject/>
  <dc:title>○○○ 기획재정담당관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