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맑은 고딕" w:cs="맑은 고딕" w:eastAsia="맑은 고딕" w:hAnsi="맑은 고딕"/>
          <w:b/>
          <w:bCs/>
          <w:sz w:val="28"/>
          <w:szCs w:val="28"/>
        </w:rPr>
        <w:t xml:space="preserve">2026년 제3차 국방 AI 활용 아이디어 경연대회 공모 기획서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700"/>
        <w:gridCol w:w="3100"/>
      </w:tblGrid>
      <w:tr>
        <w:tc>
          <w:tcPr>
            <w:tcW w:type="dxa" w:w="9600"/>
            <w:gridSpan w:val="4"/>
            <w:shd w:fill="D9D9D9" w:color="auto" w:val="clear"/>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bCs/>
                <w:sz w:val="24"/>
                <w:szCs w:val="24"/>
              </w:rPr>
              <w:t xml:space="preserve">1. 참가자 정보</w:t>
            </w:r>
          </w:p>
        </w:tc>
      </w:tr>
      <w:tr>
        <w:tc>
          <w:tcPr>
            <w:tcW w:type="dxa" w:w="1700"/>
            <w:shd w:fill="F2F2F2" w:color="auto" w:val="clear"/>
            <w:tcMar>
              <w:top w:type="dxa" w:w="60"/>
              <w:left w:type="dxa" w:w="100"/>
              <w:bottom w:type="dxa" w:w="60"/>
              <w:right w:type="dxa" w:w="100"/>
            </w:tcMar>
            <w:vAlign w:val="center"/>
          </w:tcPr>
          <w:p>
            <w:pPr>
              <w:spacing w:after="40" w:before="0" w:line="264"/>
              <w:jc w:val="center"/>
            </w:pPr>
            <w:r>
              <w:rPr>
                <w:rFonts w:ascii="맑은 고딕" w:cs="맑은 고딕" w:eastAsia="맑은 고딕" w:hAnsi="맑은 고딕"/>
                <w:b/>
                <w:bCs/>
                <w:sz w:val="22"/>
                <w:szCs w:val="22"/>
              </w:rPr>
              <w:t xml:space="preserve">접수번호</w:t>
            </w:r>
          </w:p>
        </w:tc>
        <w:tc>
          <w:tcPr>
            <w:tcW w:type="dxa" w:w="7900"/>
            <w:gridSpan w:val="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접수번호란은 비워두세요.(운영사무국에서 일괄 부여 예정)</w:t>
            </w:r>
          </w:p>
        </w:tc>
      </w:tr>
      <w:tr>
        <w:tc>
          <w:tcPr>
            <w:tcW w:type="dxa" w:w="1700"/>
            <w:shd w:fill="F2F2F2" w:color="auto" w:val="clear"/>
            <w:tcMar>
              <w:top w:type="dxa" w:w="60"/>
              <w:left w:type="dxa" w:w="100"/>
              <w:bottom w:type="dxa" w:w="60"/>
              <w:right w:type="dxa" w:w="100"/>
            </w:tcMar>
            <w:vAlign w:val="center"/>
          </w:tcPr>
          <w:p>
            <w:pPr>
              <w:spacing w:after="40" w:before="0" w:line="264"/>
              <w:jc w:val="center"/>
            </w:pPr>
            <w:r>
              <w:rPr>
                <w:rFonts w:ascii="맑은 고딕" w:cs="맑은 고딕" w:eastAsia="맑은 고딕" w:hAnsi="맑은 고딕"/>
                <w:b/>
                <w:bCs/>
                <w:sz w:val="22"/>
                <w:szCs w:val="22"/>
              </w:rPr>
              <w:t xml:space="preserve">특허(출원)번호</w:t>
            </w:r>
          </w:p>
        </w:tc>
        <w:tc>
          <w:tcPr>
            <w:tcW w:type="dxa" w:w="7900"/>
            <w:gridSpan w:val="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특허가 있을 경우 기입</w:t>
            </w:r>
          </w:p>
        </w:tc>
      </w:tr>
      <w:tr>
        <w:tc>
          <w:tcPr>
            <w:tcW w:type="dxa" w:w="1700"/>
            <w:shd w:fill="F2F2F2" w:color="auto" w:val="clear"/>
            <w:tcMar>
              <w:top w:type="dxa" w:w="60"/>
              <w:left w:type="dxa" w:w="100"/>
              <w:bottom w:type="dxa" w:w="60"/>
              <w:right w:type="dxa" w:w="100"/>
            </w:tcMar>
            <w:vAlign w:val="center"/>
          </w:tcPr>
          <w:p>
            <w:pPr>
              <w:spacing w:after="40" w:before="0" w:line="264"/>
              <w:jc w:val="center"/>
            </w:pPr>
            <w:r>
              <w:rPr>
                <w:rFonts w:ascii="맑은 고딕" w:cs="맑은 고딕" w:eastAsia="맑은 고딕" w:hAnsi="맑은 고딕"/>
                <w:b/>
                <w:bCs/>
                <w:sz w:val="22"/>
                <w:szCs w:val="22"/>
              </w:rPr>
              <w:t xml:space="preserve">성    명</w:t>
            </w:r>
          </w:p>
        </w:tc>
        <w:tc>
          <w:tcPr>
            <w:tcW w:type="dxa" w:w="3100"/>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w:r>
          </w:p>
        </w:tc>
        <w:tc>
          <w:tcPr>
            <w:tcW w:type="dxa" w:w="1700"/>
            <w:shd w:fill="F2F2F2" w:color="auto" w:val="clear"/>
            <w:tcMar>
              <w:top w:type="dxa" w:w="60"/>
              <w:left w:type="dxa" w:w="100"/>
              <w:bottom w:type="dxa" w:w="60"/>
              <w:right w:type="dxa" w:w="100"/>
            </w:tcMar>
            <w:vAlign w:val="center"/>
          </w:tcPr>
          <w:p>
            <w:pPr>
              <w:spacing w:after="40" w:before="0" w:line="264"/>
              <w:jc w:val="center"/>
            </w:pPr>
            <w:r>
              <w:rPr>
                <w:rFonts w:ascii="맑은 고딕" w:cs="맑은 고딕" w:eastAsia="맑은 고딕" w:hAnsi="맑은 고딕"/>
                <w:b/>
                <w:bCs/>
                <w:sz w:val="22"/>
                <w:szCs w:val="22"/>
              </w:rPr>
              <w:t xml:space="preserve">소    속</w:t>
            </w:r>
          </w:p>
        </w:tc>
        <w:tc>
          <w:tcPr>
            <w:tcW w:type="dxa" w:w="3100"/>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w:r>
          </w:p>
        </w:tc>
      </w:tr>
      <w:tr>
        <w:tc>
          <w:tcPr>
            <w:tcW w:type="dxa" w:w="1700"/>
            <w:shd w:fill="F2F2F2" w:color="auto" w:val="clear"/>
            <w:tcMar>
              <w:top w:type="dxa" w:w="60"/>
              <w:left w:type="dxa" w:w="100"/>
              <w:bottom w:type="dxa" w:w="60"/>
              <w:right w:type="dxa" w:w="100"/>
            </w:tcMar>
            <w:vAlign w:val="center"/>
          </w:tcPr>
          <w:p>
            <w:pPr>
              <w:spacing w:after="40" w:before="0" w:line="264"/>
              <w:jc w:val="center"/>
            </w:pPr>
            <w:r>
              <w:rPr>
                <w:rFonts w:ascii="맑은 고딕" w:cs="맑은 고딕" w:eastAsia="맑은 고딕" w:hAnsi="맑은 고딕"/>
                <w:b/>
                <w:bCs/>
                <w:sz w:val="22"/>
                <w:szCs w:val="22"/>
              </w:rPr>
              <w:t xml:space="preserve">전화번호</w:t>
            </w:r>
          </w:p>
        </w:tc>
        <w:tc>
          <w:tcPr>
            <w:tcW w:type="dxa" w:w="3100"/>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w:r>
          </w:p>
        </w:tc>
        <w:tc>
          <w:tcPr>
            <w:tcW w:type="dxa" w:w="1700"/>
            <w:shd w:fill="F2F2F2" w:color="auto" w:val="clear"/>
            <w:tcMar>
              <w:top w:type="dxa" w:w="60"/>
              <w:left w:type="dxa" w:w="100"/>
              <w:bottom w:type="dxa" w:w="60"/>
              <w:right w:type="dxa" w:w="100"/>
            </w:tcMar>
            <w:vAlign w:val="center"/>
          </w:tcPr>
          <w:p>
            <w:pPr>
              <w:spacing w:after="40" w:before="0" w:line="264"/>
              <w:jc w:val="center"/>
            </w:pPr>
            <w:r>
              <w:rPr>
                <w:rFonts w:ascii="맑은 고딕" w:cs="맑은 고딕" w:eastAsia="맑은 고딕" w:hAnsi="맑은 고딕"/>
                <w:b/>
                <w:bCs/>
                <w:sz w:val="22"/>
                <w:szCs w:val="22"/>
              </w:rPr>
              <w:t xml:space="preserve">이 메 일</w:t>
            </w:r>
          </w:p>
        </w:tc>
        <w:tc>
          <w:tcPr>
            <w:tcW w:type="dxa" w:w="3100"/>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w:r>
          </w:p>
        </w:tc>
      </w:tr>
    </w:tbl>
    <w:p>
      <w:pPr>
        <w:spacing w:after="60"/>
      </w:pPr>
      <w:r>
        <w:rPr>
          <w:rFonts w:ascii="맑은 고딕" w:cs="맑은 고딕" w:eastAsia="맑은 고딕" w:hAnsi="맑은 고딕"/>
          <w:b w:val="false"/>
          <w:b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2634"/>
        <w:gridCol w:w="2633"/>
        <w:gridCol w:w="2633"/>
      </w:tblGrid>
      <w:tr>
        <w:tc>
          <w:tcPr>
            <w:tcW w:type="dxa" w:w="1700"/>
            <w:shd w:fill="F2F2F2" w:color="auto" w:val="clear"/>
            <w:tcMar>
              <w:top w:type="dxa" w:w="60"/>
              <w:left w:type="dxa" w:w="100"/>
              <w:bottom w:type="dxa" w:w="60"/>
              <w:right w:type="dxa" w:w="100"/>
            </w:tcMar>
            <w:vAlign w:val="center"/>
          </w:tcPr>
          <w:p>
            <w:pPr>
              <w:spacing w:after="40" w:before="0" w:line="264"/>
              <w:jc w:val="center"/>
            </w:pPr>
            <w:r>
              <w:rPr>
                <w:rFonts w:ascii="맑은 고딕" w:cs="맑은 고딕" w:eastAsia="맑은 고딕" w:hAnsi="맑은 고딕"/>
                <w:b/>
                <w:bCs/>
                <w:sz w:val="22"/>
                <w:szCs w:val="22"/>
              </w:rPr>
              <w:t xml:space="preserve">아이디어명</w:t>
            </w:r>
          </w:p>
        </w:tc>
        <w:tc>
          <w:tcPr>
            <w:tcW w:type="dxa" w:w="7900"/>
            <w:gridSpan w:val="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16"/>
                <w:szCs w:val="16"/>
              </w:rPr>
              <w:t xml:space="preserve">※ 파일명 및 아이디어명 사용 제한 특수문자( \ / : * ? " &lt; &gt; | )</w:t>
            </w:r>
          </w:p>
          <w:p>
            <w:pPr>
              <w:spacing w:after="40" w:before="0" w:line="264"/>
              <w:jc w:val="both"/>
            </w:pPr>
            <w:r>
              <w:rPr>
                <w:rFonts w:ascii="맑은 고딕" w:cs="맑은 고딕" w:eastAsia="맑은 고딕" w:hAnsi="맑은 고딕"/>
                <w:b/>
                <w:bCs/>
                <w:sz w:val="24"/>
                <w:szCs w:val="24"/>
              </w:rPr>
              <w:t xml:space="preserve">결식위험 상한제어 기반 부대 급식량 산정 지원체계</w:t>
            </w:r>
          </w:p>
        </w:tc>
      </w:tr>
      <w:tr>
        <w:tc>
          <w:tcPr>
            <w:tcW w:type="dxa" w:w="1700"/>
            <w:vMerge w:val="restart"/>
            <w:shd w:fill="F2F2F2" w:color="auto" w:val="clear"/>
            <w:tcMar>
              <w:top w:type="dxa" w:w="60"/>
              <w:left w:type="dxa" w:w="100"/>
              <w:bottom w:type="dxa" w:w="60"/>
              <w:right w:type="dxa" w:w="100"/>
            </w:tcMar>
            <w:vAlign w:val="center"/>
          </w:tcPr>
          <w:p>
            <w:pPr>
              <w:spacing w:after="40" w:before="0" w:line="264"/>
              <w:jc w:val="center"/>
            </w:pPr>
            <w:r>
              <w:rPr>
                <w:rFonts w:ascii="맑은 고딕" w:cs="맑은 고딕" w:eastAsia="맑은 고딕" w:hAnsi="맑은 고딕"/>
                <w:b/>
                <w:bCs/>
                <w:sz w:val="22"/>
                <w:szCs w:val="22"/>
              </w:rPr>
              <w:t xml:space="preserve">기술 분야</w:t>
            </w:r>
          </w:p>
          <w:p>
            <w:pPr>
              <w:spacing w:after="40" w:before="0" w:line="264"/>
              <w:jc w:val="center"/>
            </w:pPr>
            <w:r>
              <w:rPr>
                <w:rFonts w:ascii="맑은 고딕" w:cs="맑은 고딕" w:eastAsia="맑은 고딕" w:hAnsi="맑은 고딕"/>
                <w:b/>
                <w:bCs/>
                <w:sz w:val="22"/>
                <w:szCs w:val="22"/>
              </w:rPr>
              <w:t xml:space="preserve">(중복 선택 가능)</w:t>
            </w:r>
          </w:p>
        </w:tc>
        <w:tc>
          <w:tcPr>
            <w:tcW w:type="dxa" w:w="2634"/>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웹 기반 기술</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모바일 기반 기술</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임베디드 기반 기술</w:t>
            </w:r>
          </w:p>
        </w:tc>
      </w:tr>
      <w:tr>
        <w:tc>
          <w:tcPr>
            <w:vMerge w:val="continue"/>
          </w:tcPr>
          <w:p/>
        </w:tc>
        <w:tc>
          <w:tcPr>
            <w:tcW w:type="dxa" w:w="2634"/>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클라우드 네이티브</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엣지 컴퓨팅</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엣지-클라우드 협업</w:t>
            </w:r>
          </w:p>
        </w:tc>
      </w:tr>
      <w:tr>
        <w:tc>
          <w:tcPr>
            <w:vMerge w:val="continue"/>
          </w:tcPr>
          <w:p/>
        </w:tc>
        <w:tc>
          <w:tcPr>
            <w:tcW w:type="dxa" w:w="2634"/>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보안*</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데이터 통합</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기타 (           )</w:t>
            </w:r>
          </w:p>
        </w:tc>
      </w:tr>
      <w:tr>
        <w:tc>
          <w:tcPr>
            <w:tcW w:type="dxa" w:w="9600"/>
            <w:gridSpan w:val="4"/>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15"/>
                <w:szCs w:val="15"/>
              </w:rPr>
              <w:t xml:space="preserve">* 보안 분야에 해당하는 참가작은 ‘26. 8. 6.(목)까지 소속 부대(기관)의 보안성 검토 결과를 운영사무국 이메일 주소(idea@maicon.kr)로 필히 제출해야 합니다. ※ 보안 부적합 판정 및 미제출 하는 경우 심사 대상에서 제외됨</w:t>
            </w:r>
          </w:p>
        </w:tc>
      </w:tr>
      <w:tr>
        <w:tc>
          <w:tcPr>
            <w:tcW w:type="dxa" w:w="1700"/>
            <w:vMerge w:val="restart"/>
            <w:shd w:fill="F2F2F2" w:color="auto" w:val="clear"/>
            <w:tcMar>
              <w:top w:type="dxa" w:w="60"/>
              <w:left w:type="dxa" w:w="100"/>
              <w:bottom w:type="dxa" w:w="60"/>
              <w:right w:type="dxa" w:w="100"/>
            </w:tcMar>
            <w:vAlign w:val="center"/>
          </w:tcPr>
          <w:p>
            <w:pPr>
              <w:spacing w:after="40" w:before="0" w:line="264"/>
              <w:jc w:val="center"/>
            </w:pPr>
            <w:r>
              <w:rPr>
                <w:rFonts w:ascii="맑은 고딕" w:cs="맑은 고딕" w:eastAsia="맑은 고딕" w:hAnsi="맑은 고딕"/>
                <w:b/>
                <w:bCs/>
                <w:sz w:val="22"/>
                <w:szCs w:val="22"/>
              </w:rPr>
              <w:t xml:space="preserve">AI 분야</w:t>
            </w:r>
          </w:p>
          <w:p>
            <w:pPr>
              <w:spacing w:after="40" w:before="0" w:line="264"/>
              <w:jc w:val="center"/>
            </w:pPr>
            <w:r>
              <w:rPr>
                <w:rFonts w:ascii="맑은 고딕" w:cs="맑은 고딕" w:eastAsia="맑은 고딕" w:hAnsi="맑은 고딕"/>
                <w:b/>
                <w:bCs/>
                <w:sz w:val="22"/>
                <w:szCs w:val="22"/>
              </w:rPr>
              <w:t xml:space="preserve">(중복 선택 가능)</w:t>
            </w:r>
          </w:p>
        </w:tc>
        <w:tc>
          <w:tcPr>
            <w:tcW w:type="dxa" w:w="2634"/>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컴퓨터 비전</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음성 및 신호 인식</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다중 모달 인식</w:t>
            </w:r>
          </w:p>
        </w:tc>
      </w:tr>
      <w:tr>
        <w:tc>
          <w:tcPr>
            <w:vMerge w:val="continue"/>
          </w:tcPr>
          <w:p/>
        </w:tc>
        <w:tc>
          <w:tcPr>
            <w:tcW w:type="dxa" w:w="2634"/>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시계열 분석</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예측 및 예지</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이상 징후 탐지</w:t>
            </w:r>
          </w:p>
        </w:tc>
      </w:tr>
      <w:tr>
        <w:tc>
          <w:tcPr>
            <w:vMerge w:val="continue"/>
          </w:tcPr>
          <w:p/>
        </w:tc>
        <w:tc>
          <w:tcPr>
            <w:tcW w:type="dxa" w:w="2634"/>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LLM 기반</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정보 추출</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정보 시각화</w:t>
            </w:r>
          </w:p>
        </w:tc>
      </w:tr>
      <w:tr>
        <w:tc>
          <w:tcPr>
            <w:vMerge w:val="continue"/>
          </w:tcPr>
          <w:p/>
        </w:tc>
        <w:tc>
          <w:tcPr>
            <w:tcW w:type="dxa" w:w="2634"/>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최적화</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기타 (                    )</w:t>
            </w:r>
          </w:p>
        </w:tc>
        <w:tc>
          <w:tcPr>
            <w:tcW w:type="dxa" w:w="2633"/>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val="false"/>
                <w:bCs w:val="false"/>
                <w:sz w:val="22"/>
                <w:szCs w:val="22"/>
              </w:rPr>
              <w:t xml:space="preserve"/>
            </w:r>
          </w:p>
        </w:tc>
      </w:tr>
    </w:tbl>
    <w:p>
      <w:pPr>
        <w:spacing w:after="60"/>
      </w:pPr>
      <w:r>
        <w:rPr>
          <w:rFonts w:ascii="맑은 고딕" w:cs="맑은 고딕" w:eastAsia="맑은 고딕" w:hAnsi="맑은 고딕"/>
          <w:b w:val="false"/>
          <w:b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gridSpan w:val="1"/>
            <w:shd w:fill="D9D9D9" w:color="auto" w:val="clear"/>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bCs/>
                <w:sz w:val="24"/>
                <w:szCs w:val="24"/>
              </w:rPr>
              <w:t xml:space="preserve">2. 아이디어 개요</w:t>
            </w:r>
          </w:p>
        </w:tc>
      </w:tr>
      <w:tr>
        <w:tc>
          <w:tcPr>
            <w:tcW w:type="dxa" w:w="9600"/>
            <w:tcMar>
              <w:top w:type="dxa" w:w="60"/>
              <w:left w:type="dxa" w:w="100"/>
              <w:bottom w:type="dxa" w:w="60"/>
              <w:right w:type="dxa" w:w="100"/>
            </w:tcMar>
            <w:vAlign w:val="top"/>
          </w:tcPr>
          <w:p>
            <w:pPr>
              <w:spacing w:after="60" w:before="60" w:line="264"/>
              <w:jc w:val="both"/>
            </w:pPr>
            <w:r>
              <w:rPr>
                <w:rFonts w:ascii="맑은 고딕" w:cs="맑은 고딕" w:eastAsia="맑은 고딕" w:hAnsi="맑은 고딕"/>
                <w:b/>
                <w:bCs/>
                <w:sz w:val="22"/>
                <w:szCs w:val="22"/>
              </w:rPr>
              <w:t xml:space="preserve">1) 제안 배경 및 목적</w:t>
            </w:r>
          </w:p>
          <w:p>
            <w:pPr>
              <w:spacing w:after="40" w:before="0" w:line="264"/>
              <w:jc w:val="both"/>
            </w:pPr>
            <w:r>
              <w:rPr>
                <w:rFonts w:ascii="맑은 고딕" w:cs="맑은 고딕" w:eastAsia="맑은 고딕" w:hAnsi="맑은 고딕"/>
                <w:b w:val="false"/>
                <w:bCs w:val="false"/>
                <w:sz w:val="22"/>
                <w:szCs w:val="22"/>
              </w:rPr>
              <w:t xml:space="preserve">병영식당의 취사량은 매 끼니 식수인원 신고값과 담당자의 경험적 판단으로 정해진다. 그러나 휴가·외출·파견에 따른 출타 변동, 훈련·행사 일정, 요일과 메뉴에 따른 취식률 차이가 겹치면서 신고 인원과 실제 식사 인원 사이에는 상시적인 편차가 남는다. 결식은 지휘 책임이 따르는 사안이므로 담당자는 구조적으로 넉넉히 취사하는 쪽을 택하게 되고, 이 방어적 과잉취사가 잔반으로 누적된다.</w:t>
            </w:r>
          </w:p>
          <w:p>
            <w:pPr>
              <w:spacing w:after="40" w:before="0" w:line="264"/>
              <w:jc w:val="both"/>
            </w:pPr>
            <w:r>
              <w:rPr>
                <w:rFonts w:ascii="맑은 고딕" w:cs="맑은 고딕" w:eastAsia="맑은 고딕" w:hAnsi="맑은 고딕"/>
                <w:b w:val="false"/>
                <w:bCs w:val="false"/>
                <w:sz w:val="22"/>
                <w:szCs w:val="22"/>
              </w:rPr>
              <w:t xml:space="preserve">이 구조는 통계로도 드러난다. 국정감사에 제출된 국방부 자료를 인용한 보도에 따르면 군 음식물류폐기물 처리비용은 2018년 약 103억 원에서 2023년 약 195억 원으로 늘었다(출처 5). 같은 계열의 국정감사 자료는 장병 1인당 연간 배출량이 2017년 125kg에서 2021년 195kg으로 증가했으며 이는 국민 1인당 배출량의 약 1.8배 수준이라고 밝힌다(출처 6). 병력이 감소하는 추세에서 1인당 배출량이 늘었다는 사실은, 문제의 원인이 급식의 질이 아니라 “얼마를 만들 것인가”를 정하는 절차 자체에 있음을 시사한다.</w:t>
            </w:r>
          </w:p>
          <w:p>
            <w:pPr>
              <w:spacing w:after="40" w:before="0" w:line="264"/>
              <w:jc w:val="both"/>
            </w:pPr>
            <w:r>
              <w:rPr>
                <w:rFonts w:ascii="맑은 고딕" w:cs="맑은 고딕" w:eastAsia="맑은 고딕" w:hAnsi="맑은 고딕"/>
                <w:b w:val="false"/>
                <w:bCs w:val="false"/>
                <w:sz w:val="22"/>
                <w:szCs w:val="22"/>
              </w:rPr>
              <w:t xml:space="preserve">한편 2026년 장병 기본급식비는 1인 1일 14,000원으로 인상되었고 국방예산의 급식·피복 항목은 2조 6,282억 원 규모다(출처 7, 8). 단가 인상이 급식 만족도로 이어지려면 투입 재원이 잔반으로 빠져나가는 경로를 함께 줄여야 한다.</w:t>
            </w:r>
          </w:p>
          <w:p>
            <w:pPr>
              <w:spacing w:after="40" w:before="0" w:line="264"/>
              <w:jc w:val="both"/>
            </w:pPr>
            <w:r>
              <w:rPr>
                <w:rFonts w:ascii="맑은 고딕" w:cs="맑은 고딕" w:eastAsia="맑은 고딕" w:hAnsi="맑은 고딕"/>
                <w:b w:val="false"/>
                <w:bCs w:val="false"/>
                <w:sz w:val="22"/>
                <w:szCs w:val="22"/>
              </w:rPr>
              <w:t xml:space="preserve">최근 군 일부 제대에는 급식 인원 집계와 식자재 청구를 자동화한 체계가 도입되어 행정 소요와 잔반을 줄인 사례가 보도되었다(출처 9). 그러나 이 자동화는 “신고된 값을 얼마나 정확하고 빠르게 집계·청구하는가”를 다룬다. “신고값과 실제 식사 인원이 왜 벌어지는가”, “그 불확실성 아래에서 결식위험을 얼마나 감수하며 얼마를 만들 것인가”라는 의사결정은 여전히 담당자의 경험에 남아 있다.</w:t>
            </w:r>
          </w:p>
          <w:p>
            <w:pPr>
              <w:spacing w:after="40" w:before="0" w:line="264"/>
              <w:jc w:val="both"/>
            </w:pPr>
            <w:r>
              <w:rPr>
                <w:rFonts w:ascii="맑은 고딕" w:cs="맑은 고딕" w:eastAsia="맑은 고딕" w:hAnsi="맑은 고딕"/>
                <w:b w:val="false"/>
                <w:bCs w:val="false"/>
                <w:sz w:val="22"/>
                <w:szCs w:val="22"/>
              </w:rPr>
              <w:t xml:space="preserve">집단급식 선행연구는 식수 예측이 오랫동안 담당자 개인의 경험칙에 의존해 왔으며 데이터 기반 예측이 그 정확도를 개선함을 보고한다(출처 1, 2). 예측을 재고·발주 결정으로 변환하는 비용최적화 이론은 1950년대 정립 이후 기계학습 예측과 결합되는 흐름으로 발전했다(출처 3, 4). 본 제안의 목적은 이 두 흐름을 부대 급양 업무에 결합하되, 결식위험을 지휘관이 직접 정하는 정책 수치로 노출시켜 통제 가능하게 만드는 데 있다.</w:t>
            </w:r>
          </w:p>
          <w:p>
            <w:pPr>
              <w:spacing w:after="60" w:before="60" w:line="264"/>
              <w:jc w:val="both"/>
            </w:pPr>
            <w:r>
              <w:rPr>
                <w:rFonts w:ascii="맑은 고딕" w:cs="맑은 고딕" w:eastAsia="맑은 고딕" w:hAnsi="맑은 고딕"/>
                <w:b/>
                <w:bCs/>
                <w:sz w:val="22"/>
                <w:szCs w:val="22"/>
              </w:rPr>
              <w:t xml:space="preserve">2) 아이디어 요약</w:t>
            </w:r>
          </w:p>
          <w:p>
            <w:pPr>
              <w:spacing w:after="40" w:before="0" w:line="264"/>
              <w:jc w:val="both"/>
            </w:pPr>
            <w:r>
              <w:rPr>
                <w:rFonts w:ascii="맑은 고딕" w:cs="맑은 고딕" w:eastAsia="맑은 고딕" w:hAnsi="맑은 고딕"/>
                <w:b w:val="false"/>
                <w:bCs w:val="false"/>
                <w:sz w:val="22"/>
                <w:szCs w:val="22"/>
              </w:rPr>
              <w:t xml:space="preserve">기존 식수 신고체계나 인원 집계·청구 자동화체계를 대체하지 않고 그 위에 얹는 2계층 구조다.</w:t>
            </w:r>
          </w:p>
          <w:p>
            <w:pPr>
              <w:spacing w:after="20" w:before="0" w:line="264"/>
              <w:ind w:left="220" w:hanging="180"/>
              <w:jc w:val="both"/>
            </w:pPr>
            <w:r>
              <w:rPr>
                <w:rFonts w:ascii="맑은 고딕" w:cs="맑은 고딕" w:eastAsia="맑은 고딕" w:hAnsi="맑은 고딕"/>
                <w:b w:val="false"/>
                <w:bCs w:val="false"/>
                <w:sz w:val="22"/>
                <w:szCs w:val="22"/>
              </w:rPr>
              <w:t xml:space="preserve">· 예측 계층 — 신고값·출타현황·훈련일정·요일·메뉴를 입력으로 “신고값 대비 실제 취식인원의 편차”를 학습해 확률분포로 산출한다.</w:t>
            </w:r>
          </w:p>
          <w:p>
            <w:pPr>
              <w:spacing w:after="20" w:before="0" w:line="264"/>
              <w:ind w:left="220" w:hanging="180"/>
              <w:jc w:val="both"/>
            </w:pPr>
            <w:r>
              <w:rPr>
                <w:rFonts w:ascii="맑은 고딕" w:cs="맑은 고딕" w:eastAsia="맑은 고딕" w:hAnsi="맑은 고딕"/>
                <w:b w:val="false"/>
                <w:bCs w:val="false"/>
                <w:sz w:val="22"/>
                <w:szCs w:val="22"/>
              </w:rPr>
              <w:t xml:space="preserve">· 결정 계층 — 지휘관이 설정한 결식 허용확률 α(예: 1%)를 서비스수준으로 삼아 분포의 (1−α) 분위에서 권고 취사량을 산출하고, 그 선택이 함의하는 결식·잔반 비용비를 함께 표시한다.</w:t>
            </w:r>
          </w:p>
          <w:p>
            <w:pPr>
              <w:spacing w:after="40" w:before="0" w:line="264"/>
              <w:jc w:val="both"/>
            </w:pPr>
            <w:r>
              <w:rPr>
                <w:rFonts w:ascii="맑은 고딕" w:cs="맑은 고딕" w:eastAsia="맑은 고딕" w:hAnsi="맑은 고딕"/>
                <w:b w:val="false"/>
                <w:bCs w:val="false"/>
                <w:sz w:val="22"/>
                <w:szCs w:val="22"/>
              </w:rPr>
              <w:t xml:space="preserve">담당자는 권고량과 불확실성 구간, 산출 근거를 확인해 조정·승인하며 당일 실적은 재학습에 환류된다. 폐쇄망 온프레미스에서 CPU만으로 구동되고 신규 하드웨어 도입이 없다.</w:t>
            </w:r>
          </w:p>
        </w:tc>
      </w:tr>
    </w:tbl>
    <w:p>
      <w:pPr>
        <w:spacing w:after="60"/>
      </w:pPr>
      <w:r>
        <w:rPr>
          <w:rFonts w:ascii="맑은 고딕" w:cs="맑은 고딕" w:eastAsia="맑은 고딕" w:hAnsi="맑은 고딕"/>
          <w:b w:val="false"/>
          <w:b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gridSpan w:val="1"/>
            <w:shd w:fill="D9D9D9" w:color="auto" w:val="clear"/>
            <w:tcMar>
              <w:top w:type="dxa" w:w="60"/>
              <w:left w:type="dxa" w:w="100"/>
              <w:bottom w:type="dxa" w:w="60"/>
              <w:right w:type="dxa" w:w="100"/>
            </w:tcMar>
            <w:vAlign w:val="center"/>
          </w:tcPr>
          <w:p>
            <w:pPr>
              <w:spacing w:after="40" w:before="0" w:line="264"/>
              <w:jc w:val="both"/>
            </w:pPr>
            <w:r>
              <w:rPr>
                <w:rFonts w:ascii="맑은 고딕" w:cs="맑은 고딕" w:eastAsia="맑은 고딕" w:hAnsi="맑은 고딕"/>
                <w:b/>
                <w:bCs/>
                <w:sz w:val="24"/>
                <w:szCs w:val="24"/>
              </w:rPr>
              <w:t xml:space="preserve">3. 세부 기획안</w:t>
            </w:r>
          </w:p>
        </w:tc>
      </w:tr>
      <w:tr>
        <w:tc>
          <w:tcPr>
            <w:tcW w:type="dxa" w:w="9600"/>
            <w:tcMar>
              <w:top w:type="dxa" w:w="60"/>
              <w:left w:type="dxa" w:w="100"/>
              <w:bottom w:type="dxa" w:w="60"/>
              <w:right w:type="dxa" w:w="100"/>
            </w:tcMar>
            <w:vAlign w:val="top"/>
          </w:tcPr>
          <w:p>
            <w:pPr>
              <w:spacing w:after="60" w:before="60" w:line="264"/>
              <w:jc w:val="both"/>
            </w:pPr>
            <w:r>
              <w:rPr>
                <w:rFonts w:ascii="맑은 고딕" w:cs="맑은 고딕" w:eastAsia="맑은 고딕" w:hAnsi="맑은 고딕"/>
                <w:b/>
                <w:bCs/>
                <w:sz w:val="22"/>
                <w:szCs w:val="22"/>
              </w:rPr>
              <w:t xml:space="preserve">1) 아이디어 상세내용</w:t>
            </w:r>
          </w:p>
          <w:p>
            <w:pPr>
              <w:spacing w:after="30" w:before="50" w:line="264"/>
              <w:jc w:val="both"/>
            </w:pPr>
            <w:r>
              <w:rPr>
                <w:rFonts w:ascii="맑은 고딕" w:cs="맑은 고딕" w:eastAsia="맑은 고딕" w:hAnsi="맑은 고딕"/>
                <w:b/>
                <w:bCs/>
                <w:sz w:val="22"/>
                <w:szCs w:val="22"/>
              </w:rPr>
              <w:t xml:space="preserve">가. 예측 계층 — 편차(잔차) 학습</w:t>
            </w:r>
          </w:p>
          <w:p>
            <w:pPr>
              <w:spacing w:after="40" w:before="0" w:line="264"/>
              <w:jc w:val="both"/>
            </w:pPr>
            <w:r>
              <w:rPr>
                <w:rFonts w:ascii="맑은 고딕" w:cs="맑은 고딕" w:eastAsia="맑은 고딕" w:hAnsi="맑은 고딕"/>
                <w:b w:val="false"/>
                <w:bCs w:val="false"/>
                <w:sz w:val="22"/>
                <w:szCs w:val="22"/>
              </w:rPr>
              <w:t xml:space="preserve">실제 취식인원을 처음부터 예측하는 대신, 이미 존재하는 신고값을 기준선으로 두고 “신고값 대비 편차”를 학습 대상으로 삼는다. 편차는 절대량보다 분산이 작고 부대 규모 의존성이 낮아, 데이터가 적은 부대에서도 학습이 가능하고 부대 간 모델 전이가 쉽다.</w:t>
            </w:r>
          </w:p>
          <w:p>
            <w:pPr>
              <w:spacing w:after="20" w:before="0" w:line="264"/>
              <w:ind w:left="220" w:hanging="180"/>
              <w:jc w:val="both"/>
            </w:pPr>
            <w:r>
              <w:rPr>
                <w:rFonts w:ascii="맑은 고딕" w:cs="맑은 고딕" w:eastAsia="맑은 고딕" w:hAnsi="맑은 고딕"/>
                <w:b w:val="false"/>
                <w:bCs w:val="false"/>
                <w:sz w:val="22"/>
                <w:szCs w:val="22"/>
              </w:rPr>
              <w:t xml:space="preserve">· 입력 — 끼니별 신고 식수, 출타 집계(휴가·외출·파견), 훈련·행사 일정 구분, 요일·공휴일, 메뉴 속성(주메뉴 분류·선호 지표), 직전 동일요일·동일메뉴 편차 이력</w:t>
            </w:r>
          </w:p>
          <w:p>
            <w:pPr>
              <w:spacing w:after="20" w:before="0" w:line="264"/>
              <w:ind w:left="220" w:hanging="180"/>
              <w:jc w:val="both"/>
            </w:pPr>
            <w:r>
              <w:rPr>
                <w:rFonts w:ascii="맑은 고딕" w:cs="맑은 고딕" w:eastAsia="맑은 고딕" w:hAnsi="맑은 고딕"/>
                <w:b w:val="false"/>
                <w:bCs w:val="false"/>
                <w:sz w:val="22"/>
                <w:szCs w:val="22"/>
              </w:rPr>
              <w:t xml:space="preserve">· 모델 — 분위수 손실(pinball loss)을 사용하는 경량 그래디언트 부스팅 앙상블. 단일 값이 아니라 50·80·90·95·99% 분위를 동시에 출력해 편차의 확률분포를 근사한다.</w:t>
            </w:r>
          </w:p>
          <w:p>
            <w:pPr>
              <w:spacing w:after="20" w:before="0" w:line="264"/>
              <w:ind w:left="220" w:hanging="180"/>
              <w:jc w:val="both"/>
            </w:pPr>
            <w:r>
              <w:rPr>
                <w:rFonts w:ascii="맑은 고딕" w:cs="맑은 고딕" w:eastAsia="맑은 고딕" w:hAnsi="맑은 고딕"/>
                <w:b w:val="false"/>
                <w:bCs w:val="false"/>
                <w:sz w:val="22"/>
                <w:szCs w:val="22"/>
              </w:rPr>
              <w:t xml:space="preserve">· 선택 근거 — 분위수 회귀는 예측 오차의 비대칭 비용 구조를 손실함수 수준에서 직접 반영한다. 결식과 잔반의 비용이 서로 다른 본 문제에 구조적으로 부합한다.</w:t>
            </w:r>
          </w:p>
          <w:p>
            <w:pPr>
              <w:spacing w:after="20" w:before="0" w:line="264"/>
              <w:ind w:left="220" w:hanging="180"/>
              <w:jc w:val="both"/>
            </w:pPr>
            <w:r>
              <w:rPr>
                <w:rFonts w:ascii="맑은 고딕" w:cs="맑은 고딕" w:eastAsia="맑은 고딕" w:hAnsi="맑은 고딕"/>
                <w:b w:val="false"/>
                <w:bCs w:val="false"/>
                <w:sz w:val="22"/>
                <w:szCs w:val="22"/>
              </w:rPr>
              <w:t xml:space="preserve">· 구동 — CPU 추론, 부대당 모델 크기 수 MB 수준. GPU·외부 API 불필요.</w:t>
            </w:r>
          </w:p>
          <w:p>
            <w:pPr>
              <w:spacing w:after="30" w:before="50" w:line="264"/>
              <w:jc w:val="both"/>
            </w:pPr>
            <w:r>
              <w:rPr>
                <w:rFonts w:ascii="맑은 고딕" w:cs="맑은 고딕" w:eastAsia="맑은 고딕" w:hAnsi="맑은 고딕"/>
                <w:b/>
                <w:bCs/>
                <w:sz w:val="22"/>
                <w:szCs w:val="22"/>
              </w:rPr>
              <w:t xml:space="preserve">나. 결정 계층 — 결식위험 상한 제어</w:t>
            </w:r>
          </w:p>
          <w:p>
            <w:pPr>
              <w:spacing w:after="40" w:before="0" w:line="264"/>
              <w:jc w:val="both"/>
            </w:pPr>
            <w:r>
              <w:rPr>
                <w:rFonts w:ascii="맑은 고딕" w:cs="맑은 고딕" w:eastAsia="맑은 고딕" w:hAnsi="맑은 고딕"/>
                <w:b w:val="false"/>
                <w:bCs w:val="false"/>
                <w:sz w:val="22"/>
                <w:szCs w:val="22"/>
              </w:rPr>
              <w:t xml:space="preserve">고전 재고이론의 표준 결과는 부족비용 Cu와 과잉비용 Co의 비율로 최적 서비스수준 τ* = Cu/(Cu+Co)를 정한다(출처 3, 4). 그러나 군 급식에서 Cu는 화폐로 환산하기 어렵고, 이를 임의로 추정하면 “AI가 결식 허용치를 정한다”는 수용성 문제가 발생한다.</w:t>
            </w:r>
          </w:p>
          <w:p>
            <w:pPr>
              <w:spacing w:after="40" w:before="0" w:line="264"/>
              <w:jc w:val="both"/>
            </w:pPr>
            <w:r>
              <w:rPr>
                <w:rFonts w:ascii="맑은 고딕" w:cs="맑은 고딕" w:eastAsia="맑은 고딕" w:hAnsi="맑은 고딕"/>
                <w:b w:val="false"/>
                <w:bCs w:val="false"/>
                <w:sz w:val="22"/>
                <w:szCs w:val="22"/>
              </w:rPr>
              <w:t xml:space="preserve">본 제안은 방향을 뒤집는다. 지휘관이 결식 허용확률 α를 정책값으로 선언하면 서비스수준은 τ = 1 − α로 곧바로 정해지고, 권고 취사량은 예측분포의 τ분위가 된다. 시스템은 역으로 그 α가 함의하는 Cu/Co 비율(= τ/(1−τ))을 함께 표시해, 지휘관이 자신이 설정한 위험 수준의 의미를 수치로 확인하게 한다. 결식위험은 AI가 정하는 값이 아니라 지휘관이 정하고 AI가 이행·감시하는 값이 된다.</w:t>
            </w:r>
          </w:p>
          <w:p>
            <w:pPr>
              <w:spacing w:after="30" w:before="50" w:line="264"/>
              <w:jc w:val="both"/>
            </w:pPr>
            <w:r>
              <w:rPr>
                <w:rFonts w:ascii="맑은 고딕" w:cs="맑은 고딕" w:eastAsia="맑은 고딕" w:hAnsi="맑은 고딕"/>
                <w:b/>
                <w:bCs/>
                <w:sz w:val="22"/>
                <w:szCs w:val="22"/>
              </w:rPr>
              <w:t xml:space="preserve">다. 실제 운용 시나리오와 서비스 흐름</w:t>
            </w:r>
          </w:p>
          <w:p>
            <w:pPr>
              <w:spacing w:after="20" w:before="0" w:line="264"/>
              <w:ind w:left="220" w:hanging="180"/>
              <w:jc w:val="both"/>
            </w:pPr>
            <w:r>
              <w:rPr>
                <w:rFonts w:ascii="맑은 고딕" w:cs="맑은 고딕" w:eastAsia="맑은 고딕" w:hAnsi="맑은 고딕"/>
                <w:b w:val="false"/>
                <w:bCs w:val="false"/>
                <w:sz w:val="22"/>
                <w:szCs w:val="22"/>
              </w:rPr>
              <w:t xml:space="preserve">① 전일 오후, 익일 3식 편차 예측 및 권고안 자동 생성</w:t>
            </w:r>
          </w:p>
          <w:p>
            <w:pPr>
              <w:spacing w:after="20" w:before="0" w:line="264"/>
              <w:ind w:left="220" w:hanging="180"/>
              <w:jc w:val="both"/>
            </w:pPr>
            <w:r>
              <w:rPr>
                <w:rFonts w:ascii="맑은 고딕" w:cs="맑은 고딕" w:eastAsia="맑은 고딕" w:hAnsi="맑은 고딕"/>
                <w:b w:val="false"/>
                <w:bCs w:val="false"/>
                <w:sz w:val="22"/>
                <w:szCs w:val="22"/>
              </w:rPr>
              <w:t xml:space="preserve">② 급양 담당자가 권고량·불확실성 구간·산출 근거를 확인하고 필요 시 수정 후 승인(수정 시 사유 코드 선택)</w:t>
            </w:r>
          </w:p>
          <w:p>
            <w:pPr>
              <w:spacing w:after="20" w:before="0" w:line="264"/>
              <w:ind w:left="220" w:hanging="180"/>
              <w:jc w:val="both"/>
            </w:pPr>
            <w:r>
              <w:rPr>
                <w:rFonts w:ascii="맑은 고딕" w:cs="맑은 고딕" w:eastAsia="맑은 고딕" w:hAnsi="맑은 고딕"/>
                <w:b w:val="false"/>
                <w:bCs w:val="false"/>
                <w:sz w:val="22"/>
                <w:szCs w:val="22"/>
              </w:rPr>
              <w:t xml:space="preserve">③ 승인값으로 취사 및 식자재 불출. 집계·청구 자동화체계 운용 부대는 해당 청구값과 연동</w:t>
            </w:r>
          </w:p>
          <w:p>
            <w:pPr>
              <w:spacing w:after="20" w:before="0" w:line="264"/>
              <w:ind w:left="220" w:hanging="180"/>
              <w:jc w:val="both"/>
            </w:pPr>
            <w:r>
              <w:rPr>
                <w:rFonts w:ascii="맑은 고딕" w:cs="맑은 고딕" w:eastAsia="맑은 고딕" w:hAnsi="맑은 고딕"/>
                <w:b w:val="false"/>
                <w:bCs w:val="false"/>
                <w:sz w:val="22"/>
                <w:szCs w:val="22"/>
              </w:rPr>
              <w:t xml:space="preserve">④ 당일 실적(실취식 인원 또는 잔반 계측값) 입력 시 예측오차 자동 기록</w:t>
            </w:r>
          </w:p>
          <w:p>
            <w:pPr>
              <w:spacing w:after="20" w:before="0" w:line="264"/>
              <w:ind w:left="220" w:hanging="180"/>
              <w:jc w:val="both"/>
            </w:pPr>
            <w:r>
              <w:rPr>
                <w:rFonts w:ascii="맑은 고딕" w:cs="맑은 고딕" w:eastAsia="맑은 고딕" w:hAnsi="맑은 고딕"/>
                <w:b w:val="false"/>
                <w:bCs w:val="false"/>
                <w:sz w:val="22"/>
                <w:szCs w:val="22"/>
              </w:rPr>
              <w:t xml:space="preserve">⑤ 주 단위 재학습. 담당자 수정 이력은 모델 개선 신호로 별도 분석</w:t>
            </w:r>
          </w:p>
          <w:p>
            <w:pPr>
              <w:spacing w:after="20" w:before="0" w:line="264"/>
              <w:ind w:left="220" w:hanging="180"/>
              <w:jc w:val="both"/>
            </w:pPr>
            <w:r>
              <w:rPr>
                <w:rFonts w:ascii="맑은 고딕" w:cs="맑은 고딕" w:eastAsia="맑은 고딕" w:hAnsi="맑은 고딕"/>
                <w:b w:val="false"/>
                <w:bCs w:val="false"/>
                <w:sz w:val="22"/>
                <w:szCs w:val="22"/>
              </w:rPr>
              <w:t xml:space="preserve">⑥ 지휘부는 부대별 결식 발생률, 실제 서비스수준 달성도, 잔반 추이를 대시보드로 확인</w:t>
            </w:r>
          </w:p>
          <w:p>
            <w:pPr>
              <w:spacing w:after="40" w:before="0" w:line="264"/>
              <w:jc w:val="both"/>
            </w:pPr>
            <w:r>
              <w:rPr>
                <w:rFonts w:ascii="맑은 고딕" w:cs="맑은 고딕" w:eastAsia="맑은 고딕" w:hAnsi="맑은 고딕"/>
                <w:b w:val="false"/>
                <w:bCs w:val="false"/>
                <w:sz w:val="22"/>
                <w:szCs w:val="22"/>
              </w:rPr>
              <w:t xml:space="preserve">최종 결정권은 항상 담당자에게 있으며 시스템은 권고와 근거만 제시한다.</w:t>
            </w:r>
          </w:p>
        </w:tc>
      </w:tr>
      <w:tr>
        <w:tc>
          <w:tcPr>
            <w:tcW w:type="dxa" w:w="9600"/>
            <w:tcMar>
              <w:top w:type="dxa" w:w="60"/>
              <w:left w:type="dxa" w:w="100"/>
              <w:bottom w:type="dxa" w:w="60"/>
              <w:right w:type="dxa" w:w="100"/>
            </w:tcMar>
            <w:vAlign w:val="top"/>
          </w:tcPr>
          <w:p>
            <w:pPr>
              <w:spacing w:after="60" w:before="60" w:line="264"/>
              <w:jc w:val="both"/>
            </w:pPr>
            <w:r>
              <w:rPr>
                <w:rFonts w:ascii="맑은 고딕" w:cs="맑은 고딕" w:eastAsia="맑은 고딕" w:hAnsi="맑은 고딕"/>
                <w:b/>
                <w:bCs/>
                <w:sz w:val="22"/>
                <w:szCs w:val="22"/>
              </w:rPr>
              <w:t xml:space="preserve">2) 차별성</w:t>
            </w:r>
          </w:p>
          <w:p>
            <w:pPr>
              <w:spacing w:after="30" w:before="50" w:line="264"/>
              <w:jc w:val="both"/>
            </w:pPr>
            <w:r>
              <w:rPr>
                <w:rFonts w:ascii="맑은 고딕" w:cs="맑은 고딕" w:eastAsia="맑은 고딕" w:hAnsi="맑은 고딕"/>
                <w:b/>
                <w:bCs/>
                <w:sz w:val="22"/>
                <w:szCs w:val="22"/>
              </w:rPr>
              <w:t xml:space="preserve">가. 기존 국방 시스템과의 차별점</w:t>
            </w:r>
          </w:p>
          <w:p>
            <w:pPr>
              <w:spacing w:after="40" w:before="0" w:line="264"/>
              <w:jc w:val="both"/>
            </w:pPr>
            <w:r>
              <w:rPr>
                <w:rFonts w:ascii="맑은 고딕" w:cs="맑은 고딕" w:eastAsia="맑은 고딕" w:hAnsi="맑은 고딕"/>
                <w:b w:val="false"/>
                <w:bCs w:val="false"/>
                <w:sz w:val="22"/>
                <w:szCs w:val="22"/>
              </w:rPr>
              <w:t xml:space="preserve">군 일부 제대에 도입된 급식 인원 집계·청구 자동화체계는 신고된 값을 정확·신속하게 집계하고 청구까지 연결하는 것을 목표로 한다(출처 9). 본 제안은 이 체계와 경쟁하지 않으며, 오히려 그 체계가 표준화해 놓은 집계 데이터를 예측 계층의 입력으로 활용할 수 있어 상호 보완적이다. 기존 체계가 “신고된 값을 빠르게 반영”한다면, 본 제안은 “신고와 실제가 얼마나 벌어질지, 그 불확실성 아래 결식위험을 얼마나 감수하며 얼마를 만들지”를 다룬다. 문제를 정의하는 층위가 다르다.</w:t>
            </w:r>
          </w:p>
          <w:p>
            <w:pPr>
              <w:spacing w:after="30" w:before="50" w:line="264"/>
              <w:jc w:val="both"/>
            </w:pPr>
            <w:r>
              <w:rPr>
                <w:rFonts w:ascii="맑은 고딕" w:cs="맑은 고딕" w:eastAsia="맑은 고딕" w:hAnsi="맑은 고딕"/>
                <w:b/>
                <w:bCs/>
                <w:sz w:val="22"/>
                <w:szCs w:val="22"/>
              </w:rPr>
              <w:t xml:space="preserve">나. 상용 서비스와의 차별점</w:t>
            </w:r>
          </w:p>
          <w:p>
            <w:pPr>
              <w:spacing w:after="40" w:before="0" w:line="264"/>
              <w:jc w:val="both"/>
            </w:pPr>
            <w:r>
              <w:rPr>
                <w:rFonts w:ascii="맑은 고딕" w:cs="맑은 고딕" w:eastAsia="맑은 고딕" w:hAnsi="맑은 고딕"/>
                <w:b w:val="false"/>
                <w:bCs w:val="false"/>
                <w:sz w:val="22"/>
                <w:szCs w:val="22"/>
              </w:rPr>
              <w:t xml:space="preserve">민간 집단급식 분야에는 배식 이력과 메뉴 패턴을 학습해 권장 식수를 제시하는 예측 중심 서비스가 존재한다(업계 일반 동향으로 서술하며 개별 제품 출처는 확인하지 못함 — 근거 미확보). 본 제안은 예측값을 그대로 사용하지 않고, 결식 허용확률이라는 지휘 정책 파라미터를 거쳐 취사량으로 변환한다. 예측 정확도 경쟁이 아니라 위험 배분 규칙의 명시화가 핵심이므로 상용 예측 서비스의 대체재가 아니다.</w:t>
            </w:r>
          </w:p>
          <w:p>
            <w:pPr>
              <w:spacing w:after="30" w:before="50" w:line="264"/>
              <w:jc w:val="both"/>
            </w:pPr>
            <w:r>
              <w:rPr>
                <w:rFonts w:ascii="맑은 고딕" w:cs="맑은 고딕" w:eastAsia="맑은 고딕" w:hAnsi="맑은 고딕"/>
                <w:b/>
                <w:bCs/>
                <w:sz w:val="22"/>
                <w:szCs w:val="22"/>
              </w:rPr>
              <w:t xml:space="preserve">다. AI를 접목하는 새로운 시도</w:t>
            </w:r>
          </w:p>
          <w:p>
            <w:pPr>
              <w:spacing w:after="20" w:before="0" w:line="264"/>
              <w:ind w:left="220" w:hanging="180"/>
              <w:jc w:val="both"/>
            </w:pPr>
            <w:r>
              <w:rPr>
                <w:rFonts w:ascii="맑은 고딕" w:cs="맑은 고딕" w:eastAsia="맑은 고딕" w:hAnsi="맑은 고딕"/>
                <w:b w:val="false"/>
                <w:bCs w:val="false"/>
                <w:sz w:val="22"/>
                <w:szCs w:val="22"/>
              </w:rPr>
              <w:t xml:space="preserve">① 절대량이 아닌 “기존 신고값 대비 편차”를 학습 대상으로 삼아 소량 데이터 학습과 부대 간 전이를 가능하게 한 점</w:t>
            </w:r>
          </w:p>
          <w:p>
            <w:pPr>
              <w:spacing w:after="20" w:before="0" w:line="264"/>
              <w:ind w:left="220" w:hanging="180"/>
              <w:jc w:val="both"/>
            </w:pPr>
            <w:r>
              <w:rPr>
                <w:rFonts w:ascii="맑은 고딕" w:cs="맑은 고딕" w:eastAsia="맑은 고딕" w:hAnsi="맑은 고딕"/>
                <w:b w:val="false"/>
                <w:bCs w:val="false"/>
                <w:sz w:val="22"/>
                <w:szCs w:val="22"/>
              </w:rPr>
              <w:t xml:space="preserve">② 예측분포와 지휘 정책값을 결합해 AI 출력이 그 자체로 의사결정 규칙이 되게 한 점</w:t>
            </w:r>
          </w:p>
          <w:p>
            <w:pPr>
              <w:spacing w:after="20" w:before="0" w:line="264"/>
              <w:ind w:left="220" w:hanging="180"/>
              <w:jc w:val="both"/>
            </w:pPr>
            <w:r>
              <w:rPr>
                <w:rFonts w:ascii="맑은 고딕" w:cs="맑은 고딕" w:eastAsia="맑은 고딕" w:hAnsi="맑은 고딕"/>
                <w:b w:val="false"/>
                <w:bCs w:val="false"/>
                <w:sz w:val="22"/>
                <w:szCs w:val="22"/>
              </w:rPr>
              <w:t xml:space="preserve">③ 결식위험을 사후 통계가 아니라 사전 설정 파라미터로 노출해 통제·검증 대상으로 만든 점</w:t>
            </w:r>
          </w:p>
          <w:p>
            <w:pPr>
              <w:spacing w:after="40" w:before="0" w:line="264"/>
              <w:jc w:val="both"/>
            </w:pPr>
            <w:r>
              <w:rPr>
                <w:rFonts w:ascii="맑은 고딕" w:cs="맑은 고딕" w:eastAsia="맑은 고딕" w:hAnsi="맑은 고딕"/>
                <w:b w:val="false"/>
                <w:bCs w:val="false"/>
                <w:sz w:val="22"/>
                <w:szCs w:val="22"/>
              </w:rPr>
              <w:t xml:space="preserve">이 세 요소의 결합은 국내 군 급양 분야에서 공개적으로 확인된 선례를 찾지 못했다(불확실 — 비공개 내부 검토 과제의 존재 가능성은 배제할 수 없음).</w:t>
            </w:r>
          </w:p>
        </w:tc>
      </w:tr>
      <w:tr>
        <w:tc>
          <w:tcPr>
            <w:tcW w:type="dxa" w:w="9600"/>
            <w:tcMar>
              <w:top w:type="dxa" w:w="60"/>
              <w:left w:type="dxa" w:w="100"/>
              <w:bottom w:type="dxa" w:w="60"/>
              <w:right w:type="dxa" w:w="100"/>
            </w:tcMar>
            <w:vAlign w:val="top"/>
          </w:tcPr>
          <w:p>
            <w:pPr>
              <w:spacing w:after="60" w:before="60" w:line="264"/>
              <w:jc w:val="both"/>
            </w:pPr>
            <w:r>
              <w:rPr>
                <w:rFonts w:ascii="맑은 고딕" w:cs="맑은 고딕" w:eastAsia="맑은 고딕" w:hAnsi="맑은 고딕"/>
                <w:b/>
                <w:bCs/>
                <w:sz w:val="22"/>
                <w:szCs w:val="22"/>
              </w:rPr>
              <w:t xml:space="preserve">3) 실현 가능성</w:t>
            </w:r>
          </w:p>
          <w:p>
            <w:pPr>
              <w:spacing w:after="30" w:before="50" w:line="264"/>
              <w:jc w:val="both"/>
            </w:pPr>
            <w:r>
              <w:rPr>
                <w:rFonts w:ascii="맑은 고딕" w:cs="맑은 고딕" w:eastAsia="맑은 고딕" w:hAnsi="맑은 고딕"/>
                <w:b/>
                <w:bCs/>
                <w:sz w:val="22"/>
                <w:szCs w:val="22"/>
              </w:rPr>
              <w:t xml:space="preserve">가. 필요 AI 모델 및 아키텍처</w:t>
            </w:r>
          </w:p>
          <w:p>
            <w:pPr>
              <w:spacing w:after="40" w:before="0" w:line="264"/>
              <w:jc w:val="both"/>
            </w:pPr>
            <w:r>
              <w:rPr>
                <w:rFonts w:ascii="맑은 고딕" w:cs="맑은 고딕" w:eastAsia="맑은 고딕" w:hAnsi="맑은 고딕"/>
                <w:b w:val="false"/>
                <w:bCs w:val="false"/>
                <w:sz w:val="22"/>
                <w:szCs w:val="22"/>
              </w:rPr>
              <w:t xml:space="preserve">분위수 손실 기반 경량 그래디언트 부스팅(예측 계층) + 분위 선택 규칙(결정 계층). 학습·추론 모두 CPU에서 수행되며 일반 사무용 서버 사양으로 충분하다. 사용자 화면은 국방망 내부 표준 웹 기술로 구현하고 외부 통신은 없다. GPU, 대규모 언어모델, 외부 클라우드 API를 사용하지 않으므로 폐쇄망 제약과 충돌하지 않는다.</w:t>
            </w:r>
          </w:p>
          <w:p>
            <w:pPr>
              <w:spacing w:after="30" w:before="50" w:line="264"/>
              <w:jc w:val="both"/>
            </w:pPr>
            <w:r>
              <w:rPr>
                <w:rFonts w:ascii="맑은 고딕" w:cs="맑은 고딕" w:eastAsia="맑은 고딕" w:hAnsi="맑은 고딕"/>
                <w:b/>
                <w:bCs/>
                <w:sz w:val="22"/>
                <w:szCs w:val="22"/>
              </w:rPr>
              <w:t xml:space="preserve">나. 군 데이터 확보·정제 방안 — 정답(라벨) 부재에 대한 3단 대응</w:t>
            </w:r>
          </w:p>
          <w:p>
            <w:pPr>
              <w:spacing w:after="40" w:before="0" w:line="264"/>
              <w:jc w:val="both"/>
            </w:pPr>
            <w:r>
              <w:rPr>
                <w:rFonts w:ascii="맑은 고딕" w:cs="맑은 고딕" w:eastAsia="맑은 고딕" w:hAnsi="맑은 고딕"/>
                <w:b w:val="false"/>
                <w:bCs w:val="false"/>
                <w:sz w:val="22"/>
                <w:szCs w:val="22"/>
              </w:rPr>
              <w:t xml:space="preserve">본 제안의 최대 기술 위험은 “실제 취식인원”이 모든 부대에서 기록되고 있지 않다는 점이다. 데이터가 있다고 전제하지 않고 부대 여건별로 3단계 경로를 둔다.</w:t>
            </w:r>
          </w:p>
          <w:p>
            <w:pPr>
              <w:spacing w:after="20" w:before="0" w:line="264"/>
              <w:ind w:left="220" w:hanging="180"/>
              <w:jc w:val="both"/>
            </w:pPr>
            <w:r>
              <w:rPr>
                <w:rFonts w:ascii="맑은 고딕" w:cs="맑은 고딕" w:eastAsia="맑은 고딕" w:hAnsi="맑은 고딕"/>
                <w:b w:val="false"/>
                <w:bCs w:val="false"/>
                <w:sz w:val="22"/>
                <w:szCs w:val="22"/>
              </w:rPr>
              <w:t xml:space="preserve">1단계(전자 배식·퇴식 기록 보유 부대) — 실취식 인원을 직접 라벨로 사용</w:t>
            </w:r>
          </w:p>
          <w:p>
            <w:pPr>
              <w:spacing w:after="20" w:before="0" w:line="264"/>
              <w:ind w:left="220" w:hanging="180"/>
              <w:jc w:val="both"/>
            </w:pPr>
            <w:r>
              <w:rPr>
                <w:rFonts w:ascii="맑은 고딕" w:cs="맑은 고딕" w:eastAsia="맑은 고딕" w:hAnsi="맑은 고딕"/>
                <w:b w:val="false"/>
                <w:bCs w:val="false"/>
                <w:sz w:val="22"/>
                <w:szCs w:val="22"/>
              </w:rPr>
              <w:t xml:space="preserve">2단계(잔반 계측값 보유 부대) — 취사량과 잔반 중량으로 실취식량을 역산해 근사 라벨 생성</w:t>
            </w:r>
          </w:p>
          <w:p>
            <w:pPr>
              <w:spacing w:after="20" w:before="0" w:line="264"/>
              <w:ind w:left="220" w:hanging="180"/>
              <w:jc w:val="both"/>
            </w:pPr>
            <w:r>
              <w:rPr>
                <w:rFonts w:ascii="맑은 고딕" w:cs="맑은 고딕" w:eastAsia="맑은 고딕" w:hAnsi="맑은 고딕"/>
                <w:b w:val="false"/>
                <w:bCs w:val="false"/>
                <w:sz w:val="22"/>
                <w:szCs w:val="22"/>
              </w:rPr>
              <w:t xml:space="preserve">3단계(둘 다 없는 부대) — 초기 4~8주 시범 계측(끼니별 잔반 중량 기록)으로 최소 라벨을 확보하고, 유사 규모·유사 편성 부대의 모델을 전이 적용한 뒤 자체 데이터로 재학습</w:t>
            </w:r>
          </w:p>
          <w:p>
            <w:pPr>
              <w:spacing w:after="40" w:before="0" w:line="264"/>
              <w:jc w:val="both"/>
            </w:pPr>
            <w:r>
              <w:rPr>
                <w:rFonts w:ascii="맑은 고딕" w:cs="맑은 고딕" w:eastAsia="맑은 고딕" w:hAnsi="맑은 고딕"/>
                <w:b w:val="false"/>
                <w:bCs w:val="false"/>
                <w:sz w:val="22"/>
                <w:szCs w:val="22"/>
              </w:rPr>
              <w:t xml:space="preserve">입력 변수(신고값·출타·훈련일정·메뉴)는 급양·인사·작전교육 업무에서 이미 생성되고 있으나, 부대별로 단일 화면에서 조회 가능한 형태인지는 시범부대 실사로 확인해야 한다(불확실). 정제는 결측 끼니 제외, 특이일(대규모 훈련·재해) 플래그 분리, 부대 규모 기준 정규화 순으로 수행한다.</w:t>
            </w:r>
          </w:p>
          <w:p>
            <w:pPr>
              <w:spacing w:after="30" w:before="50" w:line="264"/>
              <w:jc w:val="both"/>
            </w:pPr>
            <w:r>
              <w:rPr>
                <w:rFonts w:ascii="맑은 고딕" w:cs="맑은 고딕" w:eastAsia="맑은 고딕" w:hAnsi="맑은 고딕"/>
                <w:b/>
                <w:bCs/>
                <w:sz w:val="22"/>
                <w:szCs w:val="22"/>
              </w:rPr>
              <w:t xml:space="preserve">다. 현행 법령·제도 내 실행 가능성</w:t>
            </w:r>
          </w:p>
          <w:p>
            <w:pPr>
              <w:spacing w:after="40" w:before="0" w:line="264"/>
              <w:jc w:val="both"/>
            </w:pPr>
            <w:r>
              <w:rPr>
                <w:rFonts w:ascii="맑은 고딕" w:cs="맑은 고딕" w:eastAsia="맑은 고딕" w:hAnsi="맑은 고딕"/>
                <w:b w:val="false"/>
                <w:bCs w:val="false"/>
                <w:sz w:val="22"/>
                <w:szCs w:val="22"/>
              </w:rPr>
              <w:t xml:space="preserve">개인 단위 정보를 사용하지 않고 부대 단위 집계값만 다루므로 개인정보 수집·이용 부담이 낮다. 국방망 내부 데이터를 내부 업무 목적으로만 처리하고 외부 반출이 없어 기술분야 “보안” 항목에 해당하지 않는다. 급식 관련 규정상 취사량 결정 권한은 부대에 있으며 본 체계는 권고만 제공하므로 기존 권한 구조를 변경하지 않는다. 세부 규정 검토는 시범운용 승인 과정에서 확정한다.</w:t>
            </w:r>
          </w:p>
        </w:tc>
      </w:tr>
      <w:tr>
        <w:tc>
          <w:tcPr>
            <w:tcW w:type="dxa" w:w="9600"/>
            <w:tcMar>
              <w:top w:type="dxa" w:w="60"/>
              <w:left w:type="dxa" w:w="100"/>
              <w:bottom w:type="dxa" w:w="60"/>
              <w:right w:type="dxa" w:w="100"/>
            </w:tcMar>
            <w:vAlign w:val="top"/>
          </w:tcPr>
          <w:p>
            <w:pPr>
              <w:spacing w:after="60" w:before="60" w:line="264"/>
              <w:jc w:val="both"/>
            </w:pPr>
            <w:r>
              <w:rPr>
                <w:rFonts w:ascii="맑은 고딕" w:cs="맑은 고딕" w:eastAsia="맑은 고딕" w:hAnsi="맑은 고딕"/>
                <w:b/>
                <w:bCs/>
                <w:sz w:val="22"/>
                <w:szCs w:val="22"/>
              </w:rPr>
              <w:t xml:space="preserve">4) 적용 효과성</w:t>
            </w:r>
          </w:p>
          <w:p>
            <w:pPr>
              <w:spacing w:after="30" w:before="50" w:line="264"/>
              <w:jc w:val="both"/>
            </w:pPr>
            <w:r>
              <w:rPr>
                <w:rFonts w:ascii="맑은 고딕" w:cs="맑은 고딕" w:eastAsia="맑은 고딕" w:hAnsi="맑은 고딕"/>
                <w:b/>
                <w:bCs/>
                <w:sz w:val="22"/>
                <w:szCs w:val="22"/>
              </w:rPr>
              <w:t xml:space="preserve">가. 문제 해결 기여도</w:t>
            </w:r>
          </w:p>
          <w:p>
            <w:pPr>
              <w:spacing w:after="40" w:before="0" w:line="264"/>
              <w:jc w:val="both"/>
            </w:pPr>
            <w:r>
              <w:rPr>
                <w:rFonts w:ascii="맑은 고딕" w:cs="맑은 고딕" w:eastAsia="맑은 고딕" w:hAnsi="맑은 고딕"/>
                <w:b w:val="false"/>
                <w:bCs w:val="false"/>
                <w:sz w:val="22"/>
                <w:szCs w:val="22"/>
              </w:rPr>
              <w:t xml:space="preserve">경험적 안전마진에 의존하던 취사량 결정을, 예측된 불확실성과 지휘관이 선언한 위험 허용치에 근거한 결정으로 전환한다. 집계·청구 자동화가 행정 처리 속도를 개선한다면, 본 제안은 그 위에서 결정의 근거와 위험 수준을 명시화한다.</w:t>
            </w:r>
          </w:p>
          <w:p>
            <w:pPr>
              <w:spacing w:after="30" w:before="50" w:line="264"/>
              <w:jc w:val="both"/>
            </w:pPr>
            <w:r>
              <w:rPr>
                <w:rFonts w:ascii="맑은 고딕" w:cs="맑은 고딕" w:eastAsia="맑은 고딕" w:hAnsi="맑은 고딕"/>
                <w:b/>
                <w:bCs/>
                <w:sz w:val="22"/>
                <w:szCs w:val="22"/>
              </w:rPr>
              <w:t xml:space="preserve">나. 정량 기대효과 (산출 근거 병기, 감축률은 가정치로 불확실)</w:t>
            </w:r>
          </w:p>
          <w:p>
            <w:pPr>
              <w:spacing w:after="20" w:before="0" w:line="264"/>
              <w:ind w:left="220" w:hanging="180"/>
              <w:jc w:val="both"/>
            </w:pPr>
            <w:r>
              <w:rPr>
                <w:rFonts w:ascii="맑은 고딕" w:cs="맑은 고딕" w:eastAsia="맑은 고딕" w:hAnsi="맑은 고딕"/>
                <w:b w:val="false"/>
                <w:bCs w:val="false"/>
                <w:sz w:val="22"/>
                <w:szCs w:val="22"/>
              </w:rPr>
              <w:t xml:space="preserve">· 모수 — 군 음식물류폐기물 연간 처리비용 약 195억 원(2023년 기준, 출처 5)</w:t>
            </w:r>
          </w:p>
          <w:p>
            <w:pPr>
              <w:spacing w:after="20" w:before="0" w:line="264"/>
              <w:ind w:left="220" w:hanging="180"/>
              <w:jc w:val="both"/>
            </w:pPr>
            <w:r>
              <w:rPr>
                <w:rFonts w:ascii="맑은 고딕" w:cs="맑은 고딕" w:eastAsia="맑은 고딕" w:hAnsi="맑은 고딕"/>
                <w:b w:val="false"/>
                <w:bCs w:val="false"/>
                <w:sz w:val="22"/>
                <w:szCs w:val="22"/>
              </w:rPr>
              <w:t xml:space="preserve">· 감축 여력의 상한 — 장병 1인당 배출량 195kg은 국민 1인당의 약 1.8배 수준으로 보고된다(출처 6). 다만 군은 1일 3식 전량을 단체급식으로 제공하므로 이 격차 전부가 낭비는 아니며, 격차를 그대로 감축 목표로 환산해서는 안 된다. 본 제안은 격차의 일부만을 회수 대상으로 본다.</w:t>
            </w:r>
          </w:p>
          <w:p>
            <w:pPr>
              <w:spacing w:after="20" w:before="0" w:line="264"/>
              <w:ind w:left="220" w:hanging="180"/>
              <w:jc w:val="both"/>
            </w:pPr>
            <w:r>
              <w:rPr>
                <w:rFonts w:ascii="맑은 고딕" w:cs="맑은 고딕" w:eastAsia="맑은 고딕" w:hAnsi="맑은 고딕"/>
                <w:b w:val="false"/>
                <w:bCs w:val="false"/>
                <w:sz w:val="22"/>
                <w:szCs w:val="22"/>
              </w:rPr>
              <w:t xml:space="preserve">· 시나리오 — 배출량 감축률 5% / 10% / 15%를 가정할 때 처리비 절감액은 각각 약 9.8억 / 19.5억 / 29.3억 원(195억 원 × 감축률). 감축률은 검증되지 않은 가정치이며 선행연구가 보고한 예측정확도 개선 효과(출처 1, 2)를 참고해 보수적 범위로 설정했다.</w:t>
            </w:r>
          </w:p>
          <w:p>
            <w:pPr>
              <w:spacing w:after="20" w:before="0" w:line="264"/>
              <w:ind w:left="220" w:hanging="180"/>
              <w:jc w:val="both"/>
            </w:pPr>
            <w:r>
              <w:rPr>
                <w:rFonts w:ascii="맑은 고딕" w:cs="맑은 고딕" w:eastAsia="맑은 고딕" w:hAnsi="맑은 고딕"/>
                <w:b w:val="false"/>
                <w:bCs w:val="false"/>
                <w:sz w:val="22"/>
                <w:szCs w:val="22"/>
              </w:rPr>
              <w:t xml:space="preserve">· 식자재비 절감 — 감축된 잔반에 대응하는 식자재비 절감은 처리비 절감보다 큰 규모일 것으로 예상되나, 조리 투입 중량 대비 배출 중량 비율에 관한 공식 통계를 확인하지 못했다(근거 미확보). 따라서 금액으로 계상하지 않고 시범운용 단계의 실측 항목으로 둔다. 참고로 2026년 기본급식비는 1인 1일 14,000원, 급식·피복 예산은 2조 6,282억 원 규모다(출처 7, 8).</w:t>
            </w:r>
          </w:p>
          <w:p>
            <w:pPr>
              <w:spacing w:after="20" w:before="0" w:line="264"/>
              <w:ind w:left="220" w:hanging="180"/>
              <w:jc w:val="both"/>
            </w:pPr>
            <w:r>
              <w:rPr>
                <w:rFonts w:ascii="맑은 고딕" w:cs="맑은 고딕" w:eastAsia="맑은 고딕" w:hAnsi="맑은 고딕"/>
                <w:b w:val="false"/>
                <w:bCs w:val="false"/>
                <w:sz w:val="22"/>
                <w:szCs w:val="22"/>
              </w:rPr>
              <w:t xml:space="preserve">· 중복 계상 방지 — 보도된 집계·청구 자동화체계의 잔반 감소 효과(출처 9)는 집계 정확도 향상 경로의 효과로 추정되며 본 제안의 취사량 최적화와는 효과 경로가 다르다. 시범운용에서 두 체계 도입 부대와 미도입 부대를 구분해 각각 실측하고 합산하지 않는다.</w:t>
            </w:r>
          </w:p>
          <w:p>
            <w:pPr>
              <w:spacing w:after="30" w:before="50" w:line="264"/>
              <w:jc w:val="both"/>
            </w:pPr>
            <w:r>
              <w:rPr>
                <w:rFonts w:ascii="맑은 고딕" w:cs="맑은 고딕" w:eastAsia="맑은 고딕" w:hAnsi="맑은 고딕"/>
                <w:b/>
                <w:bCs/>
                <w:sz w:val="22"/>
                <w:szCs w:val="22"/>
              </w:rPr>
              <w:t xml:space="preserve">다. 정성 기대효과 및 전투력 기여</w:t>
            </w:r>
          </w:p>
          <w:p>
            <w:pPr>
              <w:spacing w:after="20" w:before="0" w:line="264"/>
              <w:ind w:left="220" w:hanging="180"/>
              <w:jc w:val="both"/>
            </w:pPr>
            <w:r>
              <w:rPr>
                <w:rFonts w:ascii="맑은 고딕" w:cs="맑은 고딕" w:eastAsia="맑은 고딕" w:hAnsi="맑은 고딕"/>
                <w:b w:val="false"/>
                <w:bCs w:val="false"/>
                <w:sz w:val="22"/>
                <w:szCs w:val="22"/>
              </w:rPr>
              <w:t xml:space="preserve">① 결식위험의 수치적 통제 — 현재 결식위험은 담당자 개인의 감각에 맡겨져 관리되지 않는 값이다. 이를 α로 선언하고 달성도를 사후 검증하면 급식 가용성이 관리 가능한 지표가 된다. 급식은 전투지속능력의 기초 조건이므로 가용성의 신뢰도 관리는 전투준비태세 안정화에 기여한다.</w:t>
            </w:r>
          </w:p>
          <w:p>
            <w:pPr>
              <w:spacing w:after="20" w:before="0" w:line="264"/>
              <w:ind w:left="220" w:hanging="180"/>
              <w:jc w:val="both"/>
            </w:pPr>
            <w:r>
              <w:rPr>
                <w:rFonts w:ascii="맑은 고딕" w:cs="맑은 고딕" w:eastAsia="맑은 고딕" w:hAnsi="맑은 고딕"/>
                <w:b w:val="false"/>
                <w:bCs w:val="false"/>
                <w:sz w:val="22"/>
                <w:szCs w:val="22"/>
              </w:rPr>
              <w:t xml:space="preserve">② 급양 담당자의 판단 부담과 조리 인력의 과잉 조리 부담 완화, 잔반 운반·처리에 투입되는 병력 시간 절감. 절감된 시간은 훈련·정비 시간으로 환원된다.</w:t>
            </w:r>
          </w:p>
          <w:p>
            <w:pPr>
              <w:spacing w:after="20" w:before="0" w:line="264"/>
              <w:ind w:left="220" w:hanging="180"/>
              <w:jc w:val="both"/>
            </w:pPr>
            <w:r>
              <w:rPr>
                <w:rFonts w:ascii="맑은 고딕" w:cs="맑은 고딕" w:eastAsia="맑은 고딕" w:hAnsi="맑은 고딕"/>
                <w:b w:val="false"/>
                <w:bCs w:val="false"/>
                <w:sz w:val="22"/>
                <w:szCs w:val="22"/>
              </w:rPr>
              <w:t xml:space="preserve">③ 부대별 예측 정확도와 편차 원인 데이터가 축적되어 급양 정책 수립의 근거 자산이 된다.</w:t>
            </w:r>
          </w:p>
        </w:tc>
      </w:tr>
      <w:tr>
        <w:tc>
          <w:tcPr>
            <w:tcW w:type="dxa" w:w="9600"/>
            <w:tcMar>
              <w:top w:type="dxa" w:w="60"/>
              <w:left w:type="dxa" w:w="100"/>
              <w:bottom w:type="dxa" w:w="60"/>
              <w:right w:type="dxa" w:w="100"/>
            </w:tcMar>
            <w:vAlign w:val="top"/>
          </w:tcPr>
          <w:p>
            <w:pPr>
              <w:spacing w:after="60" w:before="60" w:line="264"/>
              <w:jc w:val="both"/>
            </w:pPr>
            <w:r>
              <w:rPr>
                <w:rFonts w:ascii="맑은 고딕" w:cs="맑은 고딕" w:eastAsia="맑은 고딕" w:hAnsi="맑은 고딕"/>
                <w:b/>
                <w:bCs/>
                <w:sz w:val="22"/>
                <w:szCs w:val="22"/>
              </w:rPr>
              <w:t xml:space="preserve">5) 추진 전략</w:t>
            </w:r>
          </w:p>
          <w:p>
            <w:pPr>
              <w:spacing w:after="30" w:before="50" w:line="264"/>
              <w:jc w:val="both"/>
            </w:pPr>
            <w:r>
              <w:rPr>
                <w:rFonts w:ascii="맑은 고딕" w:cs="맑은 고딕" w:eastAsia="맑은 고딕" w:hAnsi="맑은 고딕"/>
                <w:b/>
                <w:bCs/>
                <w:sz w:val="22"/>
                <w:szCs w:val="22"/>
              </w:rPr>
              <w:t xml:space="preserve">가. 단계별 로드맵</w:t>
            </w:r>
          </w:p>
          <w:p>
            <w:pPr>
              <w:spacing w:after="20" w:before="0" w:line="264"/>
              <w:ind w:left="220" w:hanging="180"/>
              <w:jc w:val="both"/>
            </w:pPr>
            <w:r>
              <w:rPr>
                <w:rFonts w:ascii="맑은 고딕" w:cs="맑은 고딕" w:eastAsia="맑은 고딕" w:hAnsi="맑은 고딕"/>
                <w:b w:val="false"/>
                <w:bCs w:val="false"/>
                <w:sz w:val="22"/>
                <w:szCs w:val="22"/>
              </w:rPr>
              <w:t xml:space="preserve">· 1단계 기술개발(1~4개월) — 시범부대 2~3개 선정, 데이터 통합 가능 여부 및 라벨 확보 경로(1/2/3단계) 판정, 4~8주 잔반 계측, 편차 예측모델 개발. 검증 기준은 신고값 단독 사용 대비 편차 예측의 평균절대오차 개선 여부.</w:t>
            </w:r>
          </w:p>
          <w:p>
            <w:pPr>
              <w:spacing w:after="20" w:before="0" w:line="264"/>
              <w:ind w:left="220" w:hanging="180"/>
              <w:jc w:val="both"/>
            </w:pPr>
            <w:r>
              <w:rPr>
                <w:rFonts w:ascii="맑은 고딕" w:cs="맑은 고딕" w:eastAsia="맑은 고딕" w:hAnsi="맑은 고딕"/>
                <w:b w:val="false"/>
                <w:bCs w:val="false"/>
                <w:sz w:val="22"/>
                <w:szCs w:val="22"/>
              </w:rPr>
              <w:t xml:space="preserve">· 2단계 시험운용(5~10개월) — 권고안 병행 운용(그림자 운용 후 실적용), α 값 조정, 잔반 중량·처리비 실측, 집계 자동화체계 도입 부대와 미도입 부대 구분 비교, 담당자 수정 이력 분석.</w:t>
            </w:r>
          </w:p>
          <w:p>
            <w:pPr>
              <w:spacing w:after="20" w:before="0" w:line="264"/>
              <w:ind w:left="220" w:hanging="180"/>
              <w:jc w:val="both"/>
            </w:pPr>
            <w:r>
              <w:rPr>
                <w:rFonts w:ascii="맑은 고딕" w:cs="맑은 고딕" w:eastAsia="맑은 고딕" w:hAnsi="맑은 고딕"/>
                <w:b w:val="false"/>
                <w:bCs w:val="false"/>
                <w:sz w:val="22"/>
                <w:szCs w:val="22"/>
              </w:rPr>
              <w:t xml:space="preserve">· 3단계 전군확산(11개월~) — 표준 데이터 규격(변수 정의서) 배포, 부대 유형별 모델 분리 운영, 각 군 급양 담당 부서와 연계 협의, 초기 데이터 부족 부대에 전이 모델 우선 적용.</w:t>
            </w:r>
          </w:p>
          <w:p>
            <w:pPr>
              <w:spacing w:after="20" w:before="0" w:line="264"/>
              <w:ind w:left="220" w:hanging="180"/>
              <w:jc w:val="both"/>
            </w:pPr>
            <w:r>
              <w:rPr>
                <w:rFonts w:ascii="맑은 고딕" w:cs="맑은 고딕" w:eastAsia="맑은 고딕" w:hAnsi="맑은 고딕"/>
                <w:b w:val="false"/>
                <w:bCs w:val="false"/>
                <w:sz w:val="22"/>
                <w:szCs w:val="22"/>
              </w:rPr>
              <w:t xml:space="preserve">· 중단 기준 — 1단계에서 예측 개선폭이 유의하지 않거나 2단계에서 실제 결식 발생률이 설정한 α를 초과하면 변수·모델을 재설계하고 확산을 보류한다.</w:t>
            </w:r>
          </w:p>
          <w:p>
            <w:pPr>
              <w:spacing w:after="30" w:before="50" w:line="264"/>
              <w:jc w:val="both"/>
            </w:pPr>
            <w:r>
              <w:rPr>
                <w:rFonts w:ascii="맑은 고딕" w:cs="맑은 고딕" w:eastAsia="맑은 고딕" w:hAnsi="맑은 고딕"/>
                <w:b/>
                <w:bCs/>
                <w:sz w:val="22"/>
                <w:szCs w:val="22"/>
              </w:rPr>
              <w:t xml:space="preserve">나. 제약사항 및 대응 방안</w:t>
            </w:r>
          </w:p>
          <w:p>
            <w:pPr>
              <w:spacing w:after="20" w:before="0" w:line="264"/>
              <w:ind w:left="220" w:hanging="180"/>
              <w:jc w:val="both"/>
            </w:pPr>
            <w:r>
              <w:rPr>
                <w:rFonts w:ascii="맑은 고딕" w:cs="맑은 고딕" w:eastAsia="맑은 고딕" w:hAnsi="맑은 고딕"/>
                <w:b w:val="false"/>
                <w:bCs w:val="false"/>
                <w:sz w:val="22"/>
                <w:szCs w:val="22"/>
              </w:rPr>
              <w:t xml:space="preserve">· 라벨 부재 — 위 3)-나의 3단 라벨 전략으로 대응하며 최소 요구 조건은 4~8주 잔반 계측이다.</w:t>
            </w:r>
          </w:p>
          <w:p>
            <w:pPr>
              <w:spacing w:after="20" w:before="0" w:line="264"/>
              <w:ind w:left="220" w:hanging="180"/>
              <w:jc w:val="both"/>
            </w:pPr>
            <w:r>
              <w:rPr>
                <w:rFonts w:ascii="맑은 고딕" w:cs="맑은 고딕" w:eastAsia="맑은 고딕" w:hAnsi="맑은 고딕"/>
                <w:b w:val="false"/>
                <w:bCs w:val="false"/>
                <w:sz w:val="22"/>
                <w:szCs w:val="22"/>
              </w:rPr>
              <w:t xml:space="preserve">· 부대별 데이터 형식 상이 — 변수 정의서를 선배포하고 최소 필수 변수 집합을 규정한다.</w:t>
            </w:r>
          </w:p>
          <w:p>
            <w:pPr>
              <w:spacing w:after="20" w:before="0" w:line="264"/>
              <w:ind w:left="220" w:hanging="180"/>
              <w:jc w:val="both"/>
            </w:pPr>
            <w:r>
              <w:rPr>
                <w:rFonts w:ascii="맑은 고딕" w:cs="맑은 고딕" w:eastAsia="맑은 고딕" w:hAnsi="맑은 고딕"/>
                <w:b w:val="false"/>
                <w:bCs w:val="false"/>
                <w:sz w:val="22"/>
                <w:szCs w:val="22"/>
              </w:rPr>
              <w:t xml:space="preserve">· 특이일 예측 실패 — 대규모 훈련·재해·상황 발생 시 불확실성 구간을 확대 표시하고 담당자 수동 모드로 자동 전환한다.</w:t>
            </w:r>
          </w:p>
          <w:p>
            <w:pPr>
              <w:spacing w:after="20" w:before="0" w:line="264"/>
              <w:ind w:left="220" w:hanging="180"/>
              <w:jc w:val="both"/>
            </w:pPr>
            <w:r>
              <w:rPr>
                <w:rFonts w:ascii="맑은 고딕" w:cs="맑은 고딕" w:eastAsia="맑은 고딕" w:hAnsi="맑은 고딕"/>
                <w:b w:val="false"/>
                <w:bCs w:val="false"/>
                <w:sz w:val="22"/>
                <w:szCs w:val="22"/>
              </w:rPr>
              <w:t xml:space="preserve">· 담당자 수용성 — 최종 결정권 보장, 예측 적중 이력의 투명 공개, 권고 수정 시 불이익 없음을 운영 규칙으로 명문화한다.</w:t>
            </w:r>
          </w:p>
          <w:p>
            <w:pPr>
              <w:spacing w:after="20" w:before="0" w:line="264"/>
              <w:ind w:left="220" w:hanging="180"/>
              <w:jc w:val="both"/>
            </w:pPr>
            <w:r>
              <w:rPr>
                <w:rFonts w:ascii="맑은 고딕" w:cs="맑은 고딕" w:eastAsia="맑은 고딕" w:hAnsi="맑은 고딕"/>
                <w:b w:val="false"/>
                <w:bCs w:val="false"/>
                <w:sz w:val="22"/>
                <w:szCs w:val="22"/>
              </w:rPr>
              <w:t xml:space="preserve">· 기존 체계와의 기능 중복 오인 — 서면과 발표 모두에서 집계·청구와 예측·결정의 기능 경계를 명시적으로 구분해 설명한다.</w:t>
            </w:r>
          </w:p>
          <w:p>
            <w:pPr>
              <w:spacing w:after="20" w:before="0" w:line="264"/>
              <w:ind w:left="220" w:hanging="180"/>
              <w:jc w:val="both"/>
            </w:pPr>
            <w:r>
              <w:rPr>
                <w:rFonts w:ascii="맑은 고딕" w:cs="맑은 고딕" w:eastAsia="맑은 고딕" w:hAnsi="맑은 고딕"/>
                <w:b w:val="false"/>
                <w:bCs w:val="false"/>
                <w:sz w:val="22"/>
                <w:szCs w:val="22"/>
              </w:rPr>
              <w:t xml:space="preserve">· 유지보수 부담 — 부대에 별도 인력을 두지 않고 중앙에서 모델을 관리·배포하며, 부대는 실적 입력과 승인만 수행한다.</w:t>
            </w:r>
          </w:p>
        </w:tc>
      </w:tr>
      <w:tr>
        <w:tc>
          <w:tcPr>
            <w:tcW w:type="dxa" w:w="9600"/>
            <w:tcMar>
              <w:top w:type="dxa" w:w="60"/>
              <w:left w:type="dxa" w:w="100"/>
              <w:bottom w:type="dxa" w:w="60"/>
              <w:right w:type="dxa" w:w="100"/>
            </w:tcMar>
            <w:vAlign w:val="top"/>
          </w:tcPr>
          <w:p>
            <w:pPr>
              <w:spacing w:after="60" w:before="60" w:line="264"/>
              <w:jc w:val="both"/>
            </w:pPr>
            <w:r>
              <w:rPr>
                <w:rFonts w:ascii="맑은 고딕" w:cs="맑은 고딕" w:eastAsia="맑은 고딕" w:hAnsi="맑은 고딕"/>
                <w:b/>
                <w:bCs/>
                <w:sz w:val="22"/>
                <w:szCs w:val="22"/>
              </w:rPr>
              <w:t xml:space="preserve">6) 기타</w:t>
            </w:r>
          </w:p>
          <w:p>
            <w:pPr>
              <w:spacing w:after="30" w:before="50" w:line="264"/>
              <w:jc w:val="both"/>
            </w:pPr>
            <w:r>
              <w:rPr>
                <w:rFonts w:ascii="맑은 고딕" w:cs="맑은 고딕" w:eastAsia="맑은 고딕" w:hAnsi="맑은 고딕"/>
                <w:b/>
                <w:bCs/>
                <w:sz w:val="22"/>
                <w:szCs w:val="22"/>
              </w:rPr>
              <w:t xml:space="preserve">가. 개념도 — 서비스 흐름</w:t>
            </w:r>
          </w:p>
          <w:p>
            <w:pPr>
              <w:spacing w:after="10" w:before="0" w:line="264"/>
              <w:jc w:val="both"/>
            </w:pPr>
            <w:r>
              <w:rPr>
                <w:rFonts w:ascii="맑은 고딕" w:cs="맑은 고딕" w:eastAsia="맑은 고딕" w:hAnsi="맑은 고딕"/>
                <w:b w:val="false"/>
                <w:bCs w:val="false"/>
                <w:sz w:val="19"/>
                <w:szCs w:val="19"/>
              </w:rPr>
              <w:t xml:space="preserve">[국방망 기존 데이터] 신고 식수 · 출타 집계 · 훈련일정 · 메뉴 · (집계 자동화체계 산출값)</w:t>
            </w:r>
          </w:p>
          <w:p>
            <w:pPr>
              <w:spacing w:after="10" w:before="0" w:line="264"/>
              <w:jc w:val="both"/>
            </w:pPr>
            <w:r>
              <w:rPr>
                <w:rFonts w:ascii="맑은 고딕" w:cs="맑은 고딕" w:eastAsia="맑은 고딕" w:hAnsi="맑은 고딕"/>
                <w:b w:val="false"/>
                <w:bCs w:val="false"/>
                <w:sz w:val="19"/>
                <w:szCs w:val="19"/>
              </w:rPr>
              <w:t xml:space="preserve">        ↓</w:t>
            </w:r>
          </w:p>
          <w:p>
            <w:pPr>
              <w:spacing w:after="10" w:before="0" w:line="264"/>
              <w:jc w:val="both"/>
            </w:pPr>
            <w:r>
              <w:rPr>
                <w:rFonts w:ascii="맑은 고딕" w:cs="맑은 고딕" w:eastAsia="맑은 고딕" w:hAnsi="맑은 고딕"/>
                <w:b w:val="false"/>
                <w:bCs w:val="false"/>
                <w:sz w:val="19"/>
                <w:szCs w:val="19"/>
              </w:rPr>
              <w:t xml:space="preserve">[예측 계층] 편차(신고값 − 실취식) 분위수 학습 → 편차 확률분포 산출</w:t>
            </w:r>
          </w:p>
          <w:p>
            <w:pPr>
              <w:spacing w:after="10" w:before="0" w:line="264"/>
              <w:jc w:val="both"/>
            </w:pPr>
            <w:r>
              <w:rPr>
                <w:rFonts w:ascii="맑은 고딕" w:cs="맑은 고딕" w:eastAsia="맑은 고딕" w:hAnsi="맑은 고딕"/>
                <w:b w:val="false"/>
                <w:bCs w:val="false"/>
                <w:sz w:val="19"/>
                <w:szCs w:val="19"/>
              </w:rPr>
              <w:t xml:space="preserve">        ↓</w:t>
            </w:r>
          </w:p>
          <w:p>
            <w:pPr>
              <w:spacing w:after="10" w:before="0" w:line="264"/>
              <w:jc w:val="both"/>
            </w:pPr>
            <w:r>
              <w:rPr>
                <w:rFonts w:ascii="맑은 고딕" w:cs="맑은 고딕" w:eastAsia="맑은 고딕" w:hAnsi="맑은 고딕"/>
                <w:b w:val="false"/>
                <w:bCs w:val="false"/>
                <w:sz w:val="19"/>
                <w:szCs w:val="19"/>
              </w:rPr>
              <w:t xml:space="preserve">[결정 계층] 지휘관 설정 결식 허용확률 α → 서비스수준 τ = 1 − α → τ분위 권고 취사량 + 함의 Cu/Co 표시</w:t>
            </w:r>
          </w:p>
          <w:p>
            <w:pPr>
              <w:spacing w:after="10" w:before="0" w:line="264"/>
              <w:jc w:val="both"/>
            </w:pPr>
            <w:r>
              <w:rPr>
                <w:rFonts w:ascii="맑은 고딕" w:cs="맑은 고딕" w:eastAsia="맑은 고딕" w:hAnsi="맑은 고딕"/>
                <w:b w:val="false"/>
                <w:bCs w:val="false"/>
                <w:sz w:val="19"/>
                <w:szCs w:val="19"/>
              </w:rPr>
              <w:t xml:space="preserve">        ↓</w:t>
            </w:r>
          </w:p>
          <w:p>
            <w:pPr>
              <w:spacing w:after="10" w:before="0" w:line="264"/>
              <w:jc w:val="both"/>
            </w:pPr>
            <w:r>
              <w:rPr>
                <w:rFonts w:ascii="맑은 고딕" w:cs="맑은 고딕" w:eastAsia="맑은 고딕" w:hAnsi="맑은 고딕"/>
                <w:b w:val="false"/>
                <w:bCs w:val="false"/>
                <w:sz w:val="19"/>
                <w:szCs w:val="19"/>
              </w:rPr>
              <w:t xml:space="preserve">[권고 화면] 권고 취사량 · 불확실성 구간 · 산출 근거 → 담당자 확인 · 수정 · 승인</w:t>
            </w:r>
          </w:p>
          <w:p>
            <w:pPr>
              <w:spacing w:after="10" w:before="0" w:line="264"/>
              <w:jc w:val="both"/>
            </w:pPr>
            <w:r>
              <w:rPr>
                <w:rFonts w:ascii="맑은 고딕" w:cs="맑은 고딕" w:eastAsia="맑은 고딕" w:hAnsi="맑은 고딕"/>
                <w:b w:val="false"/>
                <w:bCs w:val="false"/>
                <w:sz w:val="19"/>
                <w:szCs w:val="19"/>
              </w:rPr>
              <w:t xml:space="preserve">        ↓</w:t>
            </w:r>
          </w:p>
          <w:p>
            <w:pPr>
              <w:spacing w:after="10" w:before="0" w:line="264"/>
              <w:jc w:val="both"/>
            </w:pPr>
            <w:r>
              <w:rPr>
                <w:rFonts w:ascii="맑은 고딕" w:cs="맑은 고딕" w:eastAsia="맑은 고딕" w:hAnsi="맑은 고딕"/>
                <w:b w:val="false"/>
                <w:bCs w:val="false"/>
                <w:sz w:val="19"/>
                <w:szCs w:val="19"/>
              </w:rPr>
              <w:t xml:space="preserve">[실행] 취사 및 식자재 불출 (집계·청구 체계 연동)</w:t>
            </w:r>
          </w:p>
          <w:p>
            <w:pPr>
              <w:spacing w:after="10" w:before="0" w:line="264"/>
              <w:jc w:val="both"/>
            </w:pPr>
            <w:r>
              <w:rPr>
                <w:rFonts w:ascii="맑은 고딕" w:cs="맑은 고딕" w:eastAsia="맑은 고딕" w:hAnsi="맑은 고딕"/>
                <w:b w:val="false"/>
                <w:bCs w:val="false"/>
                <w:sz w:val="19"/>
                <w:szCs w:val="19"/>
              </w:rPr>
              <w:t xml:space="preserve">        ↓</w:t>
            </w:r>
          </w:p>
          <w:p>
            <w:pPr>
              <w:spacing w:after="60" w:before="0" w:line="264"/>
              <w:jc w:val="both"/>
            </w:pPr>
            <w:r>
              <w:rPr>
                <w:rFonts w:ascii="맑은 고딕" w:cs="맑은 고딕" w:eastAsia="맑은 고딕" w:hAnsi="맑은 고딕"/>
                <w:b w:val="false"/>
                <w:bCs w:val="false"/>
                <w:sz w:val="19"/>
                <w:szCs w:val="19"/>
              </w:rPr>
              <w:t xml:space="preserve">[환류] 당일 실적 · 잔반 계측 → 예측오차 기록 → 주간 재학습 → 지휘부 대시보드(결식률 · 서비스수준 달성도 · 잔반 추이)</w:t>
            </w:r>
          </w:p>
          <w:p>
            <w:pPr>
              <w:spacing w:after="30" w:before="50" w:line="264"/>
              <w:jc w:val="both"/>
            </w:pPr>
            <w:r>
              <w:rPr>
                <w:rFonts w:ascii="맑은 고딕" w:cs="맑은 고딕" w:eastAsia="맑은 고딕" w:hAnsi="맑은 고딕"/>
                <w:b/>
                <w:bCs/>
                <w:sz w:val="22"/>
                <w:szCs w:val="22"/>
              </w:rPr>
              <w:t xml:space="preserve">나. 사전 시뮬레이션 검증 계획</w:t>
            </w:r>
          </w:p>
          <w:p>
            <w:pPr>
              <w:spacing w:after="40" w:before="0" w:line="264"/>
              <w:jc w:val="both"/>
            </w:pPr>
            <w:r>
              <w:rPr>
                <w:rFonts w:ascii="맑은 고딕" w:cs="맑은 고딕" w:eastAsia="맑은 고딕" w:hAnsi="맑은 고딕"/>
                <w:b w:val="false"/>
                <w:bCs w:val="false"/>
                <w:sz w:val="22"/>
                <w:szCs w:val="22"/>
              </w:rPr>
              <w:t xml:space="preserve">공개된 구내식당 식수 데이터셋을 사용해 ① 편차 학습이 절대량 학습보다 오차가 작은지, ② 분위 선택 규칙이 설정한 결식 허용확률을 실제로 달성하는지를 사전 검증하고 그 결과를 발표 자료로 제시한다.</w:t>
            </w:r>
          </w:p>
          <w:p>
            <w:pPr>
              <w:spacing w:after="30" w:before="50" w:line="264"/>
              <w:jc w:val="both"/>
            </w:pPr>
            <w:r>
              <w:rPr>
                <w:rFonts w:ascii="맑은 고딕" w:cs="맑은 고딕" w:eastAsia="맑은 고딕" w:hAnsi="맑은 고딕"/>
                <w:b/>
                <w:bCs/>
                <w:sz w:val="22"/>
                <w:szCs w:val="22"/>
              </w:rPr>
              <w:t xml:space="preserve">다. 인용 출처</w:t>
            </w:r>
          </w:p>
          <w:p>
            <w:pPr>
              <w:spacing w:after="10" w:before="0" w:line="264"/>
              <w:ind w:left="220" w:hanging="220"/>
              <w:jc w:val="both"/>
            </w:pPr>
            <w:r>
              <w:rPr>
                <w:rFonts w:ascii="맑은 고딕" w:cs="맑은 고딕" w:eastAsia="맑은 고딕" w:hAnsi="맑은 고딕"/>
                <w:b w:val="false"/>
                <w:bCs w:val="false"/>
                <w:sz w:val="16"/>
                <w:szCs w:val="16"/>
              </w:rPr>
              <w:t xml:space="preserve">1. 전종식·박은주·권오병(2019), 기계학습방법을 활용한 대형 집단급식소의 식수 예측: S시청 구내직원식당의 실데이터를 기반으로, 대한영양사협회 학술지 25(1), 44-58. DOI: 10.14373/JKDA.2019.25.1.44</w:t>
            </w:r>
          </w:p>
          <w:p>
            <w:pPr>
              <w:spacing w:after="10" w:before="0" w:line="264"/>
              <w:ind w:left="220" w:hanging="220"/>
              <w:jc w:val="both"/>
            </w:pPr>
            <w:r>
              <w:rPr>
                <w:rFonts w:ascii="맑은 고딕" w:cs="맑은 고딕" w:eastAsia="맑은 고딕" w:hAnsi="맑은 고딕"/>
                <w:b w:val="false"/>
                <w:bCs w:val="false"/>
                <w:sz w:val="16"/>
                <w:szCs w:val="16"/>
              </w:rPr>
              <w:t xml:space="preserve">2. 정영한·이동규(2024), 공공기관 구내식당 실데이터 기반 식수 예측 기계학습 모델 연구, 한국정보과학회. https://dspace.kci.go.kr/handle/kci/2131084</w:t>
            </w:r>
          </w:p>
          <w:p>
            <w:pPr>
              <w:spacing w:after="10" w:before="0" w:line="264"/>
              <w:ind w:left="220" w:hanging="220"/>
              <w:jc w:val="both"/>
            </w:pPr>
            <w:r>
              <w:rPr>
                <w:rFonts w:ascii="맑은 고딕" w:cs="맑은 고딕" w:eastAsia="맑은 고딕" w:hAnsi="맑은 고딕"/>
                <w:b w:val="false"/>
                <w:bCs w:val="false"/>
                <w:sz w:val="16"/>
                <w:szCs w:val="16"/>
              </w:rPr>
              <w:t xml:space="preserve">3. Arrow, K. J., Harris, T. &amp; Marschak, J.(1951), Optimal Inventory Policy, Econometrica 19(3), 250-272. DOI: 10.2307/1906813 — 재고이론 계보의 원전. 임계분위 공식은 이 논문의 직접 표현이 아니라 후속 연구에서 정식화된 표준 결과임.</w:t>
            </w:r>
          </w:p>
          <w:p>
            <w:pPr>
              <w:spacing w:after="10" w:before="0" w:line="264"/>
              <w:ind w:left="220" w:hanging="220"/>
              <w:jc w:val="both"/>
            </w:pPr>
            <w:r>
              <w:rPr>
                <w:rFonts w:ascii="맑은 고딕" w:cs="맑은 고딕" w:eastAsia="맑은 고딕" w:hAnsi="맑은 고딕"/>
                <w:b w:val="false"/>
                <w:bCs w:val="false"/>
                <w:sz w:val="16"/>
                <w:szCs w:val="16"/>
              </w:rPr>
              <w:t xml:space="preserve">4. Ban, G.-Y. &amp; Rudin, C.(2019), The Big Data Newsvendor: Practical Insights from Machine Learning, Operations Research 67(1), 90-108. DOI: 10.1287/opre.2018.1757</w:t>
            </w:r>
          </w:p>
          <w:p>
            <w:pPr>
              <w:spacing w:after="10" w:before="0" w:line="264"/>
              <w:ind w:left="220" w:hanging="220"/>
              <w:jc w:val="both"/>
            </w:pPr>
            <w:r>
              <w:rPr>
                <w:rFonts w:ascii="맑은 고딕" w:cs="맑은 고딕" w:eastAsia="맑은 고딕" w:hAnsi="맑은 고딕"/>
                <w:b w:val="false"/>
                <w:bCs w:val="false"/>
                <w:sz w:val="16"/>
                <w:szCs w:val="16"/>
              </w:rPr>
              <w:t xml:space="preserve">5. 군 음식물류폐기물 처리비 2018년 103억 원 → 2023년 195억 원: 국정감사 국방부 제출자료 인용 보도. 한국경제(2024.10.3). https://www.hankyung.com/article/2024100330467 — 국방부·국회 공개 원문은 확인하지 못함(근거 미확보).</w:t>
            </w:r>
          </w:p>
          <w:p>
            <w:pPr>
              <w:spacing w:after="10" w:before="0" w:line="264"/>
              <w:ind w:left="220" w:hanging="220"/>
              <w:jc w:val="both"/>
            </w:pPr>
            <w:r>
              <w:rPr>
                <w:rFonts w:ascii="맑은 고딕" w:cs="맑은 고딕" w:eastAsia="맑은 고딕" w:hAnsi="맑은 고딕"/>
                <w:b w:val="false"/>
                <w:bCs w:val="false"/>
                <w:sz w:val="16"/>
                <w:szCs w:val="16"/>
              </w:rPr>
              <w:t xml:space="preserve">6. 장병 1인당 음식물류폐기물 배출량 2017년 125kg → 2021년 195kg, 국민 1인당 대비 약 1.8배: 국정감사 국방부 제출자료 인용 보도. 내외통신. http://www.nwtnews.co.kr/news/articleView.html?idxno=99636 — 원자료 및 국민 1인당 배출량의 환경부 원 통계는 확인하지 못함(근거 미확보).</w:t>
            </w:r>
          </w:p>
          <w:p>
            <w:pPr>
              <w:spacing w:after="10" w:before="0" w:line="264"/>
              <w:ind w:left="220" w:hanging="220"/>
              <w:jc w:val="both"/>
            </w:pPr>
            <w:r>
              <w:rPr>
                <w:rFonts w:ascii="맑은 고딕" w:cs="맑은 고딕" w:eastAsia="맑은 고딕" w:hAnsi="맑은 고딕"/>
                <w:b w:val="false"/>
                <w:bCs w:val="false"/>
                <w:sz w:val="16"/>
                <w:szCs w:val="16"/>
              </w:rPr>
              <w:t xml:space="preserve">7. 2026년 장병 기본급식비 1인 1일 14,000원: 국방부 「2026년 달라지는 국방·병무 제도」, 대한민국 정책브리핑(2025.12.31). https://www.korea.kr/news/policyNewsView.do?newsId=148957373</w:t>
            </w:r>
          </w:p>
          <w:p>
            <w:pPr>
              <w:spacing w:after="10" w:before="0" w:line="264"/>
              <w:ind w:left="220" w:hanging="220"/>
              <w:jc w:val="both"/>
            </w:pPr>
            <w:r>
              <w:rPr>
                <w:rFonts w:ascii="맑은 고딕" w:cs="맑은 고딕" w:eastAsia="맑은 고딕" w:hAnsi="맑은 고딕"/>
                <w:b w:val="false"/>
                <w:bCs w:val="false"/>
                <w:sz w:val="16"/>
                <w:szCs w:val="16"/>
              </w:rPr>
              <w:t xml:space="preserve">8. 2026년 국방예산 급식·피복 항목 2조 6,282억 원: 2026년 국방예산 정부안 보도자료(방위사업청). https://www.dapa.go.kr/dapa/na/ntt/selectNttInfo.do?menuId=678&amp;bbsId=326&amp;nttSn=56211 — 세부 항목 금액은 보도 인용 기준이며 확정예산 대비 재확인 필요(일부 근거 미확보).</w:t>
            </w:r>
          </w:p>
          <w:p>
            <w:pPr>
              <w:spacing w:after="10" w:before="0" w:line="264"/>
              <w:ind w:left="220" w:hanging="220"/>
              <w:jc w:val="both"/>
            </w:pPr>
            <w:r>
              <w:rPr>
                <w:rFonts w:ascii="맑은 고딕" w:cs="맑은 고딕" w:eastAsia="맑은 고딕" w:hAnsi="맑은 고딕"/>
                <w:b w:val="false"/>
                <w:bCs w:val="false"/>
                <w:sz w:val="16"/>
                <w:szCs w:val="16"/>
              </w:rPr>
              <w:t xml:space="preserve">9. 군 일부 제대의 급식 인원 집계·청구 자동화체계 도입 보도: 한국일보(2026.6.14). https://www.hankookilbo.com/news/article/A2026061412380005044 — 언론보도 기준이며 군 공식 검증자료가 아님(불확실). 부대 식별정보는 본 제안서에서 생략함.</w:t>
            </w:r>
          </w:p>
        </w:tc>
      </w:tr>
    </w:tbl>
    <w:p>
      <w:pPr>
        <w:spacing w:after="60"/>
      </w:pPr>
      <w:r>
        <w:rPr>
          <w:rFonts w:ascii="맑은 고딕" w:cs="맑은 고딕" w:eastAsia="맑은 고딕" w:hAnsi="맑은 고딕"/>
          <w:b w:val="false"/>
          <w:bCs w:val="false"/>
          <w:sz w:val="22"/>
          <w:szCs w:val="22"/>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Mar>
              <w:top w:type="dxa" w:w="60"/>
              <w:left w:type="dxa" w:w="100"/>
              <w:bottom w:type="dxa" w:w="60"/>
              <w:right w:type="dxa" w:w="100"/>
            </w:tcMar>
            <w:vAlign w:val="top"/>
          </w:tcPr>
          <w:p>
            <w:pPr>
              <w:spacing w:after="30" w:before="0" w:line="264"/>
              <w:jc w:val="both"/>
            </w:pPr>
            <w:r>
              <w:rPr>
                <w:rFonts w:ascii="맑은 고딕" w:cs="맑은 고딕" w:eastAsia="맑은 고딕" w:hAnsi="맑은 고딕"/>
                <w:b/>
                <w:bCs/>
                <w:sz w:val="18"/>
                <w:szCs w:val="18"/>
              </w:rPr>
              <w:t xml:space="preserve">[ 작성 시 유의사항 ]</w:t>
            </w:r>
          </w:p>
          <w:p>
            <w:pPr>
              <w:spacing w:after="10" w:before="0" w:line="264"/>
              <w:jc w:val="both"/>
            </w:pPr>
            <w:r>
              <w:rPr>
                <w:rFonts w:ascii="맑은 고딕" w:cs="맑은 고딕" w:eastAsia="맑은 고딕" w:hAnsi="맑은 고딕"/>
                <w:b w:val="false"/>
                <w:bCs w:val="false"/>
                <w:sz w:val="18"/>
                <w:szCs w:val="18"/>
              </w:rPr>
              <w:t xml:space="preserve">- 분량 : 자유 (가급적 A4 5매 이내)</w:t>
            </w:r>
          </w:p>
          <w:p>
            <w:pPr>
              <w:spacing w:after="10" w:before="0" w:line="264"/>
              <w:jc w:val="both"/>
            </w:pPr>
            <w:r>
              <w:rPr>
                <w:rFonts w:ascii="맑은 고딕" w:cs="맑은 고딕" w:eastAsia="맑은 고딕" w:hAnsi="맑은 고딕"/>
                <w:b w:val="false"/>
                <w:bCs w:val="false"/>
                <w:sz w:val="18"/>
                <w:szCs w:val="18"/>
              </w:rPr>
              <w:t xml:space="preserve">- 서식 : 맑은고딕 11pt 준수</w:t>
            </w:r>
          </w:p>
          <w:p>
            <w:pPr>
              <w:spacing w:after="10" w:before="0" w:line="264"/>
              <w:jc w:val="both"/>
            </w:pPr>
            <w:r>
              <w:rPr>
                <w:rFonts w:ascii="맑은 고딕" w:cs="맑은 고딕" w:eastAsia="맑은 고딕" w:hAnsi="맑은 고딕"/>
                <w:b w:val="false"/>
                <w:bCs w:val="false"/>
                <w:sz w:val="18"/>
                <w:szCs w:val="18"/>
              </w:rPr>
              <w:t xml:space="preserve">- 출처 : 인용 자료(논문, 기사, 사진, 표 등) 사용 시 반드시 하단에 출처 기재</w:t>
            </w:r>
          </w:p>
          <w:p>
            <w:pPr>
              <w:spacing w:after="40" w:before="0" w:line="264"/>
              <w:jc w:val="both"/>
            </w:pPr>
            <w:r>
              <w:rPr>
                <w:rFonts w:ascii="맑은 고딕" w:cs="맑은 고딕" w:eastAsia="맑은 고딕" w:hAnsi="맑은 고딕"/>
                <w:b w:val="false"/>
                <w:bCs w:val="false"/>
                <w:sz w:val="18"/>
                <w:szCs w:val="18"/>
              </w:rPr>
              <w:t xml:space="preserve">- 제출 : 작성 완료 후 PDF 파일로 변환하여 제출</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2026-07-25T07:39:25.107Z</dcterms:created>
  <dcterms:modified xsi:type="dcterms:W3CDTF">2026-07-25T07:39:25.107Z</dcterms:modified>
</cp:coreProperties>
</file>

<file path=docProps/custom.xml><?xml version="1.0" encoding="utf-8"?>
<Properties xmlns="http://schemas.openxmlformats.org/officeDocument/2006/custom-properties" xmlns:vt="http://schemas.openxmlformats.org/officeDocument/2006/docPropsVTypes"/>
</file>