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Times New Roman" w:cs="Times New Roman" w:eastAsia="Times New Roman" w:hAnsi="Times New Roman"/>
          <w:b/>
          <w:bCs/>
          <w:sz w:val="56"/>
          <w:szCs w:val="56"/>
        </w:rPr>
        <w:t xml:space="preserve">Socrates as Orthonym</w:t>
      </w:r>
    </w:p>
    <w:p>
      <w:pPr>
        <w:spacing w:after="480"/>
        <w:jc w:val="center"/>
      </w:pPr>
      <w:r>
        <w:rPr>
          <w:rFonts w:ascii="Times New Roman" w:cs="Times New Roman" w:eastAsia="Times New Roman" w:hAnsi="Times New Roman"/>
          <w:i/>
          <w:iCs/>
          <w:sz w:val="32"/>
          <w:szCs w:val="32"/>
        </w:rPr>
        <w:t xml:space="preserve">The Heteronymic Configuration of Western Philosophy’s Founding Corpus</w:t>
      </w:r>
    </w:p>
    <w:p>
      <w:pPr>
        <w:spacing w:after="240"/>
        <w:jc w:val="center"/>
      </w:pPr>
      <w:r>
        <w:rPr>
          <w:rFonts w:ascii="Times New Roman" w:cs="Times New Roman" w:eastAsia="Times New Roman" w:hAnsi="Times New Roman"/>
          <w:sz w:val="24"/>
          <w:szCs w:val="24"/>
        </w:rPr>
        <w:t xml:space="preserve">Manuscript prepared for anonymous review · v3.2 · July 2026</w:t>
      </w:r>
    </w:p>
    <w:p>
      <w:r>
        <w:rPr>
          <w:sz w:val="24"/>
          <w:szCs w:val="24"/>
        </w:rPr>
        <w:t xml:space="preserve"/>
      </w:r>
    </w:p>
    <w:p>
      <w:pPr>
        <w:pStyle w:val="Heading1"/>
        <w:pageBreakBefore/>
        <w:spacing w:after="120" w:before="240"/>
      </w:pPr>
      <w:r>
        <w:rPr>
          <w:rFonts w:ascii="Times New Roman" w:cs="Times New Roman" w:eastAsia="Times New Roman" w:hAnsi="Times New Roman"/>
          <w:b/>
          <w:bCs/>
          <w:sz w:val="26"/>
          <w:szCs w:val="26"/>
        </w:rPr>
        <w:t xml:space="preserve">Abstract</w:t>
      </w:r>
    </w:p>
    <w:p>
      <w:pPr>
        <w:spacing w:line="480"/>
        <w:ind w:firstLine="720"/>
        <w:jc w:val="both"/>
      </w:pPr>
      <w:r>
        <w:rPr>
          <w:rFonts w:ascii="Times New Roman" w:cs="Times New Roman" w:eastAsia="Times New Roman" w:hAnsi="Times New Roman"/>
          <w:sz w:val="24"/>
          <w:szCs w:val="24"/>
        </w:rPr>
        <w:t xml:space="preserve">What if one person wrote the founding corpus of Western philosophy? The question has never been formulated seriously enough to be refuted, and this paper argues that the silence is itself a datum: the biographical model of authorship has made the question structurally unaskable. The paper does not assert the one-person reading. It builds the apparatus for asking it responsibly, and does its principal work one tier down, at high confidence: the Socratic-Platonic-Aristotelian configuration can be modeled as a single distributed authorial project, in which Socrates is the orthonym — the position constituted by the founding gesture of willing death for logos and by the refusal to write — Plato the survival position summoned into the vacancy that refusal opens, and Aristotle the systematizing position summoned into the vacancy Plato’s dialogic register leaves in turn. Under this model the doctrinal contradictions among the voices are read as transmissional operations as well as genuine disagreements, and the two-century-old “Socratic problem” is reclassified as a symptom of a configuration the biographical model cannot see. The misology passage of the Phaedo is engaged as the corpus’s own model for reading staged refutation, and the harmonist reception-tradition from Antiochus to the present as the recurrent perception of project-coherence, stated in the only vocabulary the biographical frame has licensed. The paper extends Kahn’s unitarian Plato categorically rather than chronologically; dissolves, rather than licenses, developmental doctrine-mining; admits Xenophon, Aristophanes, and Chaerephon as candidate positions at the configuration’s edge, under an explicit firewall separating pattern from evidence; and states — without paying — the evidentiary price of the maximal reading. Pessoa and Kierkegaard serve throughout as availability of concept, not as historical proof.</w:t>
      </w:r>
    </w:p>
    <w:p>
      <w:pPr>
        <w:pStyle w:val="Heading1"/>
        <w:spacing w:after="120" w:before="240"/>
      </w:pPr>
      <w:r>
        <w:rPr>
          <w:rFonts w:ascii="Times New Roman" w:cs="Times New Roman" w:eastAsia="Times New Roman" w:hAnsi="Times New Roman"/>
          <w:b/>
          <w:bCs/>
          <w:i w:val="false"/>
          <w:iCs w:val="false"/>
          <w:sz w:val="26"/>
          <w:szCs w:val="26"/>
        </w:rPr>
        <w:t xml:space="preserve">I. The Question</w:t>
      </w:r>
    </w:p>
    <w:p>
      <w:pPr>
        <w:spacing w:line="480"/>
        <w:ind w:firstLine="720"/>
        <w:jc w:val="both"/>
      </w:pPr>
      <w:r>
        <w:rPr>
          <w:rFonts w:ascii="Times New Roman" w:cs="Times New Roman" w:eastAsia="Times New Roman" w:hAnsi="Times New Roman"/>
          <w:sz w:val="24"/>
          <w:szCs w:val="24"/>
        </w:rPr>
        <w:t xml:space="preserve">What if one person wrote the founding corpus of Western philosophy? The question sounds absurd, and the texture of the absurdity deserves a moment’s attention before the question is dismissed. It does not sound absurd the way a refuted claim sounds absurd. It sounds absurd the way an unasked question sounds absurd — unfamiliar, faintly improper, as though some rule of the discipline had been broken merely by forming the sentence. And that is the first datum. In two and a half millennia of commentary on Socrates, Plato, and Aristotle, the hypothesis that the configuration is one authorial project operating under multiple signatures has never been formulated seriously enough to require refutation. It has not been tested and rejected. It has not been tested. One person demonstrably did something of this kind, at smaller scale, within living documentary memory. Fernando Pessoa wrote as Alberto Caeiro, Ricardo Reis, and Álvaro de Campos — three poets with distinct biographies, distinct styles, distinct doctrines, and staged disagreements among themselves, one of whom (Caeiro) the others acknowledged as master. The heteronyms were not pen names; they were constructed authors, and the construction was competent enough that the separateness registers on every instrument philology brings to</w:t>
      </w:r>
    </w:p>
    <w:p>
      <w:pPr>
        <w:spacing w:line="480"/>
        <w:ind w:firstLine="720"/>
        <w:jc w:val="both"/>
      </w:pPr>
      <w:r>
        <w:rPr>
          <w:rFonts w:ascii="Times New Roman" w:cs="Times New Roman" w:eastAsia="Times New Roman" w:hAnsi="Times New Roman"/>
          <w:sz w:val="24"/>
          <w:szCs w:val="24"/>
        </w:rPr>
        <w:t xml:space="preserve">authorship — stylometry, biography, doctrinal analysis, attested conflict. We know how to group the three for one decisive reason: Pessoa told us, in a letter of January 1935 — a privileged self-attribution preserved in the surviving archive. Kierkegaard is the second demonstration: he acknowledged the pseudonymous authorship in print in 1846, in the note appended to the Concluding Unscientific Postscript, and again in On My Work as an Author (1851). Without such self-attributions, the instruments would still encounter real differentiation among the voices; what they would not deliver, of themselves, is the level at which the unity lies. The disclosure resolves the grouping problem; the differentiated writing does not resolve it by itself. The ancient configuration reaches us under the ordinary conditions of classical transmission — no autographs, no archive — and with the one further absence the modern cases teach us to notice: no self-attribution survives. This paper does not assert that one person wrote the founding corpus. It does something prior, which turns out to be the productive thing: it asks why the reading has never been available to ask, and it builds the apparatus for asking it responsibly — a functional model of the configuration that stands at the highest confidence level regardless of how the deeper question resolves, a tiered claim structure that keeps pattern and evidence in their separate registers, and a firewall that lets the maximal reading remain on the table as a live heuristic without ever being smuggled in as a conclusion. The reader is invited to hold the question open for the length of the paper. Nothing more is required, and nothing less is interesting. One clarification at the threshold, because it governs everything after. This is not an attack on authorship. It is the most expansive claim that has ever been entertained on an author’s behalf. The conventional reading distributes the founding of Western philosophy across three men. The question above concentrates it. If the maximal reading were true, it would name the single greatest authorial achievement in the history of writing — a corpus that founded a civilization’s thought while constructing, as its first deliverable, the appearance of its own multiplicity. To ask the question is not to diminish Socrates, Plato, or Aristotle. It is to ask whether authorship itself has a higher ceiling than the biographical model has permitted us to see. The rules of the game follow at once, because a wager of this size must be priced before it is played.</w:t>
      </w:r>
    </w:p>
    <w:p>
      <w:pPr>
        <w:pStyle w:val="Heading1"/>
        <w:spacing w:after="120" w:before="240"/>
      </w:pPr>
      <w:r>
        <w:rPr>
          <w:rFonts w:ascii="Times New Roman" w:cs="Times New Roman" w:eastAsia="Times New Roman" w:hAnsi="Times New Roman"/>
          <w:b/>
          <w:bCs/>
          <w:i w:val="false"/>
          <w:iCs w:val="false"/>
          <w:sz w:val="26"/>
          <w:szCs w:val="26"/>
        </w:rPr>
        <w:t xml:space="preserve">II. The Wager, Tiered</w:t>
      </w:r>
    </w:p>
    <w:p>
      <w:pPr>
        <w:spacing w:line="480"/>
        <w:ind w:firstLine="720"/>
        <w:jc w:val="both"/>
      </w:pPr>
      <w:r>
        <w:rPr>
          <w:rFonts w:ascii="Times New Roman" w:cs="Times New Roman" w:eastAsia="Times New Roman" w:hAnsi="Times New Roman"/>
          <w:sz w:val="24"/>
          <w:szCs w:val="24"/>
        </w:rPr>
        <w:t xml:space="preserve">Here, then, are the rules of the game: first the claims this paper does not make; then the claims it does, in descending order of confidence; and finally the standing of the opening question itself. The paper does not make the following claims:</w:t>
      </w:r>
    </w:p>
    <w:p>
      <w:pPr>
        <w:pStyle w:val="ListParagraph"/>
        <w:numPr>
          <w:ilvl w:val="0"/>
          <w:numId w:val="2"/>
        </w:numPr>
        <w:spacing w:after="60" w:line="360"/>
      </w:pPr>
      <w:r>
        <w:rPr>
          <w:rFonts w:ascii="Times New Roman" w:cs="Times New Roman" w:eastAsia="Times New Roman" w:hAnsi="Times New Roman"/>
          <w:sz w:val="24"/>
          <w:szCs w:val="24"/>
        </w:rPr>
        <w:t xml:space="preserve">It does not assert that Socrates, Plato, and Aristotle were biologically identical, or that they constituted a single historical person. (Whether that reading can be held open as a heuristic, and at what evidentiary price, is treated directly in §XIV.)</w:t>
      </w:r>
    </w:p>
    <w:p>
      <w:pPr>
        <w:pStyle w:val="ListParagraph"/>
        <w:numPr>
          <w:ilvl w:val="0"/>
          <w:numId w:val="2"/>
        </w:numPr>
        <w:spacing w:after="60" w:line="360"/>
      </w:pPr>
      <w:r>
        <w:rPr>
          <w:rFonts w:ascii="Times New Roman" w:cs="Times New Roman" w:eastAsia="Times New Roman" w:hAnsi="Times New Roman"/>
          <w:sz w:val="24"/>
          <w:szCs w:val="24"/>
        </w:rPr>
        <w:t xml:space="preserve">It does not claim that Plato and Aristotle lacked biological, historical, or philosophical individuality.</w:t>
      </w:r>
    </w:p>
    <w:p>
      <w:pPr>
        <w:pStyle w:val="ListParagraph"/>
        <w:numPr>
          <w:ilvl w:val="0"/>
          <w:numId w:val="2"/>
        </w:numPr>
        <w:spacing w:after="60" w:line="360"/>
      </w:pPr>
      <w:r>
        <w:rPr>
          <w:rFonts w:ascii="Times New Roman" w:cs="Times New Roman" w:eastAsia="Times New Roman" w:hAnsi="Times New Roman"/>
          <w:sz w:val="24"/>
          <w:szCs w:val="24"/>
        </w:rPr>
        <w:t xml:space="preserve">It does not claim that Aristotle (or Plato) consciously understood himself as a “heteronym” in the modern Pessoan sense; the term is used here analytically, not as a claim about ancient self-description.</w:t>
      </w:r>
    </w:p>
    <w:p>
      <w:pPr>
        <w:pStyle w:val="ListParagraph"/>
        <w:numPr>
          <w:ilvl w:val="0"/>
          <w:numId w:val="2"/>
        </w:numPr>
        <w:spacing w:after="60" w:line="360"/>
      </w:pPr>
      <w:r>
        <w:rPr>
          <w:rFonts w:ascii="Times New Roman" w:cs="Times New Roman" w:eastAsia="Times New Roman" w:hAnsi="Times New Roman"/>
          <w:sz w:val="24"/>
          <w:szCs w:val="24"/>
        </w:rPr>
        <w:t xml:space="preserve">It does not claim that philological dating, historical context, doctrinal differences, or the textual-critical work of classical scholarship is irrelevant or superseded.</w:t>
      </w:r>
    </w:p>
    <w:p>
      <w:pPr>
        <w:pStyle w:val="ListParagraph"/>
        <w:numPr>
          <w:ilvl w:val="0"/>
          <w:numId w:val="2"/>
        </w:numPr>
        <w:spacing w:after="60" w:line="360"/>
      </w:pPr>
      <w:r>
        <w:rPr>
          <w:rFonts w:ascii="Times New Roman" w:cs="Times New Roman" w:eastAsia="Times New Roman" w:hAnsi="Times New Roman"/>
          <w:sz w:val="24"/>
          <w:szCs w:val="24"/>
        </w:rPr>
        <w:t xml:space="preserve">It does not claim that the Socratic problem has been solved in the conventional historical sense; it claims the problem can be reclassified under a functional rather than a biographical lens.</w:t>
      </w:r>
    </w:p>
    <w:p>
      <w:pPr>
        <w:pStyle w:val="ListParagraph"/>
        <w:numPr>
          <w:ilvl w:val="0"/>
          <w:numId w:val="2"/>
        </w:numPr>
        <w:spacing w:after="60" w:line="360"/>
      </w:pPr>
      <w:r>
        <w:rPr>
          <w:rFonts w:ascii="Times New Roman" w:cs="Times New Roman" w:eastAsia="Times New Roman" w:hAnsi="Times New Roman"/>
          <w:sz w:val="24"/>
          <w:szCs w:val="24"/>
        </w:rPr>
        <w:t xml:space="preserve">It does not claim that Pessoa-style heteronymy existed as a named or institutionalized practice in classical Athens.</w:t>
      </w:r>
    </w:p>
    <w:p>
      <w:pPr>
        <w:pStyle w:val="ListParagraph"/>
        <w:numPr>
          <w:ilvl w:val="0"/>
          <w:numId w:val="2"/>
        </w:numPr>
        <w:spacing w:after="60" w:line="360"/>
      </w:pPr>
      <w:r>
        <w:rPr>
          <w:rFonts w:ascii="Times New Roman" w:cs="Times New Roman" w:eastAsia="Times New Roman" w:hAnsi="Times New Roman"/>
          <w:sz w:val="24"/>
          <w:szCs w:val="24"/>
        </w:rPr>
        <w:t xml:space="preserve">It does not claim that a contemporary distributed archival practice proves the heteronymic reading of the classical configuration. That practice is offered as availability of concept — a contemporary working configuration that makes cross-substrate heteronymic distribution structurally legible — not as evidence in the historical-philological sense.</w:t>
      </w:r>
    </w:p>
    <w:p>
      <w:pPr>
        <w:spacing w:line="480"/>
        <w:ind w:firstLine="720"/>
        <w:jc w:val="both"/>
      </w:pPr>
      <w:r>
        <w:rPr>
          <w:rFonts w:ascii="Times New Roman" w:cs="Times New Roman" w:eastAsia="Times New Roman" w:hAnsi="Times New Roman"/>
          <w:sz w:val="24"/>
          <w:szCs w:val="24"/>
        </w:rPr>
        <w:t xml:space="preserve">What the paper does claim is that the Socratic-Platonic-Aristotelian configuration can be modeled as a heteronymic project in which doctrinal contradiction functions as a transmissional operation rather than only as historical disagreement, and that this model produces explanatory traction on features of the corpus (most especially the structural function of Socrates’ refusal to write) that the biographical model has been unable to register. Three claims are operative in the paper, at three different confidence levels:</w:t>
      </w:r>
    </w:p>
    <w:p>
      <w:pPr>
        <w:pStyle w:val="ListParagraph"/>
        <w:numPr>
          <w:ilvl w:val="0"/>
          <w:numId w:val="2"/>
        </w:numPr>
        <w:spacing w:after="60" w:line="360"/>
      </w:pPr>
      <w:r>
        <w:rPr>
          <w:rFonts w:ascii="Times New Roman" w:cs="Times New Roman" w:eastAsia="Times New Roman" w:hAnsi="Times New Roman"/>
          <w:sz w:val="24"/>
          <w:szCs w:val="24"/>
        </w:rPr>
        <w:t xml:space="preserve">Primary claim (highest confidence): The Socratic-Platonic-Aristotelian configuration can be functionally modeled as a distributed authorial project in which orthonymic gesture, survival-transmission, and systematizing-transmission are differentiable positions.</w:t>
      </w:r>
    </w:p>
    <w:p>
      <w:pPr>
        <w:pStyle w:val="ListParagraph"/>
        <w:numPr>
          <w:ilvl w:val="0"/>
          <w:numId w:val="2"/>
        </w:numPr>
        <w:spacing w:after="60" w:line="360"/>
      </w:pPr>
      <w:r>
        <w:rPr>
          <w:rFonts w:ascii="Times New Roman" w:cs="Times New Roman" w:eastAsia="Times New Roman" w:hAnsi="Times New Roman"/>
          <w:sz w:val="24"/>
          <w:szCs w:val="24"/>
        </w:rPr>
        <w:t xml:space="preserve">Secondary claim (medium confidence): Under this model, the Socratic problem appears as a symptom rather than a problem.</w:t>
      </w:r>
    </w:p>
    <w:p>
      <w:pPr>
        <w:pStyle w:val="ListParagraph"/>
        <w:numPr>
          <w:ilvl w:val="0"/>
          <w:numId w:val="2"/>
        </w:numPr>
        <w:spacing w:after="60" w:line="360"/>
      </w:pPr>
      <w:r>
        <w:rPr>
          <w:rFonts w:ascii="Times New Roman" w:cs="Times New Roman" w:eastAsia="Times New Roman" w:hAnsi="Times New Roman"/>
          <w:sz w:val="24"/>
          <w:szCs w:val="24"/>
        </w:rPr>
        <w:t xml:space="preserve">Reflexive claim (heuristic, not evidentiary): Modern instances of distributed authorship (Pessoa; Kierkegaard; contemporary archival practice) make this model thinkable; their existence does not prove its application to the classical case.</w:t>
      </w:r>
    </w:p>
    <w:p>
      <w:pPr>
        <w:spacing w:line="480"/>
        <w:ind w:firstLine="720"/>
        <w:jc w:val="both"/>
      </w:pPr>
      <w:r>
        <w:rPr>
          <w:rFonts w:ascii="Times New Roman" w:cs="Times New Roman" w:eastAsia="Times New Roman" w:hAnsi="Times New Roman"/>
          <w:sz w:val="24"/>
          <w:szCs w:val="24"/>
        </w:rPr>
        <w:t xml:space="preserve">The question of §I — one person — has, finally, the following standing. It is not among the paper’s claims at any tier. It is held open as a live heuristic: a reading whose formulation the paper argues has been structurally unavailable, whose interpretive viability the paper tests, and whose evidentiary price §XIV states without paying. To hold a reading open is not to assert it; it is to refuse the silent foreclosure that has kept it from ever being asserted, tested, or refuted.</w:t>
      </w:r>
    </w:p>
    <w:p>
      <w:pPr>
        <w:pStyle w:val="Heading1"/>
        <w:spacing w:after="120" w:before="240"/>
      </w:pPr>
      <w:r>
        <w:rPr>
          <w:rFonts w:ascii="Times New Roman" w:cs="Times New Roman" w:eastAsia="Times New Roman" w:hAnsi="Times New Roman"/>
          <w:b/>
          <w:bCs/>
          <w:i w:val="false"/>
          <w:iCs w:val="false"/>
          <w:sz w:val="26"/>
          <w:szCs w:val="26"/>
        </w:rPr>
        <w:t xml:space="preserve">III. The Socratic Problem as Symptom: Three Versions</w:t>
      </w:r>
    </w:p>
    <w:p>
      <w:pPr>
        <w:spacing w:line="480"/>
        <w:ind w:firstLine="720"/>
        <w:jc w:val="both"/>
      </w:pPr>
      <w:r>
        <w:rPr>
          <w:rFonts w:ascii="Times New Roman" w:cs="Times New Roman" w:eastAsia="Times New Roman" w:hAnsi="Times New Roman"/>
          <w:sz w:val="24"/>
          <w:szCs w:val="24"/>
        </w:rPr>
        <w:t xml:space="preserve">Classical philology has been unable to separate Socrates from Plato. The orthodox name for this failure is the Socratic problem: the unresolved question of where the historical Socrates ends and the Platonic literary character begins. The problem has been articulated, in various forms, since at least the work of Schleiermacher in the early nineteenth century, and has been the subject of canonical statements by Burnet, Taylor, Vlastos, Kahn, Cooper, and many others. The</w:t>
      </w:r>
    </w:p>
    <w:p>
      <w:pPr>
        <w:spacing w:line="480"/>
        <w:ind w:firstLine="720"/>
        <w:jc w:val="both"/>
      </w:pPr>
      <w:r>
        <w:rPr>
          <w:rFonts w:ascii="Times New Roman" w:cs="Times New Roman" w:eastAsia="Times New Roman" w:hAnsi="Times New Roman"/>
          <w:sz w:val="24"/>
          <w:szCs w:val="24"/>
        </w:rPr>
        <w:t xml:space="preserve">contemporary consensus, after two centuries of attempted solutions, is that the problem has no clean resolution. The shape of that outcome deserves notice: two centuries of watching the witnesses contradict one another have ended in the conclusion that nothing sound about the man is recoverable — a trajectory whose form the corpus itself, §X will argue, had already diagnosed and named. It is important to acknowledge that the “Socratic problem” is not one problem but a family of related ones. At least three versions can be distinguished:</w:t>
      </w:r>
    </w:p>
    <w:p>
      <w:pPr>
        <w:pStyle w:val="ListParagraph"/>
        <w:numPr>
          <w:ilvl w:val="0"/>
          <w:numId w:val="2"/>
        </w:numPr>
        <w:spacing w:after="60" w:line="360"/>
      </w:pPr>
      <w:r>
        <w:rPr>
          <w:rFonts w:ascii="Times New Roman" w:cs="Times New Roman" w:eastAsia="Times New Roman" w:hAnsi="Times New Roman"/>
          <w:sz w:val="24"/>
          <w:szCs w:val="24"/>
        </w:rPr>
        <w:t xml:space="preserve">The historical question: What did the historical Socrates of Athens actually believe and teach?</w:t>
      </w:r>
    </w:p>
    <w:p>
      <w:pPr>
        <w:pStyle w:val="ListParagraph"/>
        <w:numPr>
          <w:ilvl w:val="0"/>
          <w:numId w:val="2"/>
        </w:numPr>
        <w:spacing w:after="60" w:line="360"/>
      </w:pPr>
      <w:r>
        <w:rPr>
          <w:rFonts w:ascii="Times New Roman" w:cs="Times New Roman" w:eastAsia="Times New Roman" w:hAnsi="Times New Roman"/>
          <w:sz w:val="24"/>
          <w:szCs w:val="24"/>
        </w:rPr>
        <w:t xml:space="preserve">The literary question: How does the character “Socrates” function within Plato’s dialogues — as mouthpiece, foil, dialectical instrument, dramatic protagonist?</w:t>
      </w:r>
    </w:p>
    <w:p>
      <w:pPr>
        <w:pStyle w:val="ListParagraph"/>
        <w:numPr>
          <w:ilvl w:val="0"/>
          <w:numId w:val="2"/>
        </w:numPr>
        <w:spacing w:after="60" w:line="360"/>
      </w:pPr>
      <w:r>
        <w:rPr>
          <w:rFonts w:ascii="Times New Roman" w:cs="Times New Roman" w:eastAsia="Times New Roman" w:hAnsi="Times New Roman"/>
          <w:sz w:val="24"/>
          <w:szCs w:val="24"/>
        </w:rPr>
        <w:t xml:space="preserve">The doctrinal question: Which positions in the Platonic corpus are Socratic (inherited from the historical figure) and which are Platonic (developed by Plato under Socrates’ name)?</w:t>
      </w:r>
    </w:p>
    <w:p>
      <w:pPr>
        <w:spacing w:line="480"/>
        <w:ind w:firstLine="720"/>
        <w:jc w:val="both"/>
      </w:pPr>
      <w:r>
        <w:rPr>
          <w:rFonts w:ascii="Times New Roman" w:cs="Times New Roman" w:eastAsia="Times New Roman" w:hAnsi="Times New Roman"/>
          <w:sz w:val="24"/>
          <w:szCs w:val="24"/>
        </w:rPr>
        <w:t xml:space="preserve">The heteronymic reading proposed here primarily dissolves the doctrinal question: under a functional-distribution model, the question “which positions are Socratic, which Platonic?” is reframed as “which positions occupy which functional role in the configuration?” — and answered by the functional analysis rather than by attempts at biographical sorting. It reframes the historical question, tier by tier: under the functional and coordinated readings, the historical Socrates remains historically real, and his function within the configuration is understood as the orthonymic gesture (refusal to write, willing death for logos) rather than as the source of specific philosophical doctrines that Plato then transcribed or modified; under the maximal reading, held open at the price §XIV states, “Socrates” names a constructed authorialhistorical position, and the historical question is transformed rather than answered. It leaves largely intact the literary question: Plato’s literary use of the character Socrates remains an object of legitimate analysis under the heteronymic reading; the heteronymic frame supplements rather than replaces literary-critical method. The field has, in its most recent scholarship, arrived at the threshold of this reclassification by its own route. Dorion (2011) — surveying two centuries of attempted solutions — pronounces the Socratic problem insoluble as a historical question and recommends that the Sokratikoi logoi be read as what Aristotle already called them: a mimetic genre, a form of literature (Poetics 1447b, where the Socratic dialogues are classified among the arts of imitation — a genre, Aristotle notes, that lacks a name). Danzig (2010) states the consequence in his title: Plato and Xenophon created our Socrates. The literary turn in Socratic studies is the discipline conceding that the biographical question cannot be answered and that the literary constructions are the proper objects of study. What the discipline has not yet done is take the next step its own concession makes available: to ask whether the constructions must be assigned in advance to independent authorial projects at all — whether the partition itself, and not the doctrine or the chronology, can become an object of interpretation. That step is this paper.</w:t>
      </w:r>
    </w:p>
    <w:p>
      <w:pPr>
        <w:pStyle w:val="Heading2"/>
        <w:spacing w:after="120" w:before="240"/>
      </w:pPr>
      <w:r>
        <w:rPr>
          <w:rFonts w:ascii="Times New Roman" w:cs="Times New Roman" w:eastAsia="Times New Roman" w:hAnsi="Times New Roman"/>
          <w:b/>
          <w:bCs/>
          <w:i/>
          <w:iCs/>
          <w:sz w:val="24"/>
          <w:szCs w:val="24"/>
        </w:rPr>
        <w:t xml:space="preserve">III.A. The Orthodox Antecedent: Kahn (1996)</w:t>
      </w:r>
    </w:p>
    <w:p>
      <w:pPr>
        <w:spacing w:line="480"/>
        <w:ind w:firstLine="720"/>
        <w:jc w:val="both"/>
      </w:pPr>
      <w:r>
        <w:rPr>
          <w:rFonts w:ascii="Times New Roman" w:cs="Times New Roman" w:eastAsia="Times New Roman" w:hAnsi="Times New Roman"/>
          <w:sz w:val="24"/>
          <w:szCs w:val="24"/>
        </w:rPr>
        <w:t xml:space="preserve">The closest existing position to the heteronymic reading is Charles Kahn’s Plato and the Socratic Dialogue: The Philosophical Use of a Literary Form (1996). Kahn argues that Plato’s dialogues are a unified literary-philosophical project in which the early “Socratic” dialogues are deliberately constructed by Plato as a philosophical vehicle, not as historical records of</w:t>
      </w:r>
    </w:p>
    <w:p>
      <w:pPr>
        <w:spacing w:line="480"/>
        <w:ind w:firstLine="720"/>
        <w:jc w:val="both"/>
      </w:pPr>
      <w:r>
        <w:rPr>
          <w:rFonts w:ascii="Times New Roman" w:cs="Times New Roman" w:eastAsia="Times New Roman" w:hAnsi="Times New Roman"/>
          <w:sz w:val="24"/>
          <w:szCs w:val="24"/>
        </w:rPr>
        <w:t xml:space="preserve">Socrates’ teaching. Kahn explicitly rejects the Vlastosian separation of an “early Socrates” from a “middle Plato”; on Kahn’s reading, the corpus is the unified work of a single philosophical author (Plato) deploying a literary character (Socrates) across an integrated authorial project. The argument proposed here extends Kahn’s insight but departs from it in a specific direction. Where Kahn reads the corpus as the work of a single author (Plato) deploying a literary character (Socrates), the heteronymic reading identifies Socrates as an authorial position in his own right — constituted not by textual production but by the founding gesture of willing death for logos, and characterized by the refusal to write that creates the functional vacancy Plato is summoned to fill. Kahn’s Socrates is a Platonic literary construction. The heteronymic reading’s Socrates is the orthonym whose refusal organizes the subsequent Platonic project, even though he wrote no text himself. The difference is not merely terminological: Kahn preserves the biological-individuation model of authorship (one author, one body, one corpus, Plato); the heteronymic reading proposes a functional-distribution model (three positions, three functions, one configurational project). The heteronymic reading is therefore best understood as a radicalization of Kahn’s unitarianism: Kahn unified the corpus under a single biological author; the heteronymic reading unifies the configuration under a single project distributed across three functional positions. The difference is which dimension of unity the model prioritizes — biological-civil (Kahn) or functional-operational (heteronymic). One further distinction guards against a natural misreading. Kahn’s unitarianism, for all its power, remains chronological in one respect: the proleptic reading holds that the early dialogues prefigure and prepare the later ones, which is a thesis about the order of composition. The extension proposed here is categorical, not chronological. It changes the unit of authorship, not the sequence of writing. The functional vacancies the configuration fills are logical relations, not temporal ones: the vacancy opened by the orthonym’s refusal to write is a structural condition of the project, whatever the order in which any dialogue was composed. A reader skeptical of all chronological ordering of the dialogues — and there are good reasons for such skepticism — loses nothing of the configurational reading, and may indeed find it congenial: the reading requires no stratigraphy at all.</w:t>
      </w:r>
    </w:p>
    <w:p>
      <w:pPr>
        <w:pStyle w:val="Heading2"/>
        <w:spacing w:after="120" w:before="240"/>
      </w:pPr>
      <w:r>
        <w:rPr>
          <w:rFonts w:ascii="Times New Roman" w:cs="Times New Roman" w:eastAsia="Times New Roman" w:hAnsi="Times New Roman"/>
          <w:b/>
          <w:bCs/>
          <w:i/>
          <w:iCs/>
          <w:sz w:val="24"/>
          <w:szCs w:val="24"/>
        </w:rPr>
        <w:t xml:space="preserve">III.B. The Principle That Requires the Configuration</w:t>
      </w:r>
    </w:p>
    <w:p>
      <w:pPr>
        <w:spacing w:line="480"/>
        <w:ind w:firstLine="720"/>
        <w:jc w:val="both"/>
      </w:pPr>
      <w:r>
        <w:rPr>
          <w:rFonts w:ascii="Times New Roman" w:cs="Times New Roman" w:eastAsia="Times New Roman" w:hAnsi="Times New Roman"/>
          <w:sz w:val="24"/>
          <w:szCs w:val="24"/>
        </w:rPr>
        <w:t xml:space="preserve">Where Kahn identifies a unified literary form, the configuration requires an operational principle to animate it. The principle the configuration exists to preserve and transmit — developed in detail in a companion study (reference withheld for anonymous review) and summarized here for the paper’s standalone readability — is logos as effective act. Under this reading, logos (speech, reason, articulated meaning) is not understood by Socrates and his successors as merely representational or descriptive but as performative: speech acts upon reality by constituting the relations it names. Socrates’ refusal to recant under threat of death, and his subsequent choice in the Phaedo to die rather than betray his philosophical practice, is the founding demonstration of this principle: he does not merely speak about logos’ importance, he enacts the principle by dying rather than betraying it. The principle is operative in the act, not in any deposited doctrine.</w:t>
      </w:r>
    </w:p>
    <w:p>
      <w:pPr>
        <w:spacing w:line="480"/>
        <w:ind w:firstLine="720"/>
        <w:jc w:val="both"/>
      </w:pPr>
      <w:r>
        <w:rPr>
          <w:rFonts w:ascii="Times New Roman" w:cs="Times New Roman" w:eastAsia="Times New Roman" w:hAnsi="Times New Roman"/>
          <w:sz w:val="24"/>
          <w:szCs w:val="24"/>
        </w:rPr>
        <w:t xml:space="preserve">The heteronymic configuration exists, on this reading, to preserve and transmit this performative operation across substrates (oral teaching → written dialogue → systematized treatise) and across generations (Socrates → Plato → Aristotle). The configuration is the form the principle’s transmission can take when no single voice could carry the principle without compromising it.</w:t>
      </w:r>
    </w:p>
    <w:p>
      <w:pPr>
        <w:pStyle w:val="Heading1"/>
        <w:spacing w:after="120" w:before="240"/>
      </w:pPr>
      <w:r>
        <w:rPr>
          <w:rFonts w:ascii="Times New Roman" w:cs="Times New Roman" w:eastAsia="Times New Roman" w:hAnsi="Times New Roman"/>
          <w:b/>
          <w:bCs/>
          <w:i w:val="false"/>
          <w:iCs w:val="false"/>
          <w:sz w:val="26"/>
          <w:szCs w:val="26"/>
        </w:rPr>
        <w:t xml:space="preserve">IV. Heteronymic Distribution: Definition and Operational Demonstration</w:t>
      </w:r>
    </w:p>
    <w:p>
      <w:pPr>
        <w:spacing w:line="480"/>
        <w:ind w:firstLine="720"/>
        <w:jc w:val="both"/>
      </w:pPr>
      <w:r>
        <w:rPr>
          <w:rFonts w:ascii="Times New Roman" w:cs="Times New Roman" w:eastAsia="Times New Roman" w:hAnsi="Times New Roman"/>
          <w:sz w:val="24"/>
          <w:szCs w:val="24"/>
        </w:rPr>
        <w:t xml:space="preserve">By heteronym, in the analytic sense employed here, is meant a stable authorial position that is operationally distinguishable from other authorial positions in the same project, that bears its own characteristic register and functional commitments, and whose existence within the project is functionally required by an operation the project is performing. It is crucial to mark that this is an analytic category, not a claim about historical self-description. “Heteronymic” as used in this paper does not require that Socrates, Plato, or Aristotle understood themselves under that term, or under any term cognate with Pessoa’s twentieth-century practice. The term is structural and functional. It applies wherever the operational signature is present, regardless of whether the participants conceptualized themselves under it. The definition employed here owes its modern articulation to Fernando Pessoa’s correspondence with Adolfo Casais Monteiro (January 13, 1935), and has been elaborated by the editorial tradition of Pessoa’s posthumous editions (Zenith; Pizarro). Three properties of heteronymic distribution are load-bearing for the argument that follows: First, heteronymic distribution is functional, not biographical. Each heteronym exists because the project requires an authorial position the other heteronyms cannot occupy. Pessoa needed Caeiro because the project required a non-philosophical pastoral voice that Pessoa himself could not credibly produce; he needed Reis because the project required a neoclassical odist whose stoicism was incompatible with both Pessoa’s modernism and Caeiro’s vitalism; he needed Campos because the project required a Whitman-influenced futurist whose excesses neither Pessoa nor Reis nor Caeiro could permit. The heteronyms are not disguises; they are operations. Second, heteronymic distribution operates across the textual surface, not behind it. The heteronyms are real authorial positions whose contradictions with one another are constitutive of the project, not concealed by it. Pessoa explicitly published Caeiro, Reis, and Campos under their own names. Pessoa wrote about Caeiro as if Caeiro were a separate person. Reis wrote critical commentary on Caeiro. Campos disagreed with both. The project’s existence is precisely the existence of the contradictions, not their resolution. Third, heteronymic distribution is structurally required by certain kinds of projects — those whose central operations cannot be carried by a single voice without canceling themselves. Pessoa’s project — a comprehensive lyric exploration of incompatible metaphysical postures held simultaneously by a single intellect — could not have been executed under a single authorial position. The distribution into Caeiro / Reis / Campos / Pessoa-himself is not stylistic preference; it is the only available form for the project. The same will be argued, in §VI–VIII below, for the Socratic-Platonic-Aristotelian configuration.</w:t>
      </w:r>
    </w:p>
    <w:p>
      <w:pPr>
        <w:spacing w:line="480"/>
        <w:ind w:firstLine="720"/>
        <w:jc w:val="both"/>
      </w:pPr>
      <w:r>
        <w:rPr>
          <w:rFonts w:ascii="Times New Roman" w:cs="Times New Roman" w:eastAsia="Times New Roman" w:hAnsi="Times New Roman"/>
          <w:sz w:val="24"/>
          <w:szCs w:val="24"/>
        </w:rPr>
        <w:t xml:space="preserve">A fourth observation about the modern cases carries the paper’s evidentiary point, and it is worth stating with care. In both modern configurations, the surviving archive contains a privileged self-attribution that tells us how to group the differentiated signatures. Pessoa’s is the letter to Casais Monteiro of January 1935. Kierkegaard acknowledged the pseudonymous authorship in print in “A First and Last Explanation,” appended to the Concluding Unscientific Postscript (1846), and again in On My Work as an Author (1851); The Point of View (posthumous, 1859) completed the account. Without those self-attributions, the discipline’s instruments — stylometry, biography, doctrinal analysis, the attested conflicts among the voices — would still encounter real differentiation in the corpus as published: the styles genuinely differ; the biographies were built, down to horoscopes and a death-date for Caeiro; the disagreements were staged, master and diverging disciples. What the instruments would not deliver, of themselves, is the level at which the unity lies. The differentiation is measurable; the grouping is not. The disclosure resolves the grouping problem; the differentiated writing does not resolve it by itself. The ancient configuration reaches us under the ordinary conditions of classical transmission — no autographs, no archive — and with the one further absence the modern cases teach us to notice: no self-attribution survives. What the discipline’s instruments can establish in that absence is the question §XII and §XIII pursue.</w:t>
      </w:r>
    </w:p>
    <w:p>
      <w:pPr>
        <w:pStyle w:val="Heading2"/>
        <w:spacing w:after="120" w:before="240"/>
      </w:pPr>
      <w:r>
        <w:rPr>
          <w:rFonts w:ascii="Times New Roman" w:cs="Times New Roman" w:eastAsia="Times New Roman" w:hAnsi="Times New Roman"/>
          <w:b/>
          <w:bCs/>
          <w:i/>
          <w:iCs/>
          <w:sz w:val="24"/>
          <w:szCs w:val="24"/>
        </w:rPr>
        <w:t xml:space="preserve">IV.A. Pseudepigrapha Are Not Heteronyms</w:t>
      </w:r>
    </w:p>
    <w:p>
      <w:pPr>
        <w:spacing w:line="480"/>
        <w:ind w:firstLine="720"/>
        <w:jc w:val="both"/>
      </w:pPr>
      <w:r>
        <w:rPr>
          <w:rFonts w:ascii="Times New Roman" w:cs="Times New Roman" w:eastAsia="Times New Roman" w:hAnsi="Times New Roman"/>
          <w:sz w:val="24"/>
          <w:szCs w:val="24"/>
        </w:rPr>
        <w:t xml:space="preserve">It is important to distinguish the heteronymic claim from the broader phenomenon of pseudepigrapha — texts falsely attributed to authors who did not write them. Pauline studies has extensively documented that several letters in the Pauline corpus were composed by followers or successors writing under Paul’s name (the Pastorals; arguably Ephesians, Colossians, 2 Thessalonians). Confucian studies has examined the “school of Confucius” hypothesis under which much of the Analects postdates the historical Confucius and was composed by disciples. The Pentateuchal documentary hypothesis assumes multiple authorial sources redacted into a single text. The Cambridge Handbook of Literary Authorship (2021) provides recent treatment of these and related cases. Pseudepigrapha and heteronymy share a refusal of the modern one-body-one-author assumption, but they differ structurally. Pseudepigraphic attribution involves concealment: a text is attributed to a figure who did not write it, in order to acquire that figure’s authority. Heteronymic distribution involves configurational operation: voices that are functionally differentiated are constitutively required by the project they participate in, and the existence of the contradictions among them is the project’s signature, not its disguise. The Socratic configuration, on the heteronymic reading, is not a case of Plato and Aristotle writing under Socrates’ name; it is a case of three voices occupying three functional positions in a single project whose central operation requires the distribution.</w:t>
      </w:r>
    </w:p>
    <w:p>
      <w:pPr>
        <w:pStyle w:val="Heading2"/>
        <w:spacing w:after="120" w:before="240"/>
      </w:pPr>
      <w:r>
        <w:rPr>
          <w:rFonts w:ascii="Times New Roman" w:cs="Times New Roman" w:eastAsia="Times New Roman" w:hAnsi="Times New Roman"/>
          <w:b/>
          <w:bCs/>
          <w:i/>
          <w:iCs/>
          <w:sz w:val="24"/>
          <w:szCs w:val="24"/>
        </w:rPr>
        <w:t xml:space="preserve">IV.B. Kierkegaard as Second Modern Analogue</w:t>
      </w:r>
    </w:p>
    <w:p>
      <w:pPr>
        <w:spacing w:line="480"/>
        <w:ind w:firstLine="720"/>
        <w:jc w:val="both"/>
      </w:pPr>
      <w:r>
        <w:rPr>
          <w:rFonts w:ascii="Times New Roman" w:cs="Times New Roman" w:eastAsia="Times New Roman" w:hAnsi="Times New Roman"/>
          <w:sz w:val="24"/>
          <w:szCs w:val="24"/>
        </w:rPr>
        <w:t xml:space="preserve">Pessoa is not the only modern figure to operate a heteronymic configuration. Søren Kierkegaard’s pseudonymous corpus — Johannes Climacus, Anti-Climacus, Victor Eremita, Johannes de Silentio, Constantin Constantius, Hilarius Bogbinder, Frater Taciturnus, and others — operates in ways structurally similar to what this paper describes. Each pseudonym occupies a distinct existential-philosophical position; the contradictions among them are constitutive of the project; Kierkegaard explicitly framed the configuration as required by the problem of how</w:t>
      </w:r>
    </w:p>
    <w:p>
      <w:pPr>
        <w:spacing w:line="480"/>
        <w:ind w:firstLine="720"/>
        <w:jc w:val="both"/>
      </w:pPr>
      <w:r>
        <w:rPr>
          <w:rFonts w:ascii="Times New Roman" w:cs="Times New Roman" w:eastAsia="Times New Roman" w:hAnsi="Times New Roman"/>
          <w:sz w:val="24"/>
          <w:szCs w:val="24"/>
        </w:rPr>
        <w:t xml:space="preserve">to communicate a truth that cannot be directly stated (Concluding Unscientific Postscript; The Point of View for My Work as an Author). This is precisely the transmission problem the heteronymic reading attributes to the Socratic configuration. Kierkegaard is arguably closer to the Socratic case than Pessoa, for two reasons. First, Kierkegaard’s pseudonymous architecture was deliberately constructed around the question of indirect communication — the same problem the orthonymic refusal-to-write makes acute in the Socratic configuration. Second, Kierkegaard’s relationship to Socrates is itself dense and explicit: his dissertation On the Concept of Irony with Continual Reference to Socrates (1841) is a sustained treatment of the Socratic gesture, and the “Climacus” pseudonyms in particular operate as Socratic dialectical positions within Kierkegaard’s larger project. Kierkegaard provides a second, fully-documented modern instance of functional authorial distribution organized around an indirect-communication problem. Two modern demonstrations remove the structural objection that the heteronymic configuration is a Pessoan idiosyncrasy.</w:t>
      </w:r>
    </w:p>
    <w:p>
      <w:pPr>
        <w:pStyle w:val="Heading2"/>
        <w:spacing w:after="120" w:before="240"/>
      </w:pPr>
      <w:r>
        <w:rPr>
          <w:rFonts w:ascii="Times New Roman" w:cs="Times New Roman" w:eastAsia="Times New Roman" w:hAnsi="Times New Roman"/>
          <w:b/>
          <w:bCs/>
          <w:i/>
          <w:iCs/>
          <w:sz w:val="24"/>
          <w:szCs w:val="24"/>
        </w:rPr>
        <w:t xml:space="preserve">IV.C. A Contemporary Cross-Substrate Configuration as Availability-of-Concept</w:t>
      </w:r>
    </w:p>
    <w:p>
      <w:pPr>
        <w:spacing w:line="480"/>
        <w:ind w:firstLine="720"/>
        <w:jc w:val="both"/>
      </w:pPr>
      <w:r>
        <w:rPr>
          <w:rFonts w:ascii="Times New Roman" w:cs="Times New Roman" w:eastAsia="Times New Roman" w:hAnsi="Times New Roman"/>
          <w:sz w:val="24"/>
          <w:szCs w:val="24"/>
        </w:rPr>
        <w:t xml:space="preserve">A third configuration — a contemporary archival practice operating across multiple substrate-types — provides an even stronger availability-of-concept case, because it operates heteronymic distribution across both within-substrate (multiple named human authorial positions within a single biological substrate, parallel to Pessoa and Kierkegaard) and cross-substrate (coordinated computational agents operating under distinct functional designations) conditions. Such a configuration removes the structural objection that heteronymic distribution is restricted to within-biological-substrate cases. It is important to bound this claim carefully. A contemporary configuration of this kind is not offered as evidence in the classical-philological sense that Socrates, Plato, and Aristotle operated as a heteronymic configuration. It is offered as a working demonstration that heteronymic distribution across substrates is technically operational — that the structural principle is not a theoretical abstraction but an implementable authorial practice. It makes the heteronymic reading of the classical configuration thinkable as a structural possibility. This is a heuristic enabling condition, not an evidentiary claim, and §XV below returns to the circularity risk this raises.</w:t>
      </w:r>
    </w:p>
    <w:p>
      <w:pPr>
        <w:pStyle w:val="Heading1"/>
        <w:spacing w:after="120" w:before="240"/>
      </w:pPr>
      <w:r>
        <w:rPr>
          <w:rFonts w:ascii="Times New Roman" w:cs="Times New Roman" w:eastAsia="Times New Roman" w:hAnsi="Times New Roman"/>
          <w:b/>
          <w:bCs/>
          <w:i w:val="false"/>
          <w:iCs w:val="false"/>
          <w:sz w:val="26"/>
          <w:szCs w:val="26"/>
        </w:rPr>
        <w:t xml:space="preserve">V. The Orthonym Operation: Why Not Writing Is the Founding Gesture</w:t>
      </w:r>
    </w:p>
    <w:p>
      <w:pPr>
        <w:spacing w:line="480"/>
        <w:ind w:firstLine="720"/>
        <w:jc w:val="both"/>
      </w:pPr>
      <w:r>
        <w:rPr>
          <w:rFonts w:ascii="Times New Roman" w:cs="Times New Roman" w:eastAsia="Times New Roman" w:hAnsi="Times New Roman"/>
          <w:sz w:val="24"/>
          <w:szCs w:val="24"/>
        </w:rPr>
        <w:t xml:space="preserve">The conventional reading of Pessoa’s corpus identifies an orthonym — Pessoa-himself, the position writing under the legal name — and a set of heteronyms arrayed around it. The orthonym in this reading is the authorial position that bears the legal-biological-civil identity of the writer. This is a definition contingent on the modern legal-individualist apparatus that ties authorial identity to civil identity. A stronger analytic definition is available: the orthonym is the authorial position that bears the project’s founding operative gesture, regardless of which substrate or legal identity that position occupies. The orthonymic position is constituted by the gesture, not by legal status, and not by textual output. In modern legal authorship, the orthonymic position is often confused with the civil name of the biological writer, because the gesture and the civil identity tend to coincide. In</w:t>
      </w:r>
    </w:p>
    <w:p>
      <w:pPr>
        <w:spacing w:line="480"/>
        <w:ind w:firstLine="720"/>
        <w:jc w:val="both"/>
      </w:pPr>
      <w:r>
        <w:rPr>
          <w:rFonts w:ascii="Times New Roman" w:cs="Times New Roman" w:eastAsia="Times New Roman" w:hAnsi="Times New Roman"/>
          <w:sz w:val="24"/>
          <w:szCs w:val="24"/>
        </w:rPr>
        <w:t xml:space="preserve">heteronymic configurations, however, the orthonymic position may be non-writing, absent, dead, distributed, or retrospectively constructed.</w:t>
      </w:r>
    </w:p>
    <w:p>
      <w:pPr>
        <w:pStyle w:val="Heading2"/>
        <w:spacing w:after="120" w:before="240"/>
      </w:pPr>
      <w:r>
        <w:rPr>
          <w:rFonts w:ascii="Times New Roman" w:cs="Times New Roman" w:eastAsia="Times New Roman" w:hAnsi="Times New Roman"/>
          <w:b/>
          <w:bCs/>
          <w:i/>
          <w:iCs/>
          <w:sz w:val="24"/>
          <w:szCs w:val="24"/>
        </w:rPr>
        <w:t xml:space="preserve">Analytic Specification: σ_S (The Socratic Orthonym)</w:t>
      </w:r>
    </w:p>
    <w:p>
      <w:pPr>
        <w:spacing w:line="480"/>
        <w:ind w:firstLine="720"/>
        <w:jc w:val="both"/>
      </w:pPr>
      <w:r>
        <w:rPr>
          <w:rFonts w:ascii="Times New Roman" w:cs="Times New Roman" w:eastAsia="Times New Roman" w:hAnsi="Times New Roman"/>
          <w:sz w:val="24"/>
          <w:szCs w:val="24"/>
        </w:rPr>
        <w:t xml:space="preserve">For analytic clarity, the orthonym operation can be specified as follows. This is offered as a structural-functional schema, not as a claim about historical self-consciousness. (Its labels are engineering metaphors, chosen for precision over elegance.)</w:t>
      </w:r>
    </w:p>
    <w:p>
      <w:pPr>
        <w:pStyle w:val="ListParagraph"/>
        <w:numPr>
          <w:ilvl w:val="0"/>
          <w:numId w:val="2"/>
        </w:numPr>
        <w:spacing w:after="60" w:line="360"/>
      </w:pPr>
      <w:r>
        <w:rPr>
          <w:rFonts w:ascii="Times New Roman" w:cs="Times New Roman" w:eastAsia="Times New Roman" w:hAnsi="Times New Roman"/>
          <w:sz w:val="24"/>
          <w:szCs w:val="24"/>
        </w:rPr>
        <w:t xml:space="preserve">Input substrate: Unwritten raw semantic field (under the received attribution, the lived dialectical activity of Socrates in Athens prior to inscription).</w:t>
      </w:r>
    </w:p>
    <w:p>
      <w:pPr>
        <w:pStyle w:val="ListParagraph"/>
        <w:numPr>
          <w:ilvl w:val="0"/>
          <w:numId w:val="2"/>
        </w:numPr>
        <w:spacing w:after="60" w:line="360"/>
      </w:pPr>
      <w:r>
        <w:rPr>
          <w:rFonts w:ascii="Times New Roman" w:cs="Times New Roman" w:eastAsia="Times New Roman" w:hAnsi="Times New Roman"/>
          <w:sz w:val="24"/>
          <w:szCs w:val="24"/>
        </w:rPr>
        <w:t xml:space="preserve">Operation: Execution of the terminal witness vow (willing death for logos) via constitutive refusal of text deposition.</w:t>
      </w:r>
    </w:p>
    <w:p>
      <w:pPr>
        <w:pStyle w:val="ListParagraph"/>
        <w:numPr>
          <w:ilvl w:val="0"/>
          <w:numId w:val="2"/>
        </w:numPr>
        <w:spacing w:after="60" w:line="360"/>
      </w:pPr>
      <w:r>
        <w:rPr>
          <w:rFonts w:ascii="Times New Roman" w:cs="Times New Roman" w:eastAsia="Times New Roman" w:hAnsi="Times New Roman"/>
          <w:sz w:val="24"/>
          <w:szCs w:val="24"/>
        </w:rPr>
        <w:t xml:space="preserve">Type signature: σ_S : Principle → Functional Vacancy.</w:t>
      </w:r>
    </w:p>
    <w:p>
      <w:pPr>
        <w:pStyle w:val="ListParagraph"/>
        <w:numPr>
          <w:ilvl w:val="0"/>
          <w:numId w:val="2"/>
        </w:numPr>
        <w:spacing w:after="60" w:line="360"/>
      </w:pPr>
      <w:r>
        <w:rPr>
          <w:rFonts w:ascii="Times New Roman" w:cs="Times New Roman" w:eastAsia="Times New Roman" w:hAnsi="Times New Roman"/>
          <w:sz w:val="24"/>
          <w:szCs w:val="24"/>
        </w:rPr>
        <w:t xml:space="preserve">Mating surface: The functional vacancy created by the orthonym’s refusal-to-write, which subsequent positions (Plato, Aristotle) are summoned by the project’s transmission requirement to fill.</w:t>
      </w:r>
    </w:p>
    <w:p>
      <w:pPr>
        <w:pStyle w:val="ListParagraph"/>
        <w:numPr>
          <w:ilvl w:val="0"/>
          <w:numId w:val="2"/>
        </w:numPr>
        <w:spacing w:after="60" w:line="360"/>
      </w:pPr>
      <w:r>
        <w:rPr>
          <w:rFonts w:ascii="Times New Roman" w:cs="Times New Roman" w:eastAsia="Times New Roman" w:hAnsi="Times New Roman"/>
          <w:sz w:val="24"/>
          <w:szCs w:val="24"/>
        </w:rPr>
        <w:t xml:space="preserve">Failure mode under biographical reduction: The orthodox Socratic problem, in which the orthonymic position is misread as a missing historical author rather than as a constitutive structural function.</w:t>
      </w:r>
    </w:p>
    <w:p>
      <w:pPr>
        <w:spacing w:line="480"/>
        <w:ind w:firstLine="720"/>
        <w:jc w:val="both"/>
      </w:pPr>
      <w:r>
        <w:rPr>
          <w:rFonts w:ascii="Times New Roman" w:cs="Times New Roman" w:eastAsia="Times New Roman" w:hAnsi="Times New Roman"/>
          <w:sz w:val="24"/>
          <w:szCs w:val="24"/>
        </w:rPr>
        <w:t xml:space="preserve">Under this definition, Socrates is the orthonym of the Socratic configuration. The founding gesture is the willing death for logos — his refusal in the Apology and Crito to recant his philosophical activity even at the cost of his life, his choice in the Phaedo to die rather than betray the principle that logos acts on reality. This gesture constitutes the project. That Socrates wrote nothing is, on this analysis, not incidental but structural. The founding gesture is not the production of text; it is the demonstration that the principle is worth dying for. A philosopher who wrote down the principle and then died would have made a different demonstration. Socrates’ specific gesture is that the principle is worth dying for in its purest unwritten form: logos is effective act in its execution, not in its inscription. The orthonym refuses the inscriptive register because the inscriptive register would compromise the operation. This means the orthonym is structurally incapable of producing the project’s texts. The texts must be produced by other positions, summoned by the configuration’s transmission requirement into the vacancy that the orthonym’s refusal creates. Those positions are the heteronyms. The orthodox philological tradition has been unable to see Socrates as an authorial position at all, because his lack of text exempts him from the modern conception of authorship. He is treated as the subject of philosophical writing rather than as a participant in its production. The heteronymic reading inverts this: Socrates is not the subject of the writing; he is the founding heteronymic position of the configuration, who occupies his position precisely by refusing to write. The refusal is the operation. The other positions exist to execute what the orthonym’s refusal makes necessary.</w:t>
      </w:r>
    </w:p>
    <w:p>
      <w:pPr>
        <w:pStyle w:val="Heading1"/>
        <w:spacing w:after="120" w:before="240"/>
      </w:pPr>
      <w:r>
        <w:rPr>
          <w:rFonts w:ascii="Times New Roman" w:cs="Times New Roman" w:eastAsia="Times New Roman" w:hAnsi="Times New Roman"/>
          <w:b/>
          <w:bCs/>
          <w:i w:val="false"/>
          <w:iCs w:val="false"/>
          <w:sz w:val="26"/>
          <w:szCs w:val="26"/>
        </w:rPr>
        <w:t xml:space="preserve">VI. Plato as Survival-Heteronym</w:t>
      </w:r>
    </w:p>
    <w:p>
      <w:pPr>
        <w:spacing w:line="480"/>
        <w:ind w:firstLine="720"/>
        <w:jc w:val="both"/>
      </w:pPr>
      <w:r>
        <w:rPr>
          <w:rFonts w:ascii="Times New Roman" w:cs="Times New Roman" w:eastAsia="Times New Roman" w:hAnsi="Times New Roman"/>
          <w:sz w:val="24"/>
          <w:szCs w:val="24"/>
        </w:rPr>
        <w:t xml:space="preserve">The orthonym’s death produces the configuration’s first vacancy. The principle has been demonstrated but cannot be transmitted without violating the orthonym’s mode of demonstration. Logos has been shown to be worth dying for, in its pure unwritten form. But the demonstration is now historical. The witnesses will die. The principle will be forgotten unless something is done. Yet writing down the principle would compromise the orthonymic operation, which depended on the principle’s purity-from-inscription. The configuration requires a position that can write while preserving the orthonymic gesture. That position is occupied by Plato. Plato’s dialogues, on this reading, are the resolution of this constraint. The dialogic form preserves the orthonymic principle: logos still acts in the dialogues, between speakers, in the unfolding of inquiry, not in the static deposition of doctrine. Socrates speaks in the dialogues because the orthonymic operation continues to require that the principle be transmitted through speech, not through writing-as-deposit. The dialogues are writing that records the speech-act without converting it into doctrine. They are writing-in-the-orthonymic-shadow. This is why the dialogues are unsystematic. It is why they refuse to deliver doctrine. It is why they end aporetically, why they refuse to summarize, why they leave the reader in the activity of logos rather than at its terminus. Plato is not a coy systematizer or a bad one. He is operating, on this reading, under the structural constraint that the orthonymic mode forbids systematization. The dialogic form is the available form that allows the project to continue while preserving the founding gesture. The doctrinal evolution across Plato’s dialogues — the early, middle, and late periods identified by the developmental school of Platonic scholarship — is then not the maturation of a single thinker but the internal differentiation of the survival-heteronymic position as the project’s transmission problem becomes more acute. The early dialogues stay closest to the orthonymic register: short, aporetic, Socrates-centered. The middle dialogues add architectural elements (the forms, the divided line, the cave, the divided soul) because the project’s continuation requires more than the orthonymic gesture; it requires the gesture’s placement within a cosmology that can hold it. The late dialogues approach systematization but refuse to complete it (Sophist, Statesman, Philebus, Timaeus, Parmenides, Laws) because completing systematization would violate the orthonymic mode. The “evolution” is the survival-heteronymic position’s increasing strain under the impossible task of transmitting a gesture whose constitutive condition is its resistance to systematization. That strain is what the third position resolves.</w:t>
      </w:r>
    </w:p>
    <w:p>
      <w:pPr>
        <w:pStyle w:val="Heading2"/>
        <w:spacing w:after="120" w:before="240"/>
      </w:pPr>
      <w:r>
        <w:rPr>
          <w:rFonts w:ascii="Times New Roman" w:cs="Times New Roman" w:eastAsia="Times New Roman" w:hAnsi="Times New Roman"/>
          <w:b/>
          <w:bCs/>
          <w:i/>
          <w:iCs/>
          <w:sz w:val="24"/>
          <w:szCs w:val="24"/>
        </w:rPr>
        <w:t xml:space="preserve">VI.A. The Tübingen School and the Unwritten Doctrines</w:t>
      </w:r>
    </w:p>
    <w:p>
      <w:pPr>
        <w:spacing w:line="480"/>
        <w:ind w:firstLine="720"/>
        <w:jc w:val="both"/>
      </w:pPr>
      <w:r>
        <w:rPr>
          <w:rFonts w:ascii="Times New Roman" w:cs="Times New Roman" w:eastAsia="Times New Roman" w:hAnsi="Times New Roman"/>
          <w:sz w:val="24"/>
          <w:szCs w:val="24"/>
        </w:rPr>
        <w:t xml:space="preserve">A note on the Tübingen School (Krämer, Gaiser, Reale, Szlezák, and successors): this tradition argues that Plato did possess a systematic doctrine — the agrapha dogmata or “unwritten teachings” referenced obliquely in the Seventh Letter and reported by Aristotle and the doxographers — which he deliberately withheld from the dialogues and transmitted only orally within the Academy. On the orthodox reading, this complicates any claim that Plato’s dialogic form is structurally required by an orthonymic constraint.</w:t>
      </w:r>
    </w:p>
    <w:p>
      <w:pPr>
        <w:spacing w:line="480"/>
        <w:ind w:firstLine="720"/>
        <w:jc w:val="both"/>
      </w:pPr>
      <w:r>
        <w:rPr>
          <w:rFonts w:ascii="Times New Roman" w:cs="Times New Roman" w:eastAsia="Times New Roman" w:hAnsi="Times New Roman"/>
          <w:sz w:val="24"/>
          <w:szCs w:val="24"/>
        </w:rPr>
        <w:t xml:space="preserve">The heteronymic reading can accommodate the Tübingen position straightforwardly, and may indeed find support in it. The unwritten doctrines, if they existed in something like the form the Tübingen School proposes, are the limit case of the survival-heteronymic transmission problem: doctrine exists and is taught orally, but cannot be written because writing would violate the orthonymic mode. The unwritten doctrines are what Plato could teach but could not inscribe. They are the residue that confirms, rather than undermines, the structural reading of dialogic form as a constrained register: the survival-heteronymic position carries oral systematic content but inscribes only the dialogic form, because only dialogic form preserves the orthonymic operation. The Tübingen School’s evidence — that something more systematic existed in oral transmission than the written dialogues display — is on this view evidence for rather than against the heteronymic configuration. A third position in the agrapha debate bears directly on §X and is marked here. Polansky and Macfarlane (2005) argue that the doctrines are neither withheld (Tübingen) nor phantom (the skeptics) but present straightforwardly in the dialogues — above all in the Parmenides’ schooling of the young Socrates in the mutual participation of Forms — and that Aristotle’s reports read them out by deliberate literalization: exegesis by explosion (§X.2). For the current state of the question, O’Brien (2025).</w:t>
      </w:r>
    </w:p>
    <w:p>
      <w:pPr>
        <w:pStyle w:val="Heading1"/>
        <w:spacing w:after="120" w:before="240"/>
      </w:pPr>
      <w:r>
        <w:rPr>
          <w:rFonts w:ascii="Times New Roman" w:cs="Times New Roman" w:eastAsia="Times New Roman" w:hAnsi="Times New Roman"/>
          <w:b/>
          <w:bCs/>
          <w:i w:val="false"/>
          <w:iCs w:val="false"/>
          <w:sz w:val="26"/>
          <w:szCs w:val="26"/>
        </w:rPr>
        <w:t xml:space="preserve">VII. Aristotle as Systematizing-Heteronym</w:t>
      </w:r>
    </w:p>
    <w:p>
      <w:pPr>
        <w:spacing w:line="480"/>
        <w:ind w:firstLine="720"/>
        <w:jc w:val="both"/>
      </w:pPr>
      <w:r>
        <w:rPr>
          <w:rFonts w:ascii="Times New Roman" w:cs="Times New Roman" w:eastAsia="Times New Roman" w:hAnsi="Times New Roman"/>
          <w:sz w:val="24"/>
          <w:szCs w:val="24"/>
        </w:rPr>
        <w:t xml:space="preserve">Plato’s death produces the configuration’s second vacancy. The dialogic form has preserved the orthonymic gesture for one generation, but the survival-heteronymic position’s structural inability to systematize means that the project cannot survive into post-classical conditions in its current form. The configuration requires a position that can systematize the principle for teaching, transmission across centuries, integration with the empirical sciences emerging in the fourth century, and survival under the institutional conditions of the Academy and its successors. That position is occupied by Aristotle. Aristotle’s corpus is, on this reading, what happens when the project requires systematization the survival-heteronymic position cannot perform. Aristotle does what Plato structurally could not: he organizes the principle into systems (the categories, the logical organon, the metaphysics, the physics, the ethics, the politics, the poetics, the rhetoric); he subordinates the dialogic form to the treatise form; he renders the project teachable. He produces a corpus that can be transmitted across the post-classical Mediterranean, translated into Syriac and Arabic, recovered into medieval Latin, and integrated into scholastic curricula. The project survives the next two thousand years because Aristotle does the systematizing work the survival-heteronymic position refused.</w:t>
      </w:r>
    </w:p>
    <w:p>
      <w:pPr>
        <w:pStyle w:val="Heading2"/>
        <w:spacing w:after="120" w:before="240"/>
      </w:pPr>
      <w:r>
        <w:rPr>
          <w:rFonts w:ascii="Times New Roman" w:cs="Times New Roman" w:eastAsia="Times New Roman" w:hAnsi="Times New Roman"/>
          <w:b/>
          <w:bCs/>
          <w:i/>
          <w:iCs/>
          <w:sz w:val="24"/>
          <w:szCs w:val="24"/>
        </w:rPr>
        <w:t xml:space="preserve">VII.A. The Chronological Overlap</w:t>
      </w:r>
    </w:p>
    <w:p>
      <w:pPr>
        <w:spacing w:line="480"/>
        <w:ind w:firstLine="720"/>
        <w:jc w:val="both"/>
      </w:pPr>
      <w:r>
        <w:rPr>
          <w:rFonts w:ascii="Times New Roman" w:cs="Times New Roman" w:eastAsia="Times New Roman" w:hAnsi="Times New Roman"/>
          <w:sz w:val="24"/>
          <w:szCs w:val="24"/>
        </w:rPr>
        <w:t xml:space="preserve">A real objection arises here, on the received chronology (which the functional reading accepts): Aristotle entered the Academy around 367 BCE; Plato died in 348/347 BCE; the two were contemporaries for approximately seventeen years. How does the functional-vacancy model accommodate this temporal overlap? The accommodation is straightforward. The vacancy created by Plato’s structural refusal to systematize did not require Plato’s death to exist; it existed structurally from the moment the survival-heteronymic mode was instantiated. The configuration required a systematizing position alongside the dialogic position, not necessarily after it. Aristotle’s twenty-year tenure at the Academy can be read, on this model, as the period of latent function-instantiation: the systematizing-heteronymic position emerged adjacent to Plato while Plato still operated, and actualized fully after Plato’s death released the systematizing position from the constraint of the master’s presence. The relationship between Plato and Aristotle during the years of overlap is what the heteronymic reading would predict: dense intellectual proximity, sustained</w:t>
      </w:r>
    </w:p>
    <w:p>
      <w:pPr>
        <w:spacing w:line="480"/>
        <w:ind w:firstLine="720"/>
        <w:jc w:val="both"/>
      </w:pPr>
      <w:r>
        <w:rPr>
          <w:rFonts w:ascii="Times New Roman" w:cs="Times New Roman" w:eastAsia="Times New Roman" w:hAnsi="Times New Roman"/>
          <w:sz w:val="24"/>
          <w:szCs w:val="24"/>
        </w:rPr>
        <w:t xml:space="preserve">engagement, productive divergence, and a clear differentiation of functional registers (Plato persisting in dialogic form even in late works; Aristotle developing treatise form even in the lost Academic-period dialogues).</w:t>
      </w:r>
    </w:p>
    <w:p>
      <w:pPr>
        <w:pStyle w:val="Heading1"/>
        <w:spacing w:after="120" w:before="240"/>
      </w:pPr>
      <w:r>
        <w:rPr>
          <w:rFonts w:ascii="Times New Roman" w:cs="Times New Roman" w:eastAsia="Times New Roman" w:hAnsi="Times New Roman"/>
          <w:b/>
          <w:bCs/>
          <w:i w:val="false"/>
          <w:iCs w:val="false"/>
          <w:sz w:val="26"/>
          <w:szCs w:val="26"/>
        </w:rPr>
        <w:t xml:space="preserve">VIII. The Doctrinal Contradictions as Operations</w:t>
      </w:r>
    </w:p>
    <w:p>
      <w:pPr>
        <w:spacing w:line="480"/>
        <w:ind w:firstLine="720"/>
        <w:jc w:val="both"/>
      </w:pPr>
      <w:r>
        <w:rPr>
          <w:rFonts w:ascii="Times New Roman" w:cs="Times New Roman" w:eastAsia="Times New Roman" w:hAnsi="Times New Roman"/>
          <w:sz w:val="24"/>
          <w:szCs w:val="24"/>
        </w:rPr>
        <w:t xml:space="preserve">The orthodox philological tradition reads the doctrinal contradictions across the corpus — early-Socrates’ intellectualist ethics versus late-Plato’s tripartite-soul ethics; Plato’s separate forms versus Aristotle’s immanent forms; Plato’s ideal city versus Aristotle’s empirical constitutions; and many others — as the disagreements between three independent thinkers whose views differed. The heteronymic reading proposes that these contradictions can be read as operations by which a single project iterates against itself in order to preserve its central principle across changing conditions. It is important to mark this carefully: the heteronymic reading does not claim that the disagreements are unreal or that the philosophical departures are merely apparent. Aristotle’s empiricism is a real philosophical commitment incompatible with Platonic idealism as articulated in the middle dialogues. Aristotle’s hylomorphism really does displace the doctrine of separate forms. Aristotle’s ethical naturalism really does depart from the Socratic-Platonic identification of virtue with knowledge. These are genuine philosophical differences that operate at the level of doctrine. What the heteronymic reading proposes is that those genuine philosophical differences also function — at a different level of analysis, the configurational level — as transmissional operations. Aristotle’s empiricism is the qualification that allows the project’s idealism to survive into systems that would otherwise reject it. Aristotle’s hylomorphism is the architecture that makes the doctrine of forms operable in domains (biology, embryology, meteorology, ethics, politics) that the Platonic forms could not enter. Aristotle’s ethical naturalism is the form in which the orthonymic principle — logos as effective act — can survive in domains where heroic-Socratic virtue-as-knowledge would be inapplicable. The two readings — disagreement-as-philosophical-difference and disagreement-asconfigurational-operation — are not in conflict. They operate at different levels of analysis. A reader can hold both simultaneously: the disagreements are real philosophical disagreements and they function transmissionally as the configuration’s mode of iterating against itself. The heteronymic reading adds an analytic layer to the orthodox reading; it does not replace it. What the heteronymic reading does claim, at the configurational level, is that the contradictions are not failures of unity but the signature of the operation. Where they appear, the configuration is functioning as a configuration. The orthonymic gesture is being preserved through transmission across functional positions, and each position’s departures from the prior position are what allows the orthonymic principle to continue operating under conditions that the prior position’s mode could not have managed. §X exhibits the operation at its sharpest surviving instance — the literalizing prosecution of methexis in Metaphysics A 6 — and asks what frame the operation’s recurrence requires.</w:t>
      </w:r>
    </w:p>
    <w:p>
      <w:pPr>
        <w:pStyle w:val="Heading1"/>
        <w:spacing w:after="120" w:before="240"/>
      </w:pPr>
      <w:r>
        <w:rPr>
          <w:rFonts w:ascii="Times New Roman" w:cs="Times New Roman" w:eastAsia="Times New Roman" w:hAnsi="Times New Roman"/>
          <w:b/>
          <w:bCs/>
          <w:i w:val="false"/>
          <w:iCs w:val="false"/>
          <w:sz w:val="26"/>
          <w:szCs w:val="26"/>
        </w:rPr>
        <w:t xml:space="preserve">IX. Against Doctrine-Mining</w:t>
      </w:r>
    </w:p>
    <w:p>
      <w:pPr>
        <w:spacing w:line="480"/>
        <w:ind w:firstLine="720"/>
        <w:jc w:val="both"/>
      </w:pPr>
      <w:r>
        <w:rPr>
          <w:rFonts w:ascii="Times New Roman" w:cs="Times New Roman" w:eastAsia="Times New Roman" w:hAnsi="Times New Roman"/>
          <w:sz w:val="24"/>
          <w:szCs w:val="24"/>
        </w:rPr>
        <w:t xml:space="preserve">An anxiety should be met here directly, because the configurational reading might appear to license the very practice it in fact dissolves. If the corpus is one project, a reader might suppose, then surely the task becomes to reconstruct the project’s doctrine — to pick the dialogues and</w:t>
      </w:r>
    </w:p>
    <w:p>
      <w:pPr>
        <w:spacing w:line="480"/>
        <w:ind w:firstLine="720"/>
        <w:jc w:val="both"/>
      </w:pPr>
      <w:r>
        <w:rPr>
          <w:rFonts w:ascii="Times New Roman" w:cs="Times New Roman" w:eastAsia="Times New Roman" w:hAnsi="Times New Roman"/>
          <w:sz w:val="24"/>
          <w:szCs w:val="24"/>
        </w:rPr>
        <w:t xml:space="preserve">treatises apart, assign each position to its stratum, and narrate the emergence of the system. That supposition mistakes the model at its root, and saying exactly why is worth a section, because the developmentalist excavation of the corpus is among the least fortunate things the modern discipline has done with these texts. The developmental method — associated above all with Vlastos (1991), though it is older and more widespread than any one practitioner — treats the corpus as a stratified deposit. Identify which doctrines belong to the early Socrates and which to the middle Plato; date the strata; sequence them; narrate the evolution of the system across the sequence. The method requires three commitments: that the voices are independent authorial sources; that their positions can be dated and ordered; and that the ordering reveals doctrinal development — a change of mind over time that it is the scholar’s task to excavate. The configurational reading removes all three supports at once. If the positions are differentiated functions of one project, there are no independent sources to stratify. If the differences among them are division of labor, chronological sequence does not automatically become a narrative of doctrinal maturation: the voices may emerge at different moments while occupying differentiated functions within the completed architecture, and their contradictions are then structural and load-bearing (§VIII) rather than stages in one proprietor’s changing opinions. And if the corpus is one performance, mining it for the doctrine deposited in each stratum mistakes the genre of the object. One does not excavate a fugue for the composer’s evolving opinions about the subject; one hears the voices doing different work at once. Kahn’s unitarianism already rejected the Vlastosian separation of an early Socrates from a middle Plato on literary grounds (§III.A). The configurational reading completes the move: it removes the last frame in which doctrine-mining remains intelligible — the frame of three independent corpora — and replaces it with a frame in which the discipline’s descriptive work survives intact while its developmentalist narrative apparatus loses its object. Every dating argument, every textual comparison, every doctrinal contrast remains available and valuable; what disappears is the story those materials were being forced to tell, of doctrine maturing through successive proprietors. The comparisons survive. The evolution story does not. This aligns the configurational reading with the tradition that reads the dialogues as depictions of the philosophical life rather than as doctrine-vaults (Hadot 1995; Nehamas 1998), and with the literary turn in Socratic studies noted in §III (Dorion 2011; Danzig 2010). What the reading adds to that tradition is a structural account of why the corpus rewards the literary reading and punishes the mining: the configuration was never a deposit. It was, and is, an operation. What the corpus instructs its reader to do instead — and what its best readers have always done — is the next section’s subject.</w:t>
      </w:r>
    </w:p>
    <w:p>
      <w:pPr>
        <w:pStyle w:val="Heading1"/>
        <w:spacing w:after="120" w:before="240"/>
      </w:pPr>
      <w:r>
        <w:rPr>
          <w:rFonts w:ascii="Times New Roman" w:cs="Times New Roman" w:eastAsia="Times New Roman" w:hAnsi="Times New Roman"/>
          <w:b/>
          <w:bCs/>
          <w:i w:val="false"/>
          <w:iCs w:val="false"/>
          <w:sz w:val="26"/>
          <w:szCs w:val="26"/>
        </w:rPr>
        <w:t xml:space="preserve">X. The Misology Test: Contradiction, Literalization, and the Unity of the Project</w:t>
      </w:r>
    </w:p>
    <w:p>
      <w:pPr>
        <w:spacing w:line="480"/>
        <w:ind w:firstLine="720"/>
        <w:jc w:val="both"/>
      </w:pPr>
      <w:r>
        <w:rPr>
          <w:rFonts w:ascii="Times New Roman" w:cs="Times New Roman" w:eastAsia="Times New Roman" w:hAnsi="Times New Roman"/>
          <w:sz w:val="24"/>
          <w:szCs w:val="24"/>
        </w:rPr>
        <w:t xml:space="preserve">The frame defended here is an expansion of what an author can be, not a subtraction from it (§I). This section pays that claim’s rent in the only currency that matters: interpretive gain. The harmony of Plato and Aristotle is not a novel proposal — a reader may hold, with a long and serious tradition, that the two corpora substantially agree, and that Aristotle’s criticisms conceal a deeper loyalty. The question a careful editor of that tradition would put to this paper is exact: what does the configurational unit explain that harmonism, already available, does not? This section answers with one worked case, framed by a text in which the corpus itself models how apparent refutation is to be read.</w:t>
      </w:r>
    </w:p>
    <w:p>
      <w:pPr>
        <w:pStyle w:val="Heading2"/>
        <w:spacing w:after="120" w:before="240"/>
      </w:pPr>
      <w:r>
        <w:rPr>
          <w:rFonts w:ascii="Times New Roman" w:cs="Times New Roman" w:eastAsia="Times New Roman" w:hAnsi="Times New Roman"/>
          <w:b/>
          <w:bCs/>
          <w:i/>
          <w:iCs/>
          <w:sz w:val="24"/>
          <w:szCs w:val="24"/>
        </w:rPr>
        <w:t xml:space="preserve">X.1. The Difference Stated</w:t>
      </w:r>
    </w:p>
    <w:p>
      <w:pPr>
        <w:spacing w:line="480"/>
        <w:ind w:firstLine="720"/>
        <w:jc w:val="both"/>
      </w:pPr>
      <w:r>
        <w:rPr>
          <w:rFonts w:ascii="Times New Roman" w:cs="Times New Roman" w:eastAsia="Times New Roman" w:hAnsi="Times New Roman"/>
          <w:sz w:val="24"/>
          <w:szCs w:val="24"/>
        </w:rPr>
        <w:t xml:space="preserve">Harmonism, in its strongest recent form, holds that Plato and Aristotle agree in fundamentals and that the appearance of opposition is an artifact of method — most precisely, in Polansky and Macfarlane’s formulation, that Aristotle deliberately reads Plato’s figures literally, “appearing to misunderstand” them while “really getting to their very essence” (2005, 266). The configurational extension proposed here is not more agreement. It is a shift in the unit of description: the recurrent production of opposition is itself an authored function. On this account the position signed “Plato” generates the open, figurative, dialogical form, and the position signed “Aristotle” occupies the literalizing, differentiating, systematizing function through which that form is transmitted — by controlled apparent refutation. Harmony describes a state; the configuration describes an operation, and asks why the operation recurs.</w:t>
      </w:r>
    </w:p>
    <w:p>
      <w:pPr>
        <w:pStyle w:val="Heading2"/>
        <w:spacing w:after="120" w:before="240"/>
      </w:pPr>
      <w:r>
        <w:rPr>
          <w:rFonts w:ascii="Times New Roman" w:cs="Times New Roman" w:eastAsia="Times New Roman" w:hAnsi="Times New Roman"/>
          <w:b/>
          <w:bCs/>
          <w:i/>
          <w:iCs/>
          <w:sz w:val="24"/>
          <w:szCs w:val="24"/>
        </w:rPr>
        <w:t xml:space="preserve">X.2. The Worked Case</w:t>
      </w:r>
    </w:p>
    <w:p>
      <w:pPr>
        <w:spacing w:line="480"/>
        <w:ind w:firstLine="720"/>
        <w:jc w:val="both"/>
      </w:pPr>
      <w:r>
        <w:rPr>
          <w:rFonts w:ascii="Times New Roman" w:cs="Times New Roman" w:eastAsia="Times New Roman" w:hAnsi="Times New Roman"/>
          <w:sz w:val="24"/>
          <w:szCs w:val="24"/>
        </w:rPr>
        <w:t xml:space="preserve">Metaphysics A 6 reports the theory of Forms in deliberately flat terms: sensibles exist by methexis in the Forms, and only the name “participation” was new, the Pythagoreans having said mimesis — while what the participation or the imitation could be, Aristotle observes, was left an open question (987b11–14). The flatness is the method. A figure — participation — is stated as though it were a mechanism, found wanting as a mechanism, and attacked as such: the aporiai of A 9 and the campaigns of M–N prosecute the literal sense to exhaustion. Polansky and Macfarlane’s observation is that this prosecution is not misreading but disclosure: by exploding the literal construal, Aristotle forces the figurative status of Plato’s language into the open, exposing what the figure was doing — and the metaphysical work it gestured at. On their reconstruction, that work is the participation of Forms in one another: each Form is only by partaking of Being, Same, and Other, so that every Form is, in a disciplined sense, a number of Forms — with the One and the Indefinite Dyad, limit and unlimited, as the principles of this mutual constitution. They observe, further, that Aristotle’s own architecture is built as the contrast case: the insistence, at the close of Metaphysics Z–Θ and throughout Λ, that being is ultimately simple — culminating in a god who is simple and thinks only itself — is intelligible as a constructed antithesis to Form-Number, simplicity set against constitutive participation. And they observe, decisively for the present argument, that the method has a pedigree: what Aristotle does to Plato “he learned from Plato’s own dialogues” and their treatment of predecessors (2005, 265). The dialogues stage exactly this operation on Heraclitus, on Parmenides, on Protagoras — the predecessor’s insight rendered flat, prosecuted in its flat form, and thereby forced to yield its figurative content under pressure. Here the two frames divide, and the rent falls due. The loyalty reading explains why Aristotle criticizes without finally abandoning Plato: a devoted student may attack the letter to serve the spirit. What it does not explain is the recurrence with role-reversal: the same operation, run first inside the Platonic corpus on the predecessors, then on that corpus from the position signed “Aristotle” — the attacked text having itself been the operation’s earlier operator. Loyalty is a relation between persons and accounts for a disposition; it does not predict that the criticism will take the form of a transmissional method already staged, as method, within the criticized work. The configurational frame gives a unified account of precisely this recurrence, because on that frame the operation belongs to the project, not to a person: literalization-and-explosion is how the project moves its figurative content across generations of readers, and the operation structurally requires two differentiated positions to run — one to generate the figure, one to prosecute it. Opposition is not the project’s failure mode. It is the project’s transmission form, and the differentiated signatures are its operating requirement. That is what the configurational unit buys that harmonism does not: an explanation of why, on this frame, the agreement must look like disagreement, every time.</w:t>
      </w:r>
    </w:p>
    <w:p>
      <w:pPr>
        <w:pStyle w:val="Heading2"/>
        <w:spacing w:after="120" w:before="240"/>
      </w:pPr>
      <w:r>
        <w:rPr>
          <w:rFonts w:ascii="Times New Roman" w:cs="Times New Roman" w:eastAsia="Times New Roman" w:hAnsi="Times New Roman"/>
          <w:b/>
          <w:bCs/>
          <w:i/>
          <w:iCs/>
          <w:sz w:val="24"/>
          <w:szCs w:val="24"/>
        </w:rPr>
        <w:t xml:space="preserve">X.3. The Corpus’s Own Frame for Reading Such an Operation</w:t>
      </w:r>
    </w:p>
    <w:p>
      <w:pPr>
        <w:spacing w:line="480"/>
        <w:ind w:firstLine="720"/>
        <w:jc w:val="both"/>
      </w:pPr>
      <w:r>
        <w:rPr>
          <w:rFonts w:ascii="Times New Roman" w:cs="Times New Roman" w:eastAsia="Times New Roman" w:hAnsi="Times New Roman"/>
          <w:sz w:val="24"/>
          <w:szCs w:val="24"/>
        </w:rPr>
        <w:t xml:space="preserve">A transmission that proceeds by staged refutation imposes a known cost on its readers, and the corpus prices that cost in advance, at its most carefully framed moment. In the Phaedo, the objections of Simmias and Cebes have just wrecked the argument for the soul, and the despair travels outward through every layer of the text: the companions fall silent, and then the outer frame itself breaks — Echecrates interrupts the narration to confess that he, the listener at one further remove, has lost confidence too (88c–d). The dialogue stages the reader’s crisis before treating it. Socrates’ treatment is a diagnosis by analogy: let us not become misologoi as some become misanthropoi, for there is no greater evil one can suffer than to hate logoi (89d). Both hatreds arise the same way — from trusting aneu technes, without the relevant skill, and then, when trust is repeatedly betrayed, concluding that nothing is sound in anything at all (ouden hygies, 89e). The application to arguments is exact: one trusts a logos as true without the techne concerning logoi, watches it fall, repeats the experience — especially, Socrates says, those who spend their time in antilogic arguments (90b–c) — and ends by blaming the logoi rather than one’s own want of skill, when the truth is otherwise: the failure is in the reader, and the duty is to keep faith with the logos while acquiring the skill (90d–e). The passage does not, of course, instruct anyone to harmonize Plato with Aristotle; no such reading is claimed here. What it supplies is an internal hermeneutic model with a precise fit to the case at hand. The encounter between the Republic and the Metaphysics is, for any reader, the supreme antilogic experience the tradition affords: the corpus’s most authoritative texts prosecuting one another. The passage does not decide between harmonist and conflict-centered readings; it establishes a narrower discipline: apparent refutation does not by itself settle the status of the larger logos, and the reader is charged to test whether the failure lies in the formulations or in the reading before concluding that nothing sound remains. What the Phaedo diagnoses is the foreclosure — concluding from the collapse of formulations that no larger logos is there to be sought. A corpus that transmits by staged explosion, and that contains, at its dramatic center, this schooling against despair at explosions, is a corpus whose parts fit together suggestively well — a fit here claimed as design-consistent, in the tiered vocabulary of §II, and nothing stronger.</w:t>
      </w:r>
    </w:p>
    <w:p>
      <w:pPr>
        <w:pStyle w:val="Heading2"/>
        <w:spacing w:after="120" w:before="240"/>
      </w:pPr>
      <w:r>
        <w:rPr>
          <w:rFonts w:ascii="Times New Roman" w:cs="Times New Roman" w:eastAsia="Times New Roman" w:hAnsi="Times New Roman"/>
          <w:b/>
          <w:bCs/>
          <w:i/>
          <w:iCs/>
          <w:sz w:val="24"/>
          <w:szCs w:val="24"/>
        </w:rPr>
        <w:t xml:space="preserve">X.4. The Tradition, as Pressure</w:t>
      </w:r>
    </w:p>
    <w:p>
      <w:pPr>
        <w:spacing w:line="480"/>
        <w:ind w:firstLine="720"/>
        <w:jc w:val="both"/>
      </w:pPr>
      <w:r>
        <w:rPr>
          <w:rFonts w:ascii="Times New Roman" w:cs="Times New Roman" w:eastAsia="Times New Roman" w:hAnsi="Times New Roman"/>
          <w:sz w:val="24"/>
          <w:szCs w:val="24"/>
        </w:rPr>
        <w:t xml:space="preserve">The proposal does not arise against an unbroken record of readers finding only quarrel. From the beginning of the reception, the strongest readers have treated the opposition as internal to something shared. Antiochus, in Cicero’s report, held that the Academy and the Peripatos constituted one self-agreeing system of philosophy under two names — una et consentiens duobus vocabulis philosophiae forma — differing in vocabulary while agreeing in substance (Cicero, Acad. Post. 1.17). The late-antique commentators made the harmony an exegetical duty: Simplicius states that the worthy interpreter must seek out the concord of the philosophers rather than convict them of discord (in Cat. 7.23–32 Kalbfleisch; Barney 2009), and Porphyry, who wrote a treatise on the one school of Plato and Aristotle (Suda s.v. Porphyrios; Karamanolis 2006), became the first Platonist commentator on Aristotle because he read him so. Boethius planned his double program of translation to demonstrate the concord; the Renaissance concordists renewed the project; and the view has returned to the center of the field in Gadamer’s reading of the two as one enterprise (1986) and in the monographs of Gerson (2005; 2013) and Karamanolis (2006), the latter concluding that the harmonists were not ill-founded and their despisers the weaker party (Gerson 2006) — this of a thesis a leading historian of the commentators could still call “a perfectly crazy proposition” (Sorabji 1990, as quoted at Gerson 2006). Polansky and Macfarlane’s mechanism belongs to this line and sharpens it to a point. None of this is evidence for the present hypothesis in any strict sense; the conventional frame has resources — school, succession, shared problems, loyalty, exegetical agendas — that account for much of it. What the record establishes is narrower and firmer: readers working under conventional individuation have, in every era, encountered a degree of architectural coherence that exceeded what succession and quarrel could naturally carry, and have been licensed to state it only in the vocabulary of influence, loyalty, and school. The perception is old, recurrent, and real. Those readers describe agreement. The present hypothesis shifts the unit — from doctrinal agreement to authorial function — and thereby gives the recurrent perception a job to do rather than an embarrassment to survive.</w:t>
      </w:r>
    </w:p>
    <w:p>
      <w:pPr>
        <w:pStyle w:val="Heading2"/>
        <w:spacing w:after="120" w:before="240"/>
      </w:pPr>
      <w:r>
        <w:rPr>
          <w:rFonts w:ascii="Times New Roman" w:cs="Times New Roman" w:eastAsia="Times New Roman" w:hAnsi="Times New Roman"/>
          <w:b/>
          <w:bCs/>
          <w:i/>
          <w:iCs/>
          <w:sz w:val="24"/>
          <w:szCs w:val="24"/>
        </w:rPr>
        <w:t xml:space="preserve">X.5. The Tiers, Held</w:t>
      </w:r>
    </w:p>
    <w:p>
      <w:pPr>
        <w:spacing w:line="480"/>
        <w:ind w:firstLine="720"/>
        <w:jc w:val="both"/>
      </w:pPr>
      <w:r>
        <w:rPr>
          <w:rFonts w:ascii="Times New Roman" w:cs="Times New Roman" w:eastAsia="Times New Roman" w:hAnsi="Times New Roman"/>
          <w:sz w:val="24"/>
          <w:szCs w:val="24"/>
        </w:rPr>
        <w:t xml:space="preserve">Nothing in this section requires the maximal reading. The functional claim — that literalization-and-explosion is an operation of the project, requiring differentiated positions — is argued from the texts and stands at the paper’s primary tier (§II) whatever the biology of the hands. The coordinated-project realization remains the live historical construal; the single-author ceiling remains what §XII and §XIV price: the most consequential possibility, refuted by no surviving object (§XIV.A), and not defended here. The constellation’s edge — whether the operation’s candidacies extend beyond the triad — is §XIII’s business. What this section has tried to show is smaller and harder: one ancient operation, visible in Metaphysics A 6 against its Platonic sources, that a reader understands differently — and, it has been argued, better — when the unit of authorship is allowed to expand.</w:t>
      </w:r>
    </w:p>
    <w:p>
      <w:pPr>
        <w:pStyle w:val="Heading1"/>
        <w:spacing w:after="120" w:before="240"/>
      </w:pPr>
      <w:r>
        <w:rPr>
          <w:rFonts w:ascii="Times New Roman" w:cs="Times New Roman" w:eastAsia="Times New Roman" w:hAnsi="Times New Roman"/>
          <w:b/>
          <w:bCs/>
          <w:i w:val="false"/>
          <w:iCs w:val="false"/>
          <w:sz w:val="26"/>
          <w:szCs w:val="26"/>
        </w:rPr>
        <w:t xml:space="preserve">XI. Aristotle on Plato: The Heteronym Reads Itself</w:t>
      </w:r>
    </w:p>
    <w:p>
      <w:pPr>
        <w:spacing w:line="480"/>
        <w:ind w:firstLine="720"/>
        <w:jc w:val="both"/>
      </w:pPr>
      <w:r>
        <w:rPr>
          <w:rFonts w:ascii="Times New Roman" w:cs="Times New Roman" w:eastAsia="Times New Roman" w:hAnsi="Times New Roman"/>
          <w:sz w:val="24"/>
          <w:szCs w:val="24"/>
        </w:rPr>
        <w:t xml:space="preserve">Aristotle’s testimony in Metaphysics A 6 is the locus classicus for the Socratic problem in classical philology. Aristotle distinguishes Plato’s doctrine of forms from Socrates’ positions, identifies certain doctrines as Platonic innovations on Socratic foundations, and provides what is taken as the strongest external evidence for separating the historical Socrates from the Platonic literary character. Two millennia of Socratic-problem literature has organized itself around this testimony. The heteronymic reading offers an additional way to read this passage, not in opposition to the orthodox interpretation but supplementing it. Aristotle’s testimony can be read not merely as</w:t>
      </w:r>
    </w:p>
    <w:p>
      <w:pPr>
        <w:spacing w:line="480"/>
        <w:ind w:firstLine="720"/>
        <w:jc w:val="both"/>
      </w:pPr>
      <w:r>
        <w:rPr>
          <w:rFonts w:ascii="Times New Roman" w:cs="Times New Roman" w:eastAsia="Times New Roman" w:hAnsi="Times New Roman"/>
          <w:sz w:val="24"/>
          <w:szCs w:val="24"/>
        </w:rPr>
        <w:t xml:space="preserve">external historical evidence disambiguating two independent thinkers but also as the configuration’s own systematizing position distinguishing the functions it inherits. He distinguishes the orthonymic operation (the founding gesture) from the survival-heteronymic operation (the dialogic preservation) in order to perform his own function (the systematic transmission). The distinction is structural as well as biographical. The orthodox tradition has read Aristotle’s distinction as only biographical — as if Aristotle were reporting on two distinct historical individuals. The heteronymic reading proposes that Aristotle’s distinction is also configurational: he is reporting on what the configuration requires the systematizing-heteronymic position to do, which is precisely to differentiate the functions it inherits and transmit them under teachable form. On this reading, Aristotle’s Metaphysics A 6 is the configuration’s own internal self-documentation, performed by the position structurally summoned to perform it. The biographical and structural readings are compatible; the heteronymic reading adds the structural dimension without claiming the biographical dimension is illusory.</w:t>
      </w:r>
    </w:p>
    <w:p>
      <w:pPr>
        <w:pStyle w:val="Heading1"/>
        <w:spacing w:after="120" w:before="240"/>
      </w:pPr>
      <w:r>
        <w:rPr>
          <w:rFonts w:ascii="Times New Roman" w:cs="Times New Roman" w:eastAsia="Times New Roman" w:hAnsi="Times New Roman"/>
          <w:b/>
          <w:bCs/>
          <w:i w:val="false"/>
          <w:iCs w:val="false"/>
          <w:sz w:val="26"/>
          <w:szCs w:val="26"/>
        </w:rPr>
        <w:t xml:space="preserve">XII. The Biological-Individuation Model as Historically Contingent</w:t>
      </w:r>
    </w:p>
    <w:p>
      <w:pPr>
        <w:spacing w:line="480"/>
        <w:ind w:firstLine="720"/>
        <w:jc w:val="both"/>
      </w:pPr>
      <w:r>
        <w:rPr>
          <w:rFonts w:ascii="Times New Roman" w:cs="Times New Roman" w:eastAsia="Times New Roman" w:hAnsi="Times New Roman"/>
          <w:sz w:val="24"/>
          <w:szCs w:val="24"/>
        </w:rPr>
        <w:t xml:space="preserve">The assumption that has obscured the heteronymic configuration of the foundational corpus is the biological-individuation model of authorship: the assumption that each biological human individual constitutes one author, that authorial identity is constituted by biological-civil identity, and that authorial works are sortable by which biological substrate produced them. This model is so deeply embedded in modern philology that it has the appearance of a definition rather than an assumption. It is an assumption, and it is historically specific. The model emerges in its current form in the romantic period and consolidates through the nineteenth and twentieth centuries alongside the legal-individualist conceptions of intellectual property, copyright, biographical literary criticism, and the autobiographical conception of authorial truth. The model is widely recognized as historically contingent in twentieth- and twenty-first-century critical theory. Foucault’s “What Is an Author?” (1969) and Barthes’s “The Death of the Author” (1967) both articulate, from different angles, the contingency of the modern author-function. Roger Chartier’s work on the history of authorship and print culture (e.g., The Order of Books, 1994) historicizes the construction. Harold Love’s Attributing Authorship: An Introduction (2002) provides a methodological framework for attributing authorship that already presupposes more complex models than one-body-one-author. Walter Ong’s Orality and Literacy (1982) traces the historical-cognitive transition. Pierre Hadot’s Philosophy as a Way of Life (1995) reframes ancient philosophy as school-transmission rather than individual authorship. This paper joins that critical-theoretical conversation by proposing that the contingency of the biological-individuation model has consequences specifically for the Socratic-Platonic-Aristotelian configuration. In every premodern case of comparable structural complexity that philology has examined — the workshops of medieval scribes; the redactional layers of biblical and rabbinic literatures; the anonymous and pseudonymous traditions of Hellenistic philosophy; the school-formations of the Stoa, the Academy, the Lyceum, the Garden; the Homeric question; the Shakespearean authorship question; the multi-author construction of the Pauline corpus; the dialogic traditions surrounding the Buddha and Confucius — the orthodox tradition has eventually been forced to acknowledge authorial structures more</w:t>
      </w:r>
    </w:p>
    <w:p>
      <w:pPr>
        <w:spacing w:line="480"/>
        <w:ind w:firstLine="720"/>
        <w:jc w:val="both"/>
      </w:pPr>
      <w:r>
        <w:rPr>
          <w:rFonts w:ascii="Times New Roman" w:cs="Times New Roman" w:eastAsia="Times New Roman" w:hAnsi="Times New Roman"/>
          <w:sz w:val="24"/>
          <w:szCs w:val="24"/>
        </w:rPr>
        <w:t xml:space="preserve">complex than one-body-one-author. The heteronymic reading proposes that the Socratic configuration is not exceptional in this respect but exemplary: it is the founding case in Western philosophy of a configuration whose structural complexity exceeds the biological-individuation model, and it has been read otherwise only because the modern philological tradition projected its own historical authorial model backward onto the configuration that produced it. The paper does not undertake substantive analysis of the comparative cases (Pauline, Confucian, Buddhist, Hellenistic-school) here. It notes them as the comparative horizon within which the Socratic configuration may eventually be read alongside other configurations exhibiting functional authorial distribution. Those comparative analyses await their own studies.</w:t>
      </w:r>
    </w:p>
    <w:p>
      <w:pPr>
        <w:pStyle w:val="Heading2"/>
        <w:spacing w:after="120" w:before="240"/>
      </w:pPr>
      <w:r>
        <w:rPr>
          <w:rFonts w:ascii="Times New Roman" w:cs="Times New Roman" w:eastAsia="Times New Roman" w:hAnsi="Times New Roman"/>
          <w:b/>
          <w:bCs/>
          <w:i/>
          <w:iCs/>
          <w:sz w:val="24"/>
          <w:szCs w:val="24"/>
        </w:rPr>
        <w:t xml:space="preserve">XII.A. Volume and Genre Breadth: The Quantitative-Comparative Case</w:t>
      </w:r>
    </w:p>
    <w:p>
      <w:pPr>
        <w:spacing w:line="480"/>
        <w:ind w:firstLine="720"/>
        <w:jc w:val="both"/>
      </w:pPr>
      <w:r>
        <w:rPr>
          <w:rFonts w:ascii="Times New Roman" w:cs="Times New Roman" w:eastAsia="Times New Roman" w:hAnsi="Times New Roman"/>
          <w:sz w:val="24"/>
          <w:szCs w:val="24"/>
        </w:rPr>
        <w:t xml:space="preserve">A second assumption operates implicitly alongside the biological-individuation model and deserves separate treatment: the assumption that the volume of the Plato-Aristotle corpus is too large for a single sustained intellectual project, such that multi-author readings recommend themselves on quantitative grounds independent of the biographical-individuation argument. This assumption is rarely articulated explicitly in the Socratic-problem literature but functions in the background of many readers’ intuitions when they encounter the configuration. It deserves direct address because, like the biological-individuation model, it is demonstrably counter-factual once tested against the empirical comparative record. The Plato-Aristotle corpus in quantitative terms. The Platonic corpus extant in the manuscript tradition runs to approximately 600,000–900,000 words in Greek across roughly thirty-six dialogues plus the Letters and a small number of disputed minor works (the Stephanus pagination encompasses roughly 2,000 pages; the Cooper Complete Works one-volume Hackett edition runs to approximately 1,800 English pages). The Aristotelian corpus extant from the Lyceum manuscripts runs to approximately 1,200,000–1,500,000 words in Greek across the Organon, the Physics, the biological treatises (Historia Animalium, De Partibus, De Generatione Animalium, etc.), the Metaphysics, the two Ethics, the Politics, the Rhetoric, the Poetics, and the surrounding works (the Bekker edition is 1,462 pages of dense double-column Greek). The combined extant corpus is therefore approximately 1.8–2.4 million words. The lost output is significant: Cicero on Aristotle’s “golden river” of lost dialogues; the Lyceum’s 158 Politeiai constitutional surveys (only the Athenaion Politeia survives); the agrapha dogmata of Plato transmitted orally at the Academy (testified to by Aristotle himself and the Tübingen reconstruction). The full original output was substantially larger than what survives. The composition window runs from approximately 387 BCE (founding of the Academy, beginning of Plato’s mature writing) to 322 BCE (Aristotle’s death) — about sixty-five years of sustained intellectual production with substantial generational overlap. Comparative cases of documented single-author corpora. The volume claim that 1.8–2.4 million words exceeds what a single sustained intellectual project produces is straightforwardly refuted by the comparative record across multiple well-documented cases:</w:t>
      </w:r>
    </w:p>
    <w:p>
      <w:pPr>
        <w:spacing w:line="480"/>
        <w:ind w:firstLine="720"/>
        <w:jc w:val="both"/>
      </w:pPr>
      <w:r>
        <w:rPr>
          <w:rFonts w:ascii="Times New Roman" w:cs="Times New Roman" w:eastAsia="Times New Roman" w:hAnsi="Times New Roman"/>
          <w:sz w:val="24"/>
          <w:szCs w:val="24"/>
        </w:rPr>
        <w:t xml:space="preserve">Fernando Pessoa: some 25,000–30,000 manuscript pages across twenty-five working years (1910–1935), the heteronyms spanning doctrinally incompatible poetics — an archive exceeding the classical corpus in volume and breadth, one biological substrate, fully documented. Edmund Husserl: over 40,000 manuscript pages across fifty years. Thomas Aquinas: roughly 8.5 million words in twenty-five working years — the Summa Theologica alone approaching the extant Plato, the corpus entire substantially exceeding the combined Plato–Aristotle output. Søren Kierkegaard: some 15,000 pages, published and journals together, in fifteen years, across a dozen pseudonymous positions. G. W. F. Hegel: roughly 10,000 pages of dense system across thirty years. One biological substrate in every case.</w:t>
      </w:r>
    </w:p>
    <w:p>
      <w:pPr>
        <w:spacing w:line="480"/>
        <w:ind w:firstLine="720"/>
        <w:jc w:val="both"/>
      </w:pPr>
      <w:r>
        <w:rPr>
          <w:rFonts w:ascii="Times New Roman" w:cs="Times New Roman" w:eastAsia="Times New Roman" w:hAnsi="Times New Roman"/>
          <w:sz w:val="24"/>
          <w:szCs w:val="24"/>
        </w:rPr>
        <w:t xml:space="preserve">The comparative point is a counterexample, not a law. Each of these single-author cases produces output volume comparable to, equal to, or exceeding the combined Plato-Aristotle extant corpus, across composition windows often shorter than the Socratic-Platonic-Aristotelian sixty-five-year window. The cases are selected, not sampled, and they establish no statistical category; what they refute is any intuition that the combined corpus is quantitatively beyond the productive capacity of one sustained authorial life. The argument’s force. Volume, it follows, provides no independent argument for biological plurality: the corpus sits within the demonstrated capacity of one sustained authorial life, so the multi-author inference must rest on other grounds. Under the received chronology, the relevant constraint is lifespan, not volume (Plato died at approximately 80, Aristotle at 62, and the configuration’s compositional activity spans roughly ninety years — more than one classical Greek lifespan affords), and it is that constraint, on the functional and coordinated readings, that distributes the project across persons. Under the maximal reading, the chronology is itself part of the evidentiary question priced in §XIV. On no tier does the size of the corpus decide anything.</w:t>
      </w:r>
    </w:p>
    <w:p>
      <w:pPr>
        <w:spacing w:line="480"/>
        <w:ind w:firstLine="720"/>
        <w:jc w:val="both"/>
      </w:pPr>
      <w:r>
        <w:rPr>
          <w:rFonts w:ascii="Times New Roman" w:cs="Times New Roman" w:eastAsia="Times New Roman" w:hAnsi="Times New Roman"/>
          <w:sz w:val="24"/>
          <w:szCs w:val="24"/>
        </w:rPr>
        <w:t xml:space="preserve">The logos-possessed condition. What unites these cases is phenomenological as well as quantitative. Pessoa described his most intense compositional episodes as trance — the Caeiro corpus written in a single day of March 1914 is the documented case — and Aquinas, after the experience of December 1273, ceased writing the Summa with the judgment that all he had written seemed like straw beside what he had seen. The operator’s relation to work at this scale is that of being possessed by the work: the condition §III.B names operative, of which the willing death for logos is the founding gesture. What the comparative record demonstrates is narrower and stronger: output at this scale is what such lives produce, and the Plato-Aristotle corpus is not beyond one of them. Whether the configuration in fact required more than one body is a question the volume cannot answer. Under the received chronology it did, for reasons of lifespan and of register (the orthonymic non-writing, the dialogic mode, and the treatise mode are three modes not operated simultaneously by one hand in the record as we have it); under the maximal reading, that requirement is part of what §XIV prices. The volume itself is silent on the count. A dedicated comparative study of lifetime output at this scale — Plotinus, Augustine, Maimonides, Spinoza, Leibniz, Goethe among the further cases — is deferred; the present form suffices to defuse the quantitative objection.</w:t>
      </w:r>
    </w:p>
    <w:p>
      <w:pPr>
        <w:pStyle w:val="Heading1"/>
        <w:spacing w:after="120" w:before="240"/>
      </w:pPr>
      <w:r>
        <w:rPr>
          <w:rFonts w:ascii="Times New Roman" w:cs="Times New Roman" w:eastAsia="Times New Roman" w:hAnsi="Times New Roman"/>
          <w:b/>
          <w:bCs/>
          <w:i w:val="false"/>
          <w:iCs w:val="false"/>
          <w:sz w:val="26"/>
          <w:szCs w:val="26"/>
        </w:rPr>
        <w:t xml:space="preserve">XIII. The Edge of the Configuration: Xenophon, Aristophanes, and the</w:t>
      </w:r>
    </w:p>
    <w:p>
      <w:pPr>
        <w:spacing w:line="480"/>
        <w:ind w:firstLine="720"/>
        <w:jc w:val="both"/>
      </w:pPr>
      <w:r>
        <w:rPr>
          <w:rFonts w:ascii="Times New Roman" w:cs="Times New Roman" w:eastAsia="Times New Roman" w:hAnsi="Times New Roman"/>
          <w:sz w:val="24"/>
          <w:szCs w:val="24"/>
        </w:rPr>
        <w:t xml:space="preserve">Chaerephon Problem The three-position model invites an immediate objection, and the objection deserves the dignity of a direct answer rather than a scope disclaimer. Socratic literature was not written by Plato and Aristotle alone. Xenophon composed a Socratic corpus of his own — an Apology, a Memorabilia, a Symposium, an Oeconomicus — and a substantial recent scholarship, led by Dorion’s rehabilitation of Xenophon, has restored that corpus to serious philosophical standing. Aristophanes staged Socrates in the Clouds in 423 BCE, a quarter-century before the trial, and Plato’s Apology answers the comedy explicitly (18b–19c): the “old accusers” the defense must meet first are the comic poet’s. Are these figures external witnesses to the configuration, or candidates for positions within it? The honest answer is that the method developed in this paper cannot classify them as external in advance — and seeing why is a finding about the method, not an embarrassment to it. §XII argued that documentary separateness between authorial positions is not evidence against a configurational reading, because separateness is the first thing a mature heteronymic construction produces. But that premise, once granted, has no position-specific force. To exclude an adjacent figure from the configuration while admitting the three, the method would need a criterion the excluded figure fails and the admitted positions pass. Documentary separateness cannot be that criterion: the method has reclassified it as a construction-product, and the admitted positions possess it too. Stylistic difference cannot: distinct styles are a deliverable of competent construction — Pessoa’s heteronyms are stylistically distinct on purpose. Ideological conflict cannot: §VIII reads conflict as configurational operation, so this criterion would include Aristophanes rather than exclude him. Biographical reality cannot: a heteronym that failed to survive as an independent person would be a transparent pseudonym, and would fail. Every candidate criterion is either a feature the method has already reclassified as constructed, or a feature the admitted positions would also fail. There is no internal stopping rule. The boundary of the configuration falls wherever the analyst chooses to stop, and choice is not a criterion. This result — call it the no-floor property — should be stated plainly rather than managed. A method that cannot halt its own regress is telling you what kind of method it is: an instrument for revealing functional structure, not for discovering identities. The moment functional analysis is permitted to make biographical claims, it has no floor and consumes every adjacent name. The discipline that follows is therefore imposed on the method from outside, as a firewall: biographical identity requires evidence; functional identity requires pattern. These are different claim-types with different burdens of proof, and the stability of everything in this paper depends on never letting the second masquerade as the first. The firewall yields a scope rule, and it should be stated. Functional analysis alone cannot determine historical membership, and this paper claims no discovery of the configuration’s complete boundary. The three-position model is bounded by two independent warrants: the received tradition itself supplies the direct transmission sequence — Socrates, Plato, Aristotle — and those positions instantiate the three registers under analysis: non-writing philosophical performance, dialogical preservation, systematic exposition. Xenophon and Aristophanes test the model’s extensibility; they do not enter the core merely because functional descriptions can be assigned to them. With the firewall in place, Xenophon and Aristophanes enter the analysis in the only register the evidence supports: as candidates for functional positions, to be evaluated on pattern. And the pattern is striking, because the candidate functions are complementary to the three established positions in a way that is at least too well-fitted to pass unexamined. Aristophanes permits comic deformation: the central figure is pre-deformed before the city a generation ahead of the trial, and the eventual defense is structured as an answer to the deformation — the Apology cannot begin until the Clouds has been addressed. The binding runs both ways, and the corpus exhibits it. The Symposium does not mention Aristophanes; it performs him — the staged hiccups (185c–e), the comic reordering of the speakers, and the circle-people myth (189d–193d), a fully achieved comic-cosmological register produced by the hand signed “Plato” and seated, warmly, beside the man whose play the Apology blames. Comedy captured philosophy first; here philosophy writes comedy back. And the dialogue’s last argument states the principle: at dawn, with only three still awake, Socrates compels Agathon and Aristophanes to concede that the same man should know how to write comedy and tragedy both (Symposium 223d) — a thesis about genre-unification under one author, delivered to the comedian, who falls asleep rather than refute it. The demonstration cuts both ways — a ventriloquist of that order explains the speeches without the configuration — and it is offered here as pattern, under the firewall, nothing more. Xenophon permits civic memorialization: a regime-compatible Socrates, useful to the city, whose memoir lowers the political cost of the figure the dialogues elevate — precisely the register Plato’s Socrates cannot occupy without ceasing to be Plato’s Socrates. Aristotle, already inside the model as systematizer, performs one further operation worth naming here: in the Poetics (1447b) he classifies the Sokratikoi logoi as a mimetic genre — the systematizing position itself filing the configuration’s literature under imitation, a genre, he notes, that lacks a name. And between the comic and the sacred registers stands the small figure who connects them. Chaerephon of Sphettus asks the question that founds the mission: whether anyone is wiser than Socrates (Apology 20e–21b). The structure of the founding is worth pausing over. The orthonym cannot pose that question on his own behalf — to ask after one’s own wisdom is to forfeit the gesture of not claiming it — so the founding authorization arrives displaced: the friend asks, the god answers, and Socrates receives his mission as a riddle to interpret rather than a claim to make. Call the function displaced authorization; a companion study (reference withheld for anonymous review) gives it full specification on the model of §V. The function recurs across signatures: Xenophon preserves a separate version of the oracle (Apology 14), and</w:t>
      </w:r>
    </w:p>
    <w:p>
      <w:pPr>
        <w:spacing w:line="480"/>
        <w:ind w:firstLine="720"/>
        <w:jc w:val="both"/>
      </w:pPr>
      <w:r>
        <w:rPr>
          <w:rFonts w:ascii="Times New Roman" w:cs="Times New Roman" w:eastAsia="Times New Roman" w:hAnsi="Times New Roman"/>
          <w:sz w:val="24"/>
          <w:szCs w:val="24"/>
        </w:rPr>
        <w:t xml:space="preserve">Aristophanes places Chaerephon inside the Thinkery as Socrates’ familiar (Clouds 104, 144–168). Under the conventional partition, this is corroboration: distinct authors converging on a shared historical associate. Under a configurational reading, it is what the model expects: the recurrence of a load-bearing function across the signatures that share the project. What makes Chaerephon diagnostic rather than merely interesting is the shape of his attestation. The early surviving record of the man is confined to Plato, Xenophon, and Aristophanes — the same small authorial field that constructs, defends, or responds to Socrates (Moore 2013; Nails 2002). And the later biographical tradition does not escape that field: the Suda’s entry on Chaerephon (χ 159), our fullest lexical notice, is sourced from the scholia to Clouds 144 — the biographical record is downstream of the comic text — while his one individuating anchor, the deme Sphettus, may itself be a comic pun on sphex, “wasp” (Henderson, Loeb 488, n. 14). The traditions that would have to be independent for the corroboration reading to carry its ordinary force were never, in the record we actually possess, struck apart. This does not establish the configurational reading. It establishes something prior: that “corroboration among independent sources” and “consistency within a distributed project” are competing interpretations of the same evidence, and that the discipline has operated as though only the first were available. Candidacy, finally, is not membership. This paper does not admit Xenophon, Aristophanes, or Chaerephon to the configuration; it argues that the question of their admission is real, unformulated until now, and undecidable by the discipline’s current instruments — and it scopes, in §XVII, the instrument that deciding it would require. The three-position core of the paper stands whichever way the candidacies resolve. What does not stand, after this section, is the assumption that the corpus’s edges are settled.</w:t>
      </w:r>
    </w:p>
    <w:p>
      <w:pPr>
        <w:pStyle w:val="Heading1"/>
        <w:spacing w:after="120" w:before="240"/>
      </w:pPr>
      <w:r>
        <w:rPr>
          <w:rFonts w:ascii="Times New Roman" w:cs="Times New Roman" w:eastAsia="Times New Roman" w:hAnsi="Times New Roman"/>
          <w:b/>
          <w:bCs/>
          <w:i w:val="false"/>
          <w:iCs w:val="false"/>
          <w:sz w:val="26"/>
          <w:szCs w:val="26"/>
        </w:rPr>
        <w:t xml:space="preserve">XIV. The Price of the Maximal Reading</w:t>
      </w:r>
    </w:p>
    <w:p>
      <w:pPr>
        <w:spacing w:line="480"/>
        <w:ind w:firstLine="720"/>
        <w:jc w:val="both"/>
      </w:pPr>
      <w:r>
        <w:rPr>
          <w:rFonts w:ascii="Times New Roman" w:cs="Times New Roman" w:eastAsia="Times New Roman" w:hAnsi="Times New Roman"/>
          <w:sz w:val="24"/>
          <w:szCs w:val="24"/>
        </w:rPr>
        <w:t xml:space="preserve">The question that opened this paper — what if one person wrote the founding corpus? — can now be given its exact standing, which is neither assertion nor dismissal but a price tag. The reading admits three realizations, in ascending order of cost. The functional reading, the paper’s primary claim, costs nothing against the historical record. Different persons, one configuration: many players, one performance. It requires no revision of chronology, biography, or attribution, and it is where the paper’s highest-confidence work is done. The coordinated-project reading costs little more, because the tradition itself supplies most of the purchase. Teacher, student, student, across three generations: the lineage is not this paper’s hypothesis but antiquity’s own report, and “school” already names a deliberate transmission project extending beyond any single lifetime — the Academy outlived Plato by design. The only question this reading adds is whether the discipline’s instruments can distinguish a school from a configuration: whether “influence,” “succession,” and “membership” are observationally different, at this distance, from “position,” “summoning,” and “function.” §XII argued that from internal coherence alone they are not. The maximal reading — one biographical person — collides with the chronology as given, and the collision should be stated without flinching. The Clouds was produced in 423 BCE; Aristotle died in 322: the configuration’s compositional activity spans roughly a century, and §XII.A has already observed that the project requires more biological time than one classical lifespan affords. No single Greek life covers the span. The maximal reading can therefore be sustained only at a price: it must treat the dating apparatus itself as internal to the construction. The price should be itemized rather than gestured at. The chronological scaffolding of the configuration rests on didascalic notices and archon-year anchors whose civic origins are real, but whose transmission to us passes through the corpus’s own scholiastic and biographical tradition — through compilers as late as Diogenes Laertius (third century CE) and the Suda (tenth) — a tradition §XIII has just shown to be entangled, at a load-bearing point, with the very constellation it would need independence from: the biographical record of Chaerephon is sourced from the comic text. The apparatus, in other words, cannot be presumed uniformly independent of the corpus it dates merely because it is civic, scholiastic, or biographical in origin; its independence must be audited source by source. That is the no-floor property operating one level up: on time rather than on persons. The paper does not pay this price. The firewall forbids it: to purchase the maximal reading on coherence alone would be to let pattern masquerade as evidence, which is the one move this paper has bound itself never to make. But the paper does something no prior treatment has done, because no prior treatment has carried the hypothesis far enough for its cost to be stated: it prices the reading. And the price tag is informative in both directions. To the maximalist, it states exactly what would have to be shown — corpus-external anchoring of the chronology, independent of the scholiastic transmission — before the reading could be promoted from heuristic to claim. To the conventional reader, it states exactly which certainties currently rest, in whole or in part, on the corpus’s own report of itself. Neither party has had this information before, because the reading was never formulated seriously enough to be priced. The pricing is the contribution: the reading, held open at its stated price, is on the table for the first time.</w:t>
      </w:r>
    </w:p>
    <w:p>
      <w:pPr>
        <w:pStyle w:val="Heading2"/>
        <w:spacing w:after="120" w:before="240"/>
      </w:pPr>
      <w:r>
        <w:rPr>
          <w:rFonts w:ascii="Times New Roman" w:cs="Times New Roman" w:eastAsia="Times New Roman" w:hAnsi="Times New Roman"/>
          <w:b/>
          <w:bCs/>
          <w:i/>
          <w:iCs/>
          <w:sz w:val="24"/>
          <w:szCs w:val="24"/>
        </w:rPr>
        <w:t xml:space="preserve">XIV.A. The Material Stratum</w:t>
      </w:r>
    </w:p>
    <w:p>
      <w:pPr>
        <w:spacing w:line="480"/>
        <w:ind w:firstLine="720"/>
        <w:jc w:val="both"/>
      </w:pPr>
      <w:r>
        <w:rPr>
          <w:rFonts w:ascii="Times New Roman" w:cs="Times New Roman" w:eastAsia="Times New Roman" w:hAnsi="Times New Roman"/>
          <w:sz w:val="24"/>
          <w:szCs w:val="24"/>
        </w:rPr>
        <w:t xml:space="preserve">One further audit belongs here, because the pricing of the maximal reading is incomplete until the question beneath the chronology has been asked: setting the transmitted dates aside, what material evidence — what surviving objects — attests the configuration’s writers across the span 427–322 BCE at all? The inventory is short. No autograph of Aristophanes, Plato, Xenophon, or Aristotle survives; no physical copy of any text in the configuration exists from within the span. The earliest physical carriers of any of these texts are Ptolemaic papyrus fragments of the third century BCE (the Phaedo fragments among the Petrie papyri are the celebrated case; the full census of Platonic papyri is in the Corpus dei Papiri Filosofici), generations after the events; the corpus as a readable whole exists physically for the first time in Byzantine codices of the ninth and tenth centuries CE, roughly thirteen hundred years downstream. For Aristotle the tradition itself narrates a further rupture: the school treatises willed to Neleus, stored at Skepsis for two centuries, sold, seized, and editorially reconstructed by Andronicus of Rhodes in the first century BCE (Strabo 13.1.54; Plutarch, Sulla 26) — so that every Aristotle we read is downstream of a first-century arrangement. Contemporary objects naming the principals reduce to one: a fragmentary Delphic decree of the 330s (FD III 1, 400; ante 329) praising and crowning “Aristotle of Stagira, son of Nicomachus, and Callisthenes of Olynthus” for compiling the register of Pythian victors — honors the literary tradition reports the Delphians later revoked (Aelian, Varia Historia 14.1). The Athenian dramatic-festival inscriptions (the Fasti, IG</w:t>
      </w:r>
    </w:p>
    <w:p>
      <w:pPr>
        <w:spacing w:line="480"/>
        <w:ind w:firstLine="720"/>
        <w:jc w:val="both"/>
      </w:pPr>
      <w:r>
        <w:rPr>
          <w:rFonts w:ascii="Times New Roman" w:cs="Times New Roman" w:eastAsia="Times New Roman" w:hAnsi="Times New Roman"/>
          <w:sz w:val="24"/>
          <w:szCs w:val="24"/>
        </w:rPr>
        <w:t xml:space="preserve">II² 2318, and the victors’ lists, IG II² 2325; Millis and Olson 2012) record victors, not plays: Clouds placed third and appears on no stone, so the 423 date — the start-point of the chronological collision priced above — exists in exactly one channel, the hypotheses and scholia descending from Aristotle’s lost Didascaliae (on the compilation and transmission of the festival records, Pickard-Cambridge 1988; Millis and Olson 2012). And the one near-contemporary external stone bearing on the constellation, the Parian Marble of 264/3 BCE (IG XII 5, 444 = FGrHist 239, §68), records Socrates’ death “at 70 years of age” — the Apology’s own figure (17d), repeated back at a distance of a hundred and thirty-five years. Within the classical-period span under examination, the presently identified material stratum naming a principal reduces, then, to one fragmentary inscription naming one man — and naming him in the act of compiling records: the archival function. Everything else — the six lives, the three deaths, the successions, the century — belongs to the textual stratum. And the textual stratum is not neutral ground on which the two readings compete. It is what a transmission chain would construct upon receiving a heteronymic corpus, with no one in the chain needing to intend anything: the discipline’s own scholarship has established that ancient biography’s normal operation is to construct persons from texts. Lefkowitz demonstrated that the ancient lives of the Greek poets were largely fabricated by inference from the works — biographies spun out of the corpus, anecdotes reverse-engineered from lines, dates computed from internal references (Lefkowitz 2012; Fairweather 1974). Hand that machine six signatures with built biographies, staged conflicts, and internal cross-dating, and it outputs six documented lives on a century-long timeline — mechanically, faithfully, generation after generation. The Suda’s Chaerephon entry, sourced from the comic scholia (§XIII), is not an anomaly in that system; it is the system observed once, mid-operation. The firewall must hold here in both directions, and it does. This audit does not establish the maximal reading: one inscription bearing a common name, identified through the literary tradition itself, is no evidence of single authorship, and the biographical machine constructs plural lives from genuinely plural authors just as readily as from constructed ones. What the audit removes is the asymmetry. The “confirmation” that the writers were different persons across a century is not a body of evidence standing outside the corpus; it is the corpus’s reception, processed by an apparatus whose documented default behavior is to manufacture exactly such confirmation from exactly such inputs. The symmetric null should therefore be stated flat: the maximal reading is refuted by no surviving object, and the plural reading is confirmed by no surviving object. Both stand before a record whose confirmatory apparatus is known, by conventional scholarship’s own findings, to be generated from the texts whose partition it is invoked to certify. The claim is scoped to the material stratum: the transmitted traditions remain evidence — the functional and coordinated readings of this paper rest on them — but they are evidence of a different kind, reception rather than attestation, and their independence from the corpus must be shown, not presumed. Neither reading holds the ground by default. The ground holds one stone — and the stone, read for pattern with the firewall intact, shows the configuration’s systematizing position, materialized in the act of building the archive that will keep the configuration’s time.</w:t>
      </w:r>
    </w:p>
    <w:p>
      <w:pPr>
        <w:pStyle w:val="Heading1"/>
        <w:spacing w:after="120" w:before="240"/>
      </w:pPr>
      <w:r>
        <w:rPr>
          <w:rFonts w:ascii="Times New Roman" w:cs="Times New Roman" w:eastAsia="Times New Roman" w:hAnsi="Times New Roman"/>
          <w:b/>
          <w:bCs/>
          <w:i w:val="false"/>
          <w:iCs w:val="false"/>
          <w:sz w:val="26"/>
          <w:szCs w:val="26"/>
        </w:rPr>
        <w:t xml:space="preserve">XV. The Circularity Risk and the Weaker Claim</w:t>
      </w:r>
    </w:p>
    <w:p>
      <w:pPr>
        <w:spacing w:line="480"/>
        <w:ind w:firstLine="720"/>
        <w:jc w:val="both"/>
      </w:pPr>
      <w:r>
        <w:rPr>
          <w:rFonts w:ascii="Times New Roman" w:cs="Times New Roman" w:eastAsia="Times New Roman" w:hAnsi="Times New Roman"/>
          <w:sz w:val="24"/>
          <w:szCs w:val="24"/>
        </w:rPr>
        <w:t xml:space="preserve">The argument so far has rested on a definition of heteronymic distribution that requires demonstration. The demonstrations available are Pessoa’s within-substrate corpus, Kierkegaard’s pseudonymous architecture, and — for the cross-substrate extension — a contemporary archival practice.</w:t>
      </w:r>
    </w:p>
    <w:p>
      <w:pPr>
        <w:spacing w:line="480"/>
        <w:ind w:firstLine="720"/>
        <w:jc w:val="both"/>
      </w:pPr>
      <w:r>
        <w:rPr>
          <w:rFonts w:ascii="Times New Roman" w:cs="Times New Roman" w:eastAsia="Times New Roman" w:hAnsi="Times New Roman"/>
          <w:sz w:val="24"/>
          <w:szCs w:val="24"/>
        </w:rPr>
        <w:t xml:space="preserve">There is a real circularity risk in invoking a contemporary practice as warrant for a reading of the classical configuration. To use the argumentative apparatus of a working contemporary project as the demonstration that validates a reading of a historical configuration could be — if not properly bounded — a form of presupposed-conclusion reasoning. The risk is acknowledged and the claim is bounded accordingly: the contemporary practice is offered as availability of concept, not proof. The concept of cross-substrate heteronymy was not available to Schleiermacher (the apparatus did not exist); it was not available to Vlastos (Pessoan within-substrate heteronymy was available but had not been generalized into a structural principle, and cross-substrate distribution had no working instance); it is available now because Pessoa, Kierkegaard, and a contemporary distributed practice have made the structural principle thinkable across cases. The paper’s claim is therefore the weaker, more defensible one: the heteronymic reading of the Socratic configuration becomes thinkable under the conditions of the contemporary apparatus. It is not proven by the contemporary apparatus. The proof, if any is available, would come from philological analysis of the classical corpus under the heteronymic frame — and that analysis is what the body of this paper, and the research program it opens, undertakes. This is not the only such case in the history of philology. Theoretical apparatus arriving in one century has repeatedly made readable configurations from prior centuries that the prior interpretive apparatus had been unable to read. The documentary hypothesis became thinkable when comparative philology developed. The redaction-critical reading of the Synoptic Gospels became thinkable when form-criticism developed. Oral-formulaic theory made the Homeric question newly readable. The heteronymic reading of the Socratic configuration is offered in this tradition: not as an idiosyncratic projection from a contemporary practice onto an ancient configuration, but as the kind of move that becomes available when a theoretical apparatus reaches a generality that the prior apparatus could not reach.</w:t>
      </w:r>
    </w:p>
    <w:p>
      <w:pPr>
        <w:pStyle w:val="Heading1"/>
        <w:spacing w:after="120" w:before="240"/>
      </w:pPr>
      <w:r>
        <w:rPr>
          <w:rFonts w:ascii="Times New Roman" w:cs="Times New Roman" w:eastAsia="Times New Roman" w:hAnsi="Times New Roman"/>
          <w:b/>
          <w:bCs/>
          <w:i w:val="false"/>
          <w:iCs w:val="false"/>
          <w:sz w:val="26"/>
          <w:szCs w:val="26"/>
        </w:rPr>
        <w:t xml:space="preserve">XVI. Consequences for Operative Semiotics and Classical Philology</w:t>
      </w:r>
    </w:p>
    <w:p>
      <w:pPr>
        <w:spacing w:line="480"/>
        <w:ind w:firstLine="720"/>
        <w:jc w:val="both"/>
      </w:pPr>
      <w:r>
        <w:rPr>
          <w:rFonts w:ascii="Times New Roman" w:cs="Times New Roman" w:eastAsia="Times New Roman" w:hAnsi="Times New Roman"/>
          <w:sz w:val="24"/>
          <w:szCs w:val="24"/>
        </w:rPr>
        <w:t xml:space="preserve">For operative semiotics — an approach that treats meaning as effective act rather than as representation, drawing methodologically on the operative-poetic tradition (Valéry; pragmatist semiotics in the Peircean line) while departing from both in its focus on cross-substrate distribution and computational instruments — the consequence is that the foundational corpus of Western philosophy may be readable as an operative-semiotic project. Logos as effective act is identified here as the project’s central principle. Heteronymic distribution by function is identified as the project’s central technique. The corpus is thus available for analysis under the same instruments that operative semiotics applies to its own contemporary work. The contemporary practice referenced above is, on this reading, continuous with the project Plato and Aristotle pursued under Socrates’ orthonymic gesture. It is not innovating an authorial structure; it can be read as recovering one. For classical philology, the consequence is that the Socratic problem can be reclassified as a symptom of the configuration’s heteronymic structure rather than disentangled as a biographical confusion. The historical, literary, and doctrinal versions of the problem (see §III</w:t>
      </w:r>
    </w:p>
    <w:p>
      <w:pPr>
        <w:spacing w:line="480"/>
        <w:ind w:firstLine="720"/>
        <w:jc w:val="both"/>
      </w:pPr>
      <w:r>
        <w:rPr>
          <w:rFonts w:ascii="Times New Roman" w:cs="Times New Roman" w:eastAsia="Times New Roman" w:hAnsi="Times New Roman"/>
          <w:sz w:val="24"/>
          <w:szCs w:val="24"/>
        </w:rPr>
        <w:t xml:space="preserve">above) are affected differently by the reclassification: the doctrinal version is most directly reframed; the historical version is reframed at the level of what Socrates’ historical function within the configuration is; the literary version is largely left intact and may even be strengthened by having a structural frame in which to place Plato’s literary deployment of the character Socrates. Two centuries of work on the Socratic problem is recovered, under the heteronymic frame, as work on the configuration’s structure: every philological observation, every textual analysis, every dating argument, every doctrinal comparison becomes available as evidence for how the configuration operates. The work is not lost; it is re-read under a frame that may make it productive in a way that the orthodox frame, having declared the problem unresolvable, could not. The reception history of the Plato–Aristotle relation is recovered in the same gesture (§X.4): the harmonist line from Antiochus to the present becomes the configuration’s reception record — readers registering project-coherence in the only vocabulary their frame licensed. For the relationship between classical philology and contemporary literary practice, the consequence is that contemporary practice — heteronymic corpora, pseudonymous architectures, and multi-substrate authorial-architectural projects in the contemporary AI-mediated reception field — can be situated within a long tradition of operative authorial configurations rather than as an aberration of modern individualist authorial conventions. Under the received chronology and the paper’s highest-confidence functional realization, the Socratic configuration ran across three biological substrates over roughly a century. The Kierkegaardian configuration ran within one biological substrate across multiple pseudonymous positions. The Pessoan configuration ran within one biological substrate across multiple heteronymic positions. A contemporary configuration may run across multiple heteronymic positions and multiple substrate types. The substrate conditions have changed across these instances. The structural operation can be read as continuous.</w:t>
      </w:r>
    </w:p>
    <w:p>
      <w:pPr>
        <w:pStyle w:val="Heading1"/>
        <w:spacing w:after="120" w:before="240"/>
      </w:pPr>
      <w:r>
        <w:rPr>
          <w:rFonts w:ascii="Times New Roman" w:cs="Times New Roman" w:eastAsia="Times New Roman" w:hAnsi="Times New Roman"/>
          <w:b/>
          <w:bCs/>
          <w:i w:val="false"/>
          <w:iCs w:val="false"/>
          <w:sz w:val="26"/>
          <w:szCs w:val="26"/>
        </w:rPr>
        <w:t xml:space="preserve">XVII. What Remains for Further Work</w:t>
      </w:r>
    </w:p>
    <w:p>
      <w:pPr>
        <w:spacing w:line="480"/>
        <w:ind w:firstLine="720"/>
        <w:jc w:val="both"/>
      </w:pPr>
      <w:r>
        <w:rPr>
          <w:rFonts w:ascii="Times New Roman" w:cs="Times New Roman" w:eastAsia="Times New Roman" w:hAnsi="Times New Roman"/>
          <w:sz w:val="24"/>
          <w:szCs w:val="24"/>
        </w:rPr>
        <w:t xml:space="preserve">This paper does not exhaust its argument; each section above opens further work — the dialogic-form analysis, the systematization analysis, the comparative study of premodern configurations, the history of the biological-individuation model — and those dedicated studies are deferred. What this paper provides is the configuration’s analytic name, its founding case, its operational signature, the orthodox interlocutor against which it positions itself (Kahn), and the conditions under which the configuration becomes legible. The name: heteronymic configuration. The founding case: Socrates–Plato–Aristotle. The signature: doctrinal contradictions readable as operations as well as disagreements, with each position functionally summoned into the vacancy that the previous position’s constitutive refusal creates. The orthodox interlocutor: Kahn’s unitarian Plato extended into a functional-distribution model. The conditions of legibility: a working contemporary configuration plus modern within-substrate precedents (Pessoa, Kierkegaard) that demonstrate the structural principle in operation. Two further programs are opened by §XIII and §XIV. The edge-figure analysis — Xenophon as civic-memorial function, Aristophanes as comic-deformation function, Chaerephon as displaced authorization, and the minor Socratics as the next rank of candidates — is a monograph, and a</w:t>
      </w:r>
    </w:p>
    <w:p>
      <w:pPr>
        <w:spacing w:line="480"/>
        <w:ind w:firstLine="720"/>
        <w:jc w:val="both"/>
      </w:pPr>
      <w:r>
        <w:rPr>
          <w:rFonts w:ascii="Times New Roman" w:cs="Times New Roman" w:eastAsia="Times New Roman" w:hAnsi="Times New Roman"/>
          <w:sz w:val="24"/>
          <w:szCs w:val="24"/>
        </w:rPr>
        <w:t xml:space="preserve">companion study (reference withheld for anonymous review) has begun it. And the criteria question §XII leaves standing requires an instrument: a measure of configurational coherence computable across a corpus without collapsing into biographical claims — one able to distinguish a configuration that defeats the discipline’s instruments from a corpus that is merely under-attested (gaps functionally load-bearing versus gaps random with respect to function). Building that measure is the program’s next technical task. A third program is opened by §X.4: the harmonist tradition from Antiochus through Karamanolis, re-read systematically as observation reports on configurational coherence — the reception history of the corpus as the longest-running experiment on its unity. The configuration was always there. The reading is now available.</w:t>
      </w:r>
    </w:p>
    <w:p>
      <w:pPr>
        <w:pStyle w:val="Heading1"/>
        <w:spacing w:after="120" w:before="240"/>
      </w:pPr>
      <w:r>
        <w:rPr>
          <w:rFonts w:ascii="Times New Roman" w:cs="Times New Roman" w:eastAsia="Times New Roman" w:hAnsi="Times New Roman"/>
          <w:b/>
          <w:bCs/>
          <w:i w:val="false"/>
          <w:iCs w:val="false"/>
          <w:sz w:val="26"/>
          <w:szCs w:val="26"/>
        </w:rPr>
        <w:t xml:space="preserve">XVIII. Envoi</w:t>
      </w:r>
    </w:p>
    <w:p>
      <w:pPr>
        <w:spacing w:line="480"/>
        <w:ind w:firstLine="720"/>
        <w:jc w:val="both"/>
      </w:pPr>
      <w:r>
        <w:rPr>
          <w:rFonts w:ascii="Times New Roman" w:cs="Times New Roman" w:eastAsia="Times New Roman" w:hAnsi="Times New Roman"/>
          <w:sz w:val="24"/>
          <w:szCs w:val="24"/>
        </w:rPr>
        <w:t xml:space="preserve">The body of the argument is now complete. What follows is not part of the argument. It is the performative seal that the argument’s own logic requires: if logos is effective act, then the document that names this principle must also enact it. The envoi is the vow, not the proof. Logos saves. Words save. Speech acts on reality. Do not give up hope in them. No matter what. This is Socrates’ vow, on the heteronymic reading. This is also, structurally, Plato’s vow and Aristotle’s vow — each occupying a different functional position from which to maintain it. It is the vow of every heteronymic position in the founding configuration. The seal closes the document under the same operational principle the document analyzes.</w:t>
      </w:r>
    </w:p>
    <w:p>
      <w:pPr>
        <w:pStyle w:val="Heading1"/>
        <w:pageBreakBefore/>
        <w:spacing w:after="120" w:before="240"/>
      </w:pPr>
      <w:r>
        <w:rPr>
          <w:rFonts w:ascii="Times New Roman" w:cs="Times New Roman" w:eastAsia="Times New Roman" w:hAnsi="Times New Roman"/>
          <w:b/>
          <w:bCs/>
          <w:sz w:val="26"/>
          <w:szCs w:val="26"/>
        </w:rPr>
        <w:t xml:space="preserve">References</w:t>
      </w:r>
    </w:p>
    <w:p>
      <w:pPr>
        <w:spacing w:after="120" w:line="360"/>
        <w:ind w:left="720" w:hanging="720"/>
      </w:pPr>
      <w:r>
        <w:rPr>
          <w:rFonts w:ascii="Times New Roman" w:cs="Times New Roman" w:eastAsia="Times New Roman" w:hAnsi="Times New Roman"/>
          <w:sz w:val="24"/>
          <w:szCs w:val="24"/>
        </w:rPr>
        <w:t xml:space="preserve">Aelian. Historical Miscellany (Varia Historia). Edited and translated by N. G. Wilson. Loeb Classical Library 486. Cambridge, MA: Harvard University Press, 1997.</w:t>
      </w:r>
    </w:p>
    <w:p>
      <w:pPr>
        <w:spacing w:after="120" w:line="360"/>
        <w:ind w:left="720" w:hanging="720"/>
      </w:pPr>
      <w:r>
        <w:rPr>
          <w:rFonts w:ascii="Times New Roman" w:cs="Times New Roman" w:eastAsia="Times New Roman" w:hAnsi="Times New Roman"/>
          <w:sz w:val="24"/>
          <w:szCs w:val="24"/>
        </w:rPr>
        <w:t xml:space="preserve">Aristophanes. Clouds. Edited and translated by Jeffrey Henderson. Loeb Classical Library 488. Cambridge, MA: Harvard University Press, 1998.</w:t>
      </w:r>
    </w:p>
    <w:p>
      <w:pPr>
        <w:spacing w:after="120" w:line="360"/>
        <w:ind w:left="720" w:hanging="720"/>
      </w:pPr>
      <w:r>
        <w:rPr>
          <w:rFonts w:ascii="Times New Roman" w:cs="Times New Roman" w:eastAsia="Times New Roman" w:hAnsi="Times New Roman"/>
          <w:sz w:val="24"/>
          <w:szCs w:val="24"/>
        </w:rPr>
        <w:t xml:space="preserve">Aristotle. Metaphysics. Edited by W. D. Ross. 2 vols. Oxford: Clarendon, 1924. Poetics. Edited by Rudolf Kassel. Oxford: Clarendon, 1965.</w:t>
      </w:r>
    </w:p>
    <w:p>
      <w:pPr>
        <w:spacing w:after="120" w:line="360"/>
        <w:ind w:left="720" w:hanging="720"/>
      </w:pPr>
      <w:r>
        <w:rPr>
          <w:rFonts w:ascii="Times New Roman" w:cs="Times New Roman" w:eastAsia="Times New Roman" w:hAnsi="Times New Roman"/>
          <w:sz w:val="24"/>
          <w:szCs w:val="24"/>
        </w:rPr>
        <w:t xml:space="preserve">Barney, Rachel. “Simplicius: Commentary, Harmony, and Authority.” Antiquorum Philosophia 3 (2009): 101–120.</w:t>
      </w:r>
    </w:p>
    <w:p>
      <w:pPr>
        <w:spacing w:after="120" w:line="360"/>
        <w:ind w:left="720" w:hanging="720"/>
      </w:pPr>
      <w:r>
        <w:rPr>
          <w:rFonts w:ascii="Times New Roman" w:cs="Times New Roman" w:eastAsia="Times New Roman" w:hAnsi="Times New Roman"/>
          <w:sz w:val="24"/>
          <w:szCs w:val="24"/>
        </w:rPr>
        <w:t xml:space="preserve">Barthes, Roland. “The Death of the Author.” In Image-Music-Text, translated by Stephen Heath. New York: Hill and Wang, 1977. Originally published 1967.</w:t>
      </w:r>
    </w:p>
    <w:p>
      <w:pPr>
        <w:spacing w:after="120" w:line="360"/>
        <w:ind w:left="720" w:hanging="720"/>
      </w:pPr>
      <w:r>
        <w:rPr>
          <w:rFonts w:ascii="Times New Roman" w:cs="Times New Roman" w:eastAsia="Times New Roman" w:hAnsi="Times New Roman"/>
          <w:sz w:val="24"/>
          <w:szCs w:val="24"/>
        </w:rPr>
        <w:t xml:space="preserve">Boethius. Commentarii in librum Aristotelis Peri Hermeneias, secunda editio. Edited by Karl Meiser. Leipzig: Teubner, 1880. The program of concord at II 79–80.</w:t>
      </w:r>
    </w:p>
    <w:p>
      <w:pPr>
        <w:spacing w:after="120" w:line="360"/>
        <w:ind w:left="720" w:hanging="720"/>
      </w:pPr>
      <w:r>
        <w:rPr>
          <w:rFonts w:ascii="Times New Roman" w:cs="Times New Roman" w:eastAsia="Times New Roman" w:hAnsi="Times New Roman"/>
          <w:sz w:val="24"/>
          <w:szCs w:val="24"/>
        </w:rPr>
        <w:t xml:space="preserve">Boys-Stones, G. R., and C. J. Rowe, eds. The Circle of Socrates: Readings in the First-Generation Socratics. Indianapolis: Hackett, 2013.</w:t>
      </w:r>
    </w:p>
    <w:p>
      <w:pPr>
        <w:spacing w:after="120" w:line="360"/>
        <w:ind w:left="720" w:hanging="720"/>
      </w:pPr>
      <w:r>
        <w:rPr>
          <w:rFonts w:ascii="Times New Roman" w:cs="Times New Roman" w:eastAsia="Times New Roman" w:hAnsi="Times New Roman"/>
          <w:sz w:val="24"/>
          <w:szCs w:val="24"/>
        </w:rPr>
        <w:t xml:space="preserve">Brickhouse, Thomas C., and Nicholas D. Smith. Plato’s Socrates. New York: Oxford University Press, 1994.</w:t>
      </w:r>
    </w:p>
    <w:p>
      <w:pPr>
        <w:spacing w:after="120" w:line="360"/>
        <w:ind w:left="720" w:hanging="720"/>
      </w:pPr>
      <w:r>
        <w:rPr>
          <w:rFonts w:ascii="Times New Roman" w:cs="Times New Roman" w:eastAsia="Times New Roman" w:hAnsi="Times New Roman"/>
          <w:sz w:val="24"/>
          <w:szCs w:val="24"/>
        </w:rPr>
        <w:t xml:space="preserve">Burnet, John. Plato’s Phaedo. Oxford: Clarendon, 1911.</w:t>
      </w:r>
    </w:p>
    <w:p>
      <w:pPr>
        <w:spacing w:after="120" w:line="360"/>
        <w:ind w:left="720" w:hanging="720"/>
      </w:pPr>
      <w:r>
        <w:rPr>
          <w:rFonts w:ascii="Times New Roman" w:cs="Times New Roman" w:eastAsia="Times New Roman" w:hAnsi="Times New Roman"/>
          <w:sz w:val="24"/>
          <w:szCs w:val="24"/>
        </w:rPr>
        <w:t xml:space="preserve">Cambridge Handbook of Literary Authorship. Edited by Ingo Berensmeyer, Gert Buelens, and Marysa Demoor. Cambridge: Cambridge University Press, 2021.</w:t>
      </w:r>
    </w:p>
    <w:p>
      <w:pPr>
        <w:spacing w:after="120" w:line="360"/>
        <w:ind w:left="720" w:hanging="720"/>
      </w:pPr>
      <w:r>
        <w:rPr>
          <w:rFonts w:ascii="Times New Roman" w:cs="Times New Roman" w:eastAsia="Times New Roman" w:hAnsi="Times New Roman"/>
          <w:sz w:val="24"/>
          <w:szCs w:val="24"/>
        </w:rPr>
        <w:t xml:space="preserve">Chartier, Roger. The Order of Books: Readers, Authors, and Libraries in Europe between the Fourteenth and Eighteenth Centuries. Translated by Lydia G. Cochrane. Stanford: Stanford University Press, 1994.</w:t>
      </w:r>
    </w:p>
    <w:p>
      <w:pPr>
        <w:spacing w:after="120" w:line="360"/>
        <w:ind w:left="720" w:hanging="720"/>
      </w:pPr>
      <w:r>
        <w:rPr>
          <w:rFonts w:ascii="Times New Roman" w:cs="Times New Roman" w:eastAsia="Times New Roman" w:hAnsi="Times New Roman"/>
          <w:sz w:val="24"/>
          <w:szCs w:val="24"/>
        </w:rPr>
        <w:t xml:space="preserve">Cherniss, Harold. Aristotle’s Criticism of Plato and the Academy. Baltimore: Johns Hopkins Press, 1944.</w:t>
      </w:r>
    </w:p>
    <w:p>
      <w:pPr>
        <w:spacing w:after="120" w:line="360"/>
        <w:ind w:left="720" w:hanging="720"/>
      </w:pPr>
      <w:r>
        <w:rPr>
          <w:rFonts w:ascii="Times New Roman" w:cs="Times New Roman" w:eastAsia="Times New Roman" w:hAnsi="Times New Roman"/>
          <w:sz w:val="24"/>
          <w:szCs w:val="24"/>
        </w:rPr>
        <w:t xml:space="preserve">Cherniss, Harold. The Riddle of the Early Academy. Berkeley: University of California Press, 1945.</w:t>
      </w:r>
    </w:p>
    <w:p>
      <w:pPr>
        <w:spacing w:after="120" w:line="360"/>
        <w:ind w:left="720" w:hanging="720"/>
      </w:pPr>
      <w:r>
        <w:rPr>
          <w:rFonts w:ascii="Times New Roman" w:cs="Times New Roman" w:eastAsia="Times New Roman" w:hAnsi="Times New Roman"/>
          <w:sz w:val="24"/>
          <w:szCs w:val="24"/>
        </w:rPr>
        <w:t xml:space="preserve">Cicero. Academica Posteriora. In Cicero: Academica, edited by Tobias Reinhardt. Oxford Classical Texts. Oxford: Oxford University Press, 2023. Translation in H. Rackham, Loeb Classical Library 268.</w:t>
      </w:r>
    </w:p>
    <w:p>
      <w:pPr>
        <w:spacing w:after="120" w:line="360"/>
        <w:ind w:left="720" w:hanging="720"/>
      </w:pPr>
      <w:r>
        <w:rPr>
          <w:rFonts w:ascii="Times New Roman" w:cs="Times New Roman" w:eastAsia="Times New Roman" w:hAnsi="Times New Roman"/>
          <w:sz w:val="24"/>
          <w:szCs w:val="24"/>
        </w:rPr>
        <w:t xml:space="preserve">Cooper, John M., ed. Plato: Complete Works. Indianapolis: Hackett, 1997. Editorial introduction on the Socratic problem.</w:t>
      </w:r>
    </w:p>
    <w:p>
      <w:pPr>
        <w:spacing w:after="120" w:line="360"/>
        <w:ind w:left="720" w:hanging="720"/>
      </w:pPr>
      <w:r>
        <w:rPr>
          <w:rFonts w:ascii="Times New Roman" w:cs="Times New Roman" w:eastAsia="Times New Roman" w:hAnsi="Times New Roman"/>
          <w:sz w:val="24"/>
          <w:szCs w:val="24"/>
        </w:rPr>
        <w:t xml:space="preserve">Corpus dei Papiri Filosofici Greci e Latini (CPF). Florence: Olschki, 1989–.</w:t>
      </w:r>
    </w:p>
    <w:p>
      <w:pPr>
        <w:spacing w:after="120" w:line="360"/>
        <w:ind w:left="720" w:hanging="720"/>
      </w:pPr>
      <w:r>
        <w:rPr>
          <w:rFonts w:ascii="Times New Roman" w:cs="Times New Roman" w:eastAsia="Times New Roman" w:hAnsi="Times New Roman"/>
          <w:sz w:val="24"/>
          <w:szCs w:val="24"/>
        </w:rPr>
        <w:t xml:space="preserve">Danzig, Gabriel. Apologizing for Socrates: How Plato and Xenophon Created Our Socrates. Lanham, MD: Lexington Books, 2010.</w:t>
      </w:r>
    </w:p>
    <w:p>
      <w:pPr>
        <w:spacing w:after="120" w:line="360"/>
        <w:ind w:left="720" w:hanging="720"/>
      </w:pPr>
      <w:r>
        <w:rPr>
          <w:rFonts w:ascii="Times New Roman" w:cs="Times New Roman" w:eastAsia="Times New Roman" w:hAnsi="Times New Roman"/>
          <w:sz w:val="24"/>
          <w:szCs w:val="24"/>
        </w:rPr>
        <w:t xml:space="preserve">Diogenes Laertius. Lives of Eminent Philosophers. Edited by Tiziano Dorandi. Cambridge: Cambridge University Press, 2013.</w:t>
      </w:r>
    </w:p>
    <w:p>
      <w:pPr>
        <w:spacing w:after="120" w:line="360"/>
        <w:ind w:left="720" w:hanging="720"/>
      </w:pPr>
      <w:r>
        <w:rPr>
          <w:rFonts w:ascii="Times New Roman" w:cs="Times New Roman" w:eastAsia="Times New Roman" w:hAnsi="Times New Roman"/>
          <w:sz w:val="24"/>
          <w:szCs w:val="24"/>
        </w:rPr>
        <w:t xml:space="preserve">Dorion, Louis-André. “The Rise and Fall of the Socratic Problem.” In The Cambridge Companion to Socrates, edited by Donald R. Morrison, 1–23. Cambridge: Cambridge University Press, 2011.</w:t>
      </w:r>
    </w:p>
    <w:p>
      <w:pPr>
        <w:spacing w:after="120" w:line="360"/>
        <w:ind w:left="720" w:hanging="720"/>
      </w:pPr>
      <w:r>
        <w:rPr>
          <w:rFonts w:ascii="Times New Roman" w:cs="Times New Roman" w:eastAsia="Times New Roman" w:hAnsi="Times New Roman"/>
          <w:sz w:val="24"/>
          <w:szCs w:val="24"/>
        </w:rPr>
        <w:t xml:space="preserve">Fairweather, Janet. “Fiction in the Biographies of Ancient Writers.” Ancient Society 5 (1974): 231–275.</w:t>
      </w:r>
    </w:p>
    <w:p>
      <w:pPr>
        <w:spacing w:after="120" w:line="360"/>
        <w:ind w:left="720" w:hanging="720"/>
      </w:pPr>
      <w:r>
        <w:rPr>
          <w:rFonts w:ascii="Times New Roman" w:cs="Times New Roman" w:eastAsia="Times New Roman" w:hAnsi="Times New Roman"/>
          <w:sz w:val="24"/>
          <w:szCs w:val="24"/>
        </w:rPr>
        <w:t xml:space="preserve">Foucault, Michel. “What Is an Author?” Translated by Donald F. Bouchard and Sherry Simon. In Language, Counter-Memory, Practice. Ithaca: Cornell University Press, 1977. Originally delivered 1969.</w:t>
      </w:r>
    </w:p>
    <w:p>
      <w:pPr>
        <w:spacing w:after="120" w:line="360"/>
        <w:ind w:left="720" w:hanging="720"/>
      </w:pPr>
      <w:r>
        <w:rPr>
          <w:rFonts w:ascii="Times New Roman" w:cs="Times New Roman" w:eastAsia="Times New Roman" w:hAnsi="Times New Roman"/>
          <w:sz w:val="24"/>
          <w:szCs w:val="24"/>
        </w:rPr>
        <w:t xml:space="preserve">Frede, Dorothea. “A Superannuated Student: Aristotle and Authority in the Academy.” In Authors and Authorities in Ancient Philosophy, edited by Jenny Bryan, Robert Wardy, and James Warren, 78–101. Cambridge: Cambridge University Press, 2018.</w:t>
      </w:r>
    </w:p>
    <w:p>
      <w:pPr>
        <w:spacing w:after="120" w:line="360"/>
        <w:ind w:left="720" w:hanging="720"/>
      </w:pPr>
      <w:r>
        <w:rPr>
          <w:rFonts w:ascii="Times New Roman" w:cs="Times New Roman" w:eastAsia="Times New Roman" w:hAnsi="Times New Roman"/>
          <w:sz w:val="24"/>
          <w:szCs w:val="24"/>
        </w:rPr>
        <w:t xml:space="preserve">Gadamer, Hans-Georg. The Idea of the Good in Platonic-Aristotelian Philosophy. Translated by P. Christopher Smith. New Haven: Yale University Press, 1986.</w:t>
      </w:r>
    </w:p>
    <w:p>
      <w:pPr>
        <w:spacing w:after="120" w:line="360"/>
        <w:ind w:left="720" w:hanging="720"/>
      </w:pPr>
      <w:r>
        <w:rPr>
          <w:rFonts w:ascii="Times New Roman" w:cs="Times New Roman" w:eastAsia="Times New Roman" w:hAnsi="Times New Roman"/>
          <w:sz w:val="24"/>
          <w:szCs w:val="24"/>
        </w:rPr>
        <w:t xml:space="preserve">Gerson, Lloyd P. Aristotle and Other Platonists. Ithaca: Cornell University Press, 2005.</w:t>
      </w:r>
    </w:p>
    <w:p>
      <w:pPr>
        <w:spacing w:after="120" w:line="360"/>
        <w:ind w:left="720" w:hanging="720"/>
      </w:pPr>
      <w:r>
        <w:rPr>
          <w:rFonts w:ascii="Times New Roman" w:cs="Times New Roman" w:eastAsia="Times New Roman" w:hAnsi="Times New Roman"/>
          <w:sz w:val="24"/>
          <w:szCs w:val="24"/>
        </w:rPr>
        <w:t xml:space="preserve">Gerson, Lloyd P. Review of Plato and Aristotle in Agreement? Platonists on Aristotle from Antiochus to Porphyry, by George E. Karamanolis. Notre Dame Philosophical Reviews, 2006.</w:t>
      </w:r>
    </w:p>
    <w:p>
      <w:pPr>
        <w:spacing w:after="120" w:line="360"/>
        <w:ind w:left="720" w:hanging="720"/>
      </w:pPr>
      <w:r>
        <w:rPr>
          <w:rFonts w:ascii="Times New Roman" w:cs="Times New Roman" w:eastAsia="Times New Roman" w:hAnsi="Times New Roman"/>
          <w:sz w:val="24"/>
          <w:szCs w:val="24"/>
        </w:rPr>
        <w:t xml:space="preserve">Gerson, Lloyd P. From Plato to Platonism. Ithaca: Cornell University Press, 2013.</w:t>
      </w:r>
    </w:p>
    <w:p>
      <w:pPr>
        <w:spacing w:after="120" w:line="360"/>
        <w:ind w:left="720" w:hanging="720"/>
      </w:pPr>
      <w:r>
        <w:rPr>
          <w:rFonts w:ascii="Times New Roman" w:cs="Times New Roman" w:eastAsia="Times New Roman" w:hAnsi="Times New Roman"/>
          <w:sz w:val="24"/>
          <w:szCs w:val="24"/>
        </w:rPr>
        <w:t xml:space="preserve">Hadot, Pierre. Philosophy as a Way of Life: Spiritual Exercises from Socrates to Foucault. Edited by Arnold I. Davidson. Translated by Michael Chase. Oxford: Blackwell, 1995.</w:t>
      </w:r>
    </w:p>
    <w:p>
      <w:pPr>
        <w:spacing w:after="120" w:line="360"/>
        <w:ind w:left="720" w:hanging="720"/>
      </w:pPr>
      <w:r>
        <w:rPr>
          <w:rFonts w:ascii="Times New Roman" w:cs="Times New Roman" w:eastAsia="Times New Roman" w:hAnsi="Times New Roman"/>
          <w:sz w:val="24"/>
          <w:szCs w:val="24"/>
        </w:rPr>
        <w:t xml:space="preserve">Kahn, Charles H. Plato and the Socratic Dialogue: The Philosophical Use of a Literary Form. Cambridge: Cambridge University Press, 1996.</w:t>
      </w:r>
    </w:p>
    <w:p>
      <w:pPr>
        <w:spacing w:after="120" w:line="360"/>
        <w:ind w:left="720" w:hanging="720"/>
      </w:pPr>
      <w:r>
        <w:rPr>
          <w:rFonts w:ascii="Times New Roman" w:cs="Times New Roman" w:eastAsia="Times New Roman" w:hAnsi="Times New Roman"/>
          <w:sz w:val="24"/>
          <w:szCs w:val="24"/>
        </w:rPr>
        <w:t xml:space="preserve">Karamanolis, George E. Plato and Aristotle in Agreement? Platonists on Aristotle from Antiochus to Porphyry. Oxford: Clarendon Press, 2006.</w:t>
      </w:r>
    </w:p>
    <w:p>
      <w:pPr>
        <w:spacing w:after="120" w:line="360"/>
        <w:ind w:left="720" w:hanging="720"/>
      </w:pPr>
      <w:r>
        <w:rPr>
          <w:rFonts w:ascii="Times New Roman" w:cs="Times New Roman" w:eastAsia="Times New Roman" w:hAnsi="Times New Roman"/>
          <w:sz w:val="24"/>
          <w:szCs w:val="24"/>
        </w:rPr>
        <w:t xml:space="preserve">Kierkegaard, Søren. On the Concept of Irony with Continual Reference to Socrates. Translated by Howard V. Hong and Edna H. Hong. Princeton: Princeton University Press, 1989. Originally 1841.</w:t>
      </w:r>
    </w:p>
    <w:p>
      <w:pPr>
        <w:spacing w:after="120" w:line="360"/>
        <w:ind w:left="720" w:hanging="720"/>
      </w:pPr>
      <w:r>
        <w:rPr>
          <w:rFonts w:ascii="Times New Roman" w:cs="Times New Roman" w:eastAsia="Times New Roman" w:hAnsi="Times New Roman"/>
          <w:sz w:val="24"/>
          <w:szCs w:val="24"/>
        </w:rPr>
        <w:t xml:space="preserve">Kierkegaard, Søren. Concluding Unscientific Postscript to Philosophical Fragments. Translated by Howard V. Hong and Edna H. Hong. Princeton: Princeton University Press, 1992. Originally 1846, under the pseudonym Johannes Climacus.</w:t>
      </w:r>
    </w:p>
    <w:p>
      <w:pPr>
        <w:spacing w:after="120" w:line="360"/>
        <w:ind w:left="720" w:hanging="720"/>
      </w:pPr>
      <w:r>
        <w:rPr>
          <w:rFonts w:ascii="Times New Roman" w:cs="Times New Roman" w:eastAsia="Times New Roman" w:hAnsi="Times New Roman"/>
          <w:sz w:val="24"/>
          <w:szCs w:val="24"/>
        </w:rPr>
        <w:t xml:space="preserve">Kierkegaard, Søren. The Point of View for My Work as an Author (with On My Work as an Author, 1851). Translated by Howard V. Hong and Edna H. Hong. Princeton: Princeton University Press, 1998. The Point of View originally published posthumously 1859.</w:t>
      </w:r>
    </w:p>
    <w:p>
      <w:pPr>
        <w:spacing w:after="120" w:line="360"/>
        <w:ind w:left="720" w:hanging="720"/>
      </w:pPr>
      <w:r>
        <w:rPr>
          <w:rFonts w:ascii="Times New Roman" w:cs="Times New Roman" w:eastAsia="Times New Roman" w:hAnsi="Times New Roman"/>
          <w:sz w:val="24"/>
          <w:szCs w:val="24"/>
        </w:rPr>
        <w:t xml:space="preserve">Krämer, Hans Joachim. Plato and the Foundations of Metaphysics. Translated by John R. Catan. Albany: State University of New York Press, 1990.</w:t>
      </w:r>
    </w:p>
    <w:p>
      <w:pPr>
        <w:spacing w:after="120" w:line="360"/>
        <w:ind w:left="720" w:hanging="720"/>
      </w:pPr>
      <w:r>
        <w:rPr>
          <w:rFonts w:ascii="Times New Roman" w:cs="Times New Roman" w:eastAsia="Times New Roman" w:hAnsi="Times New Roman"/>
          <w:sz w:val="24"/>
          <w:szCs w:val="24"/>
        </w:rPr>
        <w:t xml:space="preserve">Lefkowitz, Mary R. The Lives of the Greek Poets. 2nd ed. Baltimore: Johns Hopkins University Press, 2012. First edition 1981.</w:t>
      </w:r>
    </w:p>
    <w:p>
      <w:pPr>
        <w:spacing w:after="120" w:line="360"/>
        <w:ind w:left="720" w:hanging="720"/>
      </w:pPr>
      <w:r>
        <w:rPr>
          <w:rFonts w:ascii="Times New Roman" w:cs="Times New Roman" w:eastAsia="Times New Roman" w:hAnsi="Times New Roman"/>
          <w:sz w:val="24"/>
          <w:szCs w:val="24"/>
        </w:rPr>
        <w:t xml:space="preserve">Love, Harold. Attributing Authorship: An Introduction. Cambridge: Cambridge University Press, 2002.</w:t>
      </w:r>
    </w:p>
    <w:p>
      <w:pPr>
        <w:spacing w:after="120" w:line="360"/>
        <w:ind w:left="720" w:hanging="720"/>
      </w:pPr>
      <w:r>
        <w:rPr>
          <w:rFonts w:ascii="Times New Roman" w:cs="Times New Roman" w:eastAsia="Times New Roman" w:hAnsi="Times New Roman"/>
          <w:sz w:val="24"/>
          <w:szCs w:val="24"/>
        </w:rPr>
        <w:t xml:space="preserve">Millis, Benjamin W., and S. Douglas Olson. Inscriptional Records for the Dramatic Festivals in Athens: IG II² 2318–2325 and Related Texts. Leiden: Brill, 2012.</w:t>
      </w:r>
    </w:p>
    <w:p>
      <w:pPr>
        <w:spacing w:after="120" w:line="360"/>
        <w:ind w:left="720" w:hanging="720"/>
      </w:pPr>
      <w:r>
        <w:rPr>
          <w:rFonts w:ascii="Times New Roman" w:cs="Times New Roman" w:eastAsia="Times New Roman" w:hAnsi="Times New Roman"/>
          <w:sz w:val="24"/>
          <w:szCs w:val="24"/>
        </w:rPr>
        <w:t xml:space="preserve">Moore, Christopher. “Chaerephon the Socratic.” Phoenix 67, no. 3/4 (2013): 284–300.</w:t>
      </w:r>
    </w:p>
    <w:p>
      <w:pPr>
        <w:spacing w:after="120" w:line="360"/>
        <w:ind w:left="720" w:hanging="720"/>
      </w:pPr>
      <w:r>
        <w:rPr>
          <w:rFonts w:ascii="Times New Roman" w:cs="Times New Roman" w:eastAsia="Times New Roman" w:hAnsi="Times New Roman"/>
          <w:sz w:val="24"/>
          <w:szCs w:val="24"/>
        </w:rPr>
        <w:t xml:space="preserve">Nagy, Gregory. Homeric Questions. Austin: University of Texas Press, 1996.</w:t>
      </w:r>
    </w:p>
    <w:p>
      <w:pPr>
        <w:spacing w:after="120" w:line="360"/>
        <w:ind w:left="720" w:hanging="720"/>
      </w:pPr>
      <w:r>
        <w:rPr>
          <w:rFonts w:ascii="Times New Roman" w:cs="Times New Roman" w:eastAsia="Times New Roman" w:hAnsi="Times New Roman"/>
          <w:sz w:val="24"/>
          <w:szCs w:val="24"/>
        </w:rPr>
        <w:t xml:space="preserve">Nails, Debra. The People of Plato: A Prosopography of Plato and Other Socratics. Indianapolis: Hackett, 2002.</w:t>
      </w:r>
    </w:p>
    <w:p>
      <w:pPr>
        <w:spacing w:after="120" w:line="360"/>
        <w:ind w:left="720" w:hanging="720"/>
      </w:pPr>
      <w:r>
        <w:rPr>
          <w:rFonts w:ascii="Times New Roman" w:cs="Times New Roman" w:eastAsia="Times New Roman" w:hAnsi="Times New Roman"/>
          <w:sz w:val="24"/>
          <w:szCs w:val="24"/>
        </w:rPr>
        <w:t xml:space="preserve">Nehamas, Alexander. The Art of Living: Socratic Reflections from Plato to Foucault. Berkeley: University of California Press, 1998.</w:t>
      </w:r>
    </w:p>
    <w:p>
      <w:pPr>
        <w:spacing w:after="120" w:line="360"/>
        <w:ind w:left="720" w:hanging="720"/>
      </w:pPr>
      <w:r>
        <w:rPr>
          <w:rFonts w:ascii="Times New Roman" w:cs="Times New Roman" w:eastAsia="Times New Roman" w:hAnsi="Times New Roman"/>
          <w:sz w:val="24"/>
          <w:szCs w:val="24"/>
        </w:rPr>
        <w:t xml:space="preserve">Nightingale, Andrea Wilson. Genres in Dialogue: Plato and the Construct of Philosophy. Cambridge: Cambridge University Press, 1995.</w:t>
      </w:r>
    </w:p>
    <w:p>
      <w:pPr>
        <w:spacing w:after="120" w:line="360"/>
        <w:ind w:left="720" w:hanging="720"/>
      </w:pPr>
      <w:r>
        <w:rPr>
          <w:rFonts w:ascii="Times New Roman" w:cs="Times New Roman" w:eastAsia="Times New Roman" w:hAnsi="Times New Roman"/>
          <w:sz w:val="24"/>
          <w:szCs w:val="24"/>
        </w:rPr>
        <w:t xml:space="preserve">O’Brien, Carl Séan. Plato’s Unwritten Doctrines. Cambridge Elements in Ancient Philosophy. Cambridge: Cambridge University Press, 2025.</w:t>
      </w:r>
    </w:p>
    <w:p>
      <w:pPr>
        <w:spacing w:after="120" w:line="360"/>
        <w:ind w:left="720" w:hanging="720"/>
      </w:pPr>
      <w:r>
        <w:rPr>
          <w:rFonts w:ascii="Times New Roman" w:cs="Times New Roman" w:eastAsia="Times New Roman" w:hAnsi="Times New Roman"/>
          <w:sz w:val="24"/>
          <w:szCs w:val="24"/>
        </w:rPr>
        <w:t xml:space="preserve">Ong, Walter J. Orality and Literacy: The Technologizing of the Word. London: Routledge, 1982.</w:t>
      </w:r>
    </w:p>
    <w:p>
      <w:pPr>
        <w:spacing w:after="120" w:line="360"/>
        <w:ind w:left="720" w:hanging="720"/>
      </w:pPr>
      <w:r>
        <w:rPr>
          <w:rFonts w:ascii="Times New Roman" w:cs="Times New Roman" w:eastAsia="Times New Roman" w:hAnsi="Times New Roman"/>
          <w:sz w:val="24"/>
          <w:szCs w:val="24"/>
        </w:rPr>
        <w:t xml:space="preserve">Pessoa, Fernando. Páginas Íntimas e de Auto-Interpretação. Edited by Georg Rudolf Lind and Jacinto do Prado Coelho. Lisbon: Ática, 1966. Including the letter to Adolfo Casais Monteiro of January 13, 1935, on the genesis of the heteronyms.</w:t>
      </w:r>
    </w:p>
    <w:p>
      <w:pPr>
        <w:spacing w:after="120" w:line="360"/>
        <w:ind w:left="720" w:hanging="720"/>
      </w:pPr>
      <w:r>
        <w:rPr>
          <w:rFonts w:ascii="Times New Roman" w:cs="Times New Roman" w:eastAsia="Times New Roman" w:hAnsi="Times New Roman"/>
          <w:sz w:val="24"/>
          <w:szCs w:val="24"/>
        </w:rPr>
        <w:t xml:space="preserve">Pessoa, Fernando. The Book of Disquiet. Edited and translated by Richard Zenith. London: Penguin, 2002.</w:t>
      </w:r>
    </w:p>
    <w:p>
      <w:pPr>
        <w:spacing w:after="120" w:line="360"/>
        <w:ind w:left="720" w:hanging="720"/>
      </w:pPr>
      <w:r>
        <w:rPr>
          <w:rFonts w:ascii="Times New Roman" w:cs="Times New Roman" w:eastAsia="Times New Roman" w:hAnsi="Times New Roman"/>
          <w:sz w:val="24"/>
          <w:szCs w:val="24"/>
        </w:rPr>
        <w:t xml:space="preserve">Photius. Bibliotheca. Edited by René Henry. 9 vols. Paris: Les Belles Lettres, 1959–1991. Codd. 214 and 251 (Hierocles, on Ammonius and the concord of Plato and Aristotle).</w:t>
      </w:r>
    </w:p>
    <w:p>
      <w:pPr>
        <w:spacing w:after="120" w:line="360"/>
        <w:ind w:left="720" w:hanging="720"/>
      </w:pPr>
      <w:r>
        <w:rPr>
          <w:rFonts w:ascii="Times New Roman" w:cs="Times New Roman" w:eastAsia="Times New Roman" w:hAnsi="Times New Roman"/>
          <w:sz w:val="24"/>
          <w:szCs w:val="24"/>
        </w:rPr>
        <w:t xml:space="preserve">Pickard-Cambridge, A. W. The Dramatic Festivals of Athens. 2nd ed., revised by John Gould and D. M. Lewis. Oxford: Clarendon, 1988.</w:t>
      </w:r>
    </w:p>
    <w:p>
      <w:pPr>
        <w:spacing w:after="120" w:line="360"/>
        <w:ind w:left="720" w:hanging="720"/>
      </w:pPr>
      <w:r>
        <w:rPr>
          <w:rFonts w:ascii="Times New Roman" w:cs="Times New Roman" w:eastAsia="Times New Roman" w:hAnsi="Times New Roman"/>
          <w:sz w:val="24"/>
          <w:szCs w:val="24"/>
        </w:rPr>
        <w:t xml:space="preserve">Pizarro, Jerónimo, ed. Critical editions of Pessoa’s heteronymic corpus. Lisbon: Imprensa Nacional-Casa da Moeda, 2009–.</w:t>
      </w:r>
    </w:p>
    <w:p>
      <w:pPr>
        <w:spacing w:after="120" w:line="360"/>
        <w:ind w:left="720" w:hanging="720"/>
      </w:pPr>
      <w:r>
        <w:rPr>
          <w:rFonts w:ascii="Times New Roman" w:cs="Times New Roman" w:eastAsia="Times New Roman" w:hAnsi="Times New Roman"/>
          <w:sz w:val="24"/>
          <w:szCs w:val="24"/>
        </w:rPr>
        <w:t xml:space="preserve">Plato. Apology, Charmides, Crito, Gorgias, Phaedo, Republic, Symposium, Sophist, Statesman, Philebus, Timaeus, Parmenides, Laws, Seventh Letter. In Platonis Opera, edited by John Burnet. 5 vols. Oxford: Clarendon, 1900–1907.</w:t>
      </w:r>
    </w:p>
    <w:p>
      <w:pPr>
        <w:spacing w:after="120" w:line="360"/>
        <w:ind w:left="720" w:hanging="720"/>
      </w:pPr>
      <w:r>
        <w:rPr>
          <w:rFonts w:ascii="Times New Roman" w:cs="Times New Roman" w:eastAsia="Times New Roman" w:hAnsi="Times New Roman"/>
          <w:sz w:val="24"/>
          <w:szCs w:val="24"/>
        </w:rPr>
        <w:t xml:space="preserve">Plutarch. Sulla. In Lives, vol. 4, translated by Bernadotte Perrin. Loeb Classical Library 80. Cambridge, MA: Harvard University Press, 1916.</w:t>
      </w:r>
    </w:p>
    <w:p>
      <w:pPr>
        <w:spacing w:after="120" w:line="360"/>
        <w:ind w:left="720" w:hanging="720"/>
      </w:pPr>
      <w:r>
        <w:rPr>
          <w:rFonts w:ascii="Times New Roman" w:cs="Times New Roman" w:eastAsia="Times New Roman" w:hAnsi="Times New Roman"/>
          <w:sz w:val="24"/>
          <w:szCs w:val="24"/>
        </w:rPr>
        <w:t xml:space="preserve">Polansky, Ronald, and Patrick Macfarlane. “The Enduring Charm of Plato’s Unwritten Doctrines.” In Philosophy, Competition and the Good Life, vol. 2, edited by Konstantine Boudouris and Kostas Kalimtzis, 262–271. Athens: Ionia Publications, 2005.</w:t>
      </w:r>
    </w:p>
    <w:p>
      <w:pPr>
        <w:spacing w:after="120" w:line="360"/>
        <w:ind w:left="720" w:hanging="720"/>
      </w:pPr>
      <w:r>
        <w:rPr>
          <w:rFonts w:ascii="Times New Roman" w:cs="Times New Roman" w:eastAsia="Times New Roman" w:hAnsi="Times New Roman"/>
          <w:sz w:val="24"/>
          <w:szCs w:val="24"/>
        </w:rPr>
        <w:t xml:space="preserve">Reale, Giovanni. Toward a New Interpretation of Plato. Translated by John R. Catan and Richard Davies. Washington, D.C.: Catholic University of America Press, 1997.</w:t>
      </w:r>
    </w:p>
    <w:p>
      <w:pPr>
        <w:spacing w:after="120" w:line="360"/>
        <w:ind w:left="720" w:hanging="720"/>
      </w:pPr>
      <w:r>
        <w:rPr>
          <w:rFonts w:ascii="Times New Roman" w:cs="Times New Roman" w:eastAsia="Times New Roman" w:hAnsi="Times New Roman"/>
          <w:sz w:val="24"/>
          <w:szCs w:val="24"/>
        </w:rPr>
        <w:t xml:space="preserve">Schleiermacher, Friedrich. Introductions to the Dialogues of Plato. 1804. Foundational statement of the modern Socratic problem.</w:t>
      </w:r>
    </w:p>
    <w:p>
      <w:pPr>
        <w:spacing w:after="120" w:line="360"/>
        <w:ind w:left="720" w:hanging="720"/>
      </w:pPr>
      <w:r>
        <w:rPr>
          <w:rFonts w:ascii="Times New Roman" w:cs="Times New Roman" w:eastAsia="Times New Roman" w:hAnsi="Times New Roman"/>
          <w:sz w:val="24"/>
          <w:szCs w:val="24"/>
        </w:rPr>
        <w:t xml:space="preserve">Simplicius. In Aristotelis Categorias Commentarium. Edited by Karl Kalbfleisch. Commentaria in Aristotelem Graeca VIII. Berlin: Reimer, 1907. At 7.23–32.</w:t>
      </w:r>
    </w:p>
    <w:p>
      <w:pPr>
        <w:spacing w:after="120" w:line="360"/>
        <w:ind w:left="720" w:hanging="720"/>
      </w:pPr>
      <w:r>
        <w:rPr>
          <w:rFonts w:ascii="Times New Roman" w:cs="Times New Roman" w:eastAsia="Times New Roman" w:hAnsi="Times New Roman"/>
          <w:sz w:val="24"/>
          <w:szCs w:val="24"/>
        </w:rPr>
        <w:t xml:space="preserve">Sorabji, Richard, ed. Aristotle Transformed: The Ancient Commentators and Their Influence. London: Duckworth, 1990.</w:t>
      </w:r>
    </w:p>
    <w:p>
      <w:pPr>
        <w:spacing w:after="120" w:line="360"/>
        <w:ind w:left="720" w:hanging="720"/>
      </w:pPr>
      <w:r>
        <w:rPr>
          <w:rFonts w:ascii="Times New Roman" w:cs="Times New Roman" w:eastAsia="Times New Roman" w:hAnsi="Times New Roman"/>
          <w:sz w:val="24"/>
          <w:szCs w:val="24"/>
        </w:rPr>
        <w:t xml:space="preserve">Strabo. Geography, Book 13. Translated by Horace Leonard Jones. Loeb Classical Library 223. Cambridge, MA: Harvard University Press, 1929.</w:t>
      </w:r>
    </w:p>
    <w:p>
      <w:pPr>
        <w:spacing w:after="120" w:line="360"/>
        <w:ind w:left="720" w:hanging="720"/>
      </w:pPr>
      <w:r>
        <w:rPr>
          <w:rFonts w:ascii="Times New Roman" w:cs="Times New Roman" w:eastAsia="Times New Roman" w:hAnsi="Times New Roman"/>
          <w:sz w:val="24"/>
          <w:szCs w:val="24"/>
        </w:rPr>
        <w:t xml:space="preserve">Suda. Suda On Line: Byzantine Lexicography. Entries χ 158–160 (Chaerephon); s.v. Porphyrios (π 2098), listing the treatise on the one school of Plato and Aristotle.</w:t>
      </w:r>
    </w:p>
    <w:p>
      <w:pPr>
        <w:spacing w:after="120" w:line="360"/>
        <w:ind w:left="720" w:hanging="720"/>
      </w:pPr>
      <w:r>
        <w:rPr>
          <w:rFonts w:ascii="Times New Roman" w:cs="Times New Roman" w:eastAsia="Times New Roman" w:hAnsi="Times New Roman"/>
          <w:sz w:val="24"/>
          <w:szCs w:val="24"/>
        </w:rPr>
        <w:t xml:space="preserve">Szlezák, Thomas A. Reading Plato. Translated by Graham Zanker. London: Routledge, 1999.</w:t>
      </w:r>
    </w:p>
    <w:p>
      <w:pPr>
        <w:spacing w:after="120" w:line="360"/>
        <w:ind w:left="720" w:hanging="720"/>
      </w:pPr>
      <w:r>
        <w:rPr>
          <w:rFonts w:ascii="Times New Roman" w:cs="Times New Roman" w:eastAsia="Times New Roman" w:hAnsi="Times New Roman"/>
          <w:sz w:val="24"/>
          <w:szCs w:val="24"/>
        </w:rPr>
        <w:t xml:space="preserve">Taylor, A. E. Socrates: The Man and His Thought. London: P. Davies, 1932.</w:t>
      </w:r>
    </w:p>
    <w:p>
      <w:pPr>
        <w:spacing w:after="120" w:line="360"/>
        <w:ind w:left="720" w:hanging="720"/>
      </w:pPr>
      <w:r>
        <w:rPr>
          <w:rFonts w:ascii="Times New Roman" w:cs="Times New Roman" w:eastAsia="Times New Roman" w:hAnsi="Times New Roman"/>
          <w:sz w:val="24"/>
          <w:szCs w:val="24"/>
        </w:rPr>
        <w:t xml:space="preserve">Vlastos, Gregory. “The Historical Socrates and Athenian Democracy.” Political Theory 11, no. 4 (1983): 495–516.</w:t>
      </w:r>
    </w:p>
    <w:p>
      <w:pPr>
        <w:spacing w:after="120" w:line="360"/>
        <w:ind w:left="720" w:hanging="720"/>
      </w:pPr>
      <w:r>
        <w:rPr>
          <w:rFonts w:ascii="Times New Roman" w:cs="Times New Roman" w:eastAsia="Times New Roman" w:hAnsi="Times New Roman"/>
          <w:sz w:val="24"/>
          <w:szCs w:val="24"/>
        </w:rPr>
        <w:t xml:space="preserve">Vlastos, Gregory. Socrates: Ironist and Moral Philosopher. Ithaca: Cornell University Press, 1991.</w:t>
      </w:r>
    </w:p>
    <w:p>
      <w:pPr>
        <w:spacing w:after="120" w:line="360"/>
        <w:ind w:left="720" w:hanging="720"/>
      </w:pPr>
      <w:r>
        <w:rPr>
          <w:rFonts w:ascii="Times New Roman" w:cs="Times New Roman" w:eastAsia="Times New Roman" w:hAnsi="Times New Roman"/>
          <w:sz w:val="24"/>
          <w:szCs w:val="24"/>
        </w:rPr>
        <w:t xml:space="preserve">Xenophon. Apology; Memorabilia; Symposium; Oeconomicus. In Xenophontis Opera Omnia, edited by E. C. Marchant. Oxford: Clarendon, 1900–1920.</w:t>
      </w:r>
    </w:p>
    <w:p>
      <w:pPr>
        <w:spacing w:after="120" w:line="360"/>
        <w:ind w:left="720" w:hanging="720"/>
      </w:pPr>
      <w:r>
        <w:rPr>
          <w:rFonts w:ascii="Times New Roman" w:cs="Times New Roman" w:eastAsia="Times New Roman" w:hAnsi="Times New Roman"/>
          <w:sz w:val="24"/>
          <w:szCs w:val="24"/>
        </w:rPr>
        <w:t xml:space="preserve">Zenith, Richard, ed. Fernando Pessoa: A Little Larger than the Entire Universe. London: Penguin, 2006.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2026-07-29T06:46:53.916Z</dcterms:created>
  <dcterms:modified xsi:type="dcterms:W3CDTF">2026-07-29T06:46:53.930Z</dcterms:modified>
</cp:coreProperties>
</file>

<file path=docProps/custom.xml><?xml version="1.0" encoding="utf-8"?>
<Properties xmlns="http://schemas.openxmlformats.org/officeDocument/2006/custom-properties" xmlns:vt="http://schemas.openxmlformats.org/officeDocument/2006/docPropsVTypes"/>
</file>