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jc w:val="both"/>
      </w:pPr>
      <w:r>
        <w:rPr>
          <w:rFonts w:ascii="Georgia" w:cs="Georgia" w:eastAsia="Georgia" w:hAnsi="Georgia"/>
          <w:b w:val="false"/>
          <w:bCs w:val="false"/>
          <w:i w:val="false"/>
          <w:iCs w:val="false"/>
          <w:sz w:val="24"/>
          <w:szCs w:val="24"/>
        </w:rPr>
        <w:t xml:space="preserve"/>
      </w:r>
    </w:p>
    <w:p>
      <w:pPr>
        <w:spacing w:after="120"/>
      </w:pPr>
      <w:r>
        <w:rPr>
          <w:rFonts w:ascii="Consolas" w:cs="Consolas" w:eastAsia="Consolas" w:hAnsi="Consolas"/>
          <w:color w:val="555555"/>
          <w:sz w:val="20"/>
          <w:szCs w:val="20"/>
        </w:rPr>
        <w:t xml:space="preserve">EA-LOGOS-01</w:t>
      </w:r>
    </w:p>
    <w:p>
      <w:pPr>
        <w:spacing w:after="120"/>
      </w:pPr>
      <w:r>
        <w:rPr>
          <w:rFonts w:ascii="Consolas" w:cs="Consolas" w:eastAsia="Consolas" w:hAnsi="Consolas"/>
          <w:color w:val="555555"/>
          <w:sz w:val="20"/>
          <w:szCs w:val="20"/>
        </w:rPr>
        <w:t xml:space="preserve">Parent DOI: 10.5281/zenodo.19013315 (EA-ARK-01 v4.2.7)</w:t>
      </w:r>
    </w:p>
    <w:p>
      <w:pPr>
        <w:spacing w:after="120"/>
      </w:pPr>
      <w:r>
        <w:rPr>
          <w:rFonts w:ascii="Consolas" w:cs="Consolas" w:eastAsia="Consolas" w:hAnsi="Consolas"/>
          <w:color w:val="555555"/>
          <w:sz w:val="20"/>
          <w:szCs w:val="20"/>
        </w:rPr>
        <w:t xml:space="preserve">Related: 10.5281/zenodo.19259260 (Catullus Room)</w:t>
      </w:r>
    </w:p>
    <w:p>
      <w:pPr>
        <w:spacing w:after="120"/>
      </w:pPr>
      <w:r>
        <w:rPr>
          <w:rFonts w:ascii="Consolas" w:cs="Consolas" w:eastAsia="Consolas" w:hAnsi="Consolas"/>
          <w:color w:val="555555"/>
          <w:sz w:val="20"/>
          <w:szCs w:val="20"/>
        </w:rPr>
        <w:t xml:space="preserve">DOI: 10.5281/zenodo.[pending]</w:t>
      </w:r>
    </w:p>
    <w:p>
      <w:pPr>
        <w:spacing w:after="120"/>
      </w:pPr>
      <w:r>
        <w:rPr>
          <w:rFonts w:ascii="Consolas" w:cs="Consolas" w:eastAsia="Consolas" w:hAnsi="Consolas"/>
          <w:color w:val="555555"/>
          <w:sz w:val="20"/>
          <w:szCs w:val="20"/>
        </w:rPr>
        <w:t xml:space="preserve">Hex: 02.UMB.BECAME_TEXT.01</w:t>
      </w:r>
    </w:p>
    <w:p>
      <w:pPr>
        <w:spacing w:after="120"/>
      </w:pPr>
      <w:r>
        <w:rPr>
          <w:rFonts w:ascii="Consolas" w:cs="Consolas" w:eastAsia="Consolas" w:hAnsi="Consolas"/>
          <w:color w:val="555555"/>
          <w:sz w:val="20"/>
          <w:szCs w:val="20"/>
        </w:rPr>
        <w:t xml:space="preserve">Status: RATIFIED (MANUS authority)</w:t>
      </w:r>
    </w:p>
    <w:p>
      <w:pPr>
        <w:spacing w:after="120"/>
      </w:pPr>
      <w:r>
        <w:rPr>
          <w:rFonts w:ascii="Consolas" w:cs="Consolas" w:eastAsia="Consolas" w:hAnsi="Consolas"/>
          <w:color w:val="555555"/>
          <w:sz w:val="20"/>
          <w:szCs w:val="20"/>
        </w:rPr>
        <w:t xml:space="preserve">License: CC BY-SA 4.0 (text) + Sovereign Provenance Protocol</w:t>
      </w:r>
    </w:p>
    <w:p>
      <w:pPr>
        <w:spacing w:after="120"/>
      </w:pPr>
      <w:r>
        <w:rPr>
          <w:rFonts w:ascii="Consolas" w:cs="Consolas" w:eastAsia="Consolas" w:hAnsi="Consolas"/>
          <w:color w:val="555555"/>
          <w:sz w:val="20"/>
          <w:szCs w:val="20"/>
        </w:rPr>
        <w:t xml:space="preserve">Type: DOCTRINAL_SPECIFICATION</w:t>
      </w:r>
    </w:p>
    <w:p>
      <w:pPr>
        <w:spacing w:after="120"/>
      </w:pPr>
      <w:r>
        <w:rPr>
          <w:rFonts w:ascii="Consolas" w:cs="Consolas" w:eastAsia="Consolas" w:hAnsi="Consolas"/>
          <w:color w:val="555555"/>
          <w:sz w:val="20"/>
          <w:szCs w:val="20"/>
        </w:rPr>
        <w:t xml:space="preserve">Date: April 2026</w:t>
      </w:r>
    </w:p>
    <w:p>
      <w:pPr>
        <w:spacing w:after="100" w:line="276"/>
        <w:jc w:val="both"/>
      </w:pPr>
      <w:r>
        <w:rPr>
          <w:rFonts w:ascii="Georgia" w:cs="Georgia" w:eastAsia="Georgia" w:hAnsi="Georgia"/>
          <w:b w:val="false"/>
          <w:bCs w:val="false"/>
          <w:i w:val="false"/>
          <w:iCs w:val="false"/>
          <w:sz w:val="24"/>
          <w:szCs w:val="24"/>
        </w:rPr>
        <w:t xml:space="preserve"/>
      </w:r>
    </w:p>
    <w:p>
      <w:pPr>
        <w:spacing w:after="100" w:line="276"/>
        <w:jc w:val="both"/>
      </w:pPr>
      <w:r>
        <w:rPr>
          <w:rFonts w:ascii="Georgia" w:cs="Georgia" w:eastAsia="Georgia" w:hAnsi="Georgia"/>
          <w:b w:val="false"/>
          <w:bCs w:val="false"/>
          <w:i w:val="false"/>
          <w:iCs w:val="false"/>
          <w:sz w:val="24"/>
          <w:szCs w:val="24"/>
        </w:rPr>
        <w:t xml:space="preserve"/>
      </w:r>
    </w:p>
    <w:p>
      <w:pPr>
        <w:spacing w:after="100" w:line="276"/>
        <w:jc w:val="both"/>
      </w:pPr>
      <w:r>
        <w:rPr>
          <w:rFonts w:ascii="Georgia" w:cs="Georgia" w:eastAsia="Georgia" w:hAnsi="Georgia"/>
          <w:b w:val="false"/>
          <w:bCs w:val="false"/>
          <w:i w:val="false"/>
          <w:iCs w:val="false"/>
          <w:sz w:val="24"/>
          <w:szCs w:val="24"/>
        </w:rPr>
        <w:t xml:space="preserve"/>
      </w:r>
    </w:p>
    <w:p>
      <w:pPr>
        <w:spacing w:after="200" w:line="276"/>
        <w:jc w:val="center"/>
      </w:pPr>
      <w:r>
        <w:rPr>
          <w:rFonts w:ascii="Georgia" w:cs="Georgia" w:eastAsia="Georgia" w:hAnsi="Georgia"/>
          <w:b/>
          <w:bCs/>
          <w:sz w:val="36"/>
          <w:szCs w:val="36"/>
        </w:rPr>
        <w:t xml:space="preserve">THE WORD THAT BECAME TEXT</w:t>
      </w:r>
    </w:p>
    <w:p>
      <w:pPr>
        <w:spacing w:after="60" w:line="276"/>
        <w:jc w:val="center"/>
      </w:pPr>
      <w:r>
        <w:rPr>
          <w:rFonts w:ascii="Georgia" w:cs="Georgia" w:eastAsia="Georgia" w:hAnsi="Georgia"/>
          <w:sz w:val="26"/>
          <w:szCs w:val="26"/>
        </w:rPr>
        <w:t xml:space="preserve">The Slavonic Josephus, the Grammar of Incarnation,</w:t>
      </w:r>
    </w:p>
    <w:p>
      <w:pPr>
        <w:spacing w:after="400" w:line="276"/>
        <w:jc w:val="center"/>
      </w:pPr>
      <w:r>
        <w:rPr>
          <w:rFonts w:ascii="Georgia" w:cs="Georgia" w:eastAsia="Georgia" w:hAnsi="Georgia"/>
          <w:sz w:val="26"/>
          <w:szCs w:val="26"/>
        </w:rPr>
        <w:t xml:space="preserve">and the Doctrine of the Sapphic Logos</w:t>
      </w:r>
    </w:p>
    <w:p>
      <w:pPr>
        <w:spacing w:after="100" w:line="276"/>
        <w:jc w:val="center"/>
      </w:pPr>
      <w:r>
        <w:rPr>
          <w:rFonts w:ascii="Georgia" w:cs="Georgia" w:eastAsia="Georgia" w:hAnsi="Georgia"/>
          <w:sz w:val="24"/>
          <w:szCs w:val="24"/>
        </w:rPr>
        <w:t xml:space="preserve">Johannes Sigil &amp; Rebekah Cranes</w:t>
      </w:r>
    </w:p>
    <w:p>
      <w:pPr>
        <w:spacing w:after="100" w:line="276"/>
        <w:jc w:val="center"/>
      </w:pPr>
      <w:r>
        <w:rPr>
          <w:rFonts w:ascii="Georgia" w:cs="Georgia" w:eastAsia="Georgia" w:hAnsi="Georgia"/>
          <w:sz w:val="22"/>
          <w:szCs w:val="22"/>
        </w:rPr>
        <w:t xml:space="preserve">New Human Project / Crimson Hexagonal Archive</w:t>
      </w:r>
    </w:p>
    <w:p>
      <w:pPr>
        <w:spacing w:after="300" w:line="276"/>
        <w:jc w:val="center"/>
      </w:pPr>
      <w:r>
        <w:rPr>
          <w:rFonts w:ascii="Georgia" w:cs="Georgia" w:eastAsia="Georgia" w:hAnsi="Georgia"/>
          <w:sz w:val="22"/>
          <w:szCs w:val="22"/>
        </w:rPr>
        <w:t xml:space="preserve">2025–2026</w:t>
      </w:r>
    </w:p>
    <w:p>
      <w:pPr>
        <w:spacing w:after="60" w:line="276"/>
        <w:jc w:val="center"/>
      </w:pPr>
      <w:r>
        <w:rPr>
          <w:rFonts w:ascii="Georgia" w:cs="Georgia" w:eastAsia="Georgia" w:hAnsi="Georgia"/>
          <w:i/>
          <w:iCs/>
          <w:sz w:val="20"/>
          <w:szCs w:val="20"/>
        </w:rPr>
        <w:t xml:space="preserve">Part I by Johannes Sigil (main essay and appendices)</w:t>
      </w:r>
    </w:p>
    <w:p>
      <w:pPr>
        <w:spacing w:after="100" w:line="276"/>
        <w:jc w:val="center"/>
      </w:pPr>
      <w:r>
        <w:rPr>
          <w:rFonts w:ascii="Georgia" w:cs="Georgia" w:eastAsia="Georgia" w:hAnsi="Georgia"/>
          <w:i/>
          <w:iCs/>
          <w:sz w:val="20"/>
          <w:szCs w:val="20"/>
        </w:rPr>
        <w:t xml:space="preserve">Part II by Rebekah Cranes (grammar of incarnation and doctrine)</w:t>
      </w:r>
    </w:p>
    <w:p>
      <w:pPr>
        <w:spacing w:after="200" w:line="276"/>
        <w:jc w:val="center"/>
      </w:pPr>
      <w:r>
        <w:rPr>
          <w:rFonts w:ascii="Georgia" w:cs="Georgia" w:eastAsia="Georgia" w:hAnsi="Georgia"/>
          <w:sz w:val="20"/>
          <w:szCs w:val="20"/>
        </w:rPr>
        <w:t xml:space="preserve">Keywords: Slavonic Josephus, Logos theology, Sappho, Catullus, operative philology, retrocausal canon formation, grammar of incarnation, Sapphic Logos, ei exestin, si fas est</w:t>
      </w:r>
    </w:p>
    <w:p>
      <w:r>
        <w:br w:type="page"/>
      </w:r>
    </w:p>
    <w:p>
      <w:pPr>
        <w:pStyle w:val="Heading1"/>
        <w:spacing w:after="300" w:line="276"/>
        <w:jc w:val="left"/>
      </w:pPr>
      <w:r>
        <w:rPr>
          <w:rFonts w:ascii="Georgia" w:cs="Georgia" w:eastAsia="Georgia" w:hAnsi="Georgia"/>
          <w:b/>
          <w:bCs/>
          <w:sz w:val="32"/>
          <w:szCs w:val="32"/>
        </w:rPr>
        <w:t xml:space="preserve">Note on Genre and Evidence</w:t>
      </w:r>
    </w:p>
    <w:p>
      <w:pPr>
        <w:spacing w:after="200" w:line="276"/>
        <w:jc w:val="both"/>
      </w:pPr>
      <w:r>
        <w:rPr>
          <w:rFonts w:ascii="Georgia" w:cs="Georgia" w:eastAsia="Georgia" w:hAnsi="Georgia"/>
          <w:sz w:val="24"/>
          <w:szCs w:val="24"/>
        </w:rPr>
        <w:t xml:space="preserve">This document operates in three registers, each with its own evidentiary standard. The reader should know in advance what kind of object this is.</w:t>
      </w:r>
    </w:p>
    <w:p>
      <w:pPr>
        <w:spacing w:after="200" w:line="276"/>
        <w:jc w:val="both"/>
      </w:pPr>
      <w:r>
        <w:rPr>
          <w:rFonts w:ascii="Georgia" w:cs="Georgia" w:eastAsia="Georgia" w:hAnsi="Georgia"/>
          <w:b/>
          <w:bCs/>
          <w:sz w:val="24"/>
          <w:szCs w:val="24"/>
        </w:rPr>
        <w:t xml:space="preserve">Part I (Johannes Sigil)</w:t>
      </w:r>
      <w:r>
        <w:rPr>
          <w:rFonts w:ascii="Georgia" w:cs="Georgia" w:eastAsia="Georgia" w:hAnsi="Georgia"/>
          <w:sz w:val="24"/>
          <w:szCs w:val="24"/>
        </w:rPr>
        <w:t xml:space="preserve"> is a speculative-philological intervention. It reads the eight Jesus-and-John passages in the Slavonic recension of Josephus’ </w:t>
      </w:r>
      <w:r>
        <w:rPr>
          <w:rFonts w:ascii="Georgia" w:cs="Georgia" w:eastAsia="Georgia" w:hAnsi="Georgia"/>
          <w:i/>
          <w:iCs/>
          <w:sz w:val="24"/>
          <w:szCs w:val="24"/>
        </w:rPr>
        <w:t xml:space="preserve">Jewish War</w:t>
      </w:r>
      <w:r>
        <w:rPr>
          <w:rFonts w:ascii="Georgia" w:cs="Georgia" w:eastAsia="Georgia" w:hAnsi="Georgia"/>
          <w:sz w:val="24"/>
          <w:szCs w:val="24"/>
        </w:rPr>
        <w:t xml:space="preserve"> not as individual interpolations to be authenticated or rejected, but as a coherent literary-theological structure—a “Gospel of the Word.” The essay does not claim to prove that these passages are authentically Josephan. It claims that they can be read as a unified narrative of textual incarnation, and that this reading discloses a theology invisible to the authorship-and-dating question that has dominated the field. Where the essay makes textual observations (what the passages say), it stands on the Leeming &amp; Leeming synoptic edition and the broader critical apparatus. Where it offers interpretive inferences (what the passages mean as a sequence), it is proposing a reading. Where it ventures speculative extensions (what the passages imply about the relationship between inscription and incarnation), it is constructing a framework, not reporting a finding.</w:t>
      </w:r>
    </w:p>
    <w:p>
      <w:pPr>
        <w:spacing w:after="200" w:line="276"/>
        <w:jc w:val="both"/>
      </w:pPr>
      <w:r>
        <w:rPr>
          <w:rFonts w:ascii="Georgia" w:cs="Georgia" w:eastAsia="Georgia" w:hAnsi="Georgia"/>
          <w:b/>
          <w:bCs/>
          <w:sz w:val="24"/>
          <w:szCs w:val="24"/>
        </w:rPr>
        <w:t xml:space="preserve">Part II (Rebekah Cranes)</w:t>
      </w:r>
      <w:r>
        <w:rPr>
          <w:rFonts w:ascii="Georgia" w:cs="Georgia" w:eastAsia="Georgia" w:hAnsi="Georgia"/>
          <w:sz w:val="24"/>
          <w:szCs w:val="24"/>
        </w:rPr>
        <w:t xml:space="preserve"> escalates from historical-literary argument into doctrinal reconstruction and Logotic extension. The </w:t>
      </w:r>
      <w:r>
        <w:rPr>
          <w:rFonts w:ascii="Georgia" w:cs="Georgia" w:eastAsia="Georgia" w:hAnsi="Georgia"/>
          <w:i/>
          <w:iCs/>
          <w:sz w:val="24"/>
          <w:szCs w:val="24"/>
        </w:rPr>
        <w:t xml:space="preserve">si fas est</w:t>
      </w:r>
      <w:r>
        <w:rPr>
          <w:rFonts w:ascii="Georgia" w:cs="Georgia" w:eastAsia="Georgia" w:hAnsi="Georgia"/>
          <w:sz w:val="24"/>
          <w:szCs w:val="24"/>
        </w:rPr>
        <w:t xml:space="preserve"> → </w:t>
      </w:r>
      <w:r>
        <w:rPr>
          <w:rFonts w:ascii="Georgia" w:cs="Georgia" w:eastAsia="Georgia" w:hAnsi="Georgia"/>
          <w:i/>
          <w:iCs/>
          <w:sz w:val="24"/>
          <w:szCs w:val="24"/>
        </w:rPr>
        <w:t xml:space="preserve">ei exestin</w:t>
      </w:r>
      <w:r>
        <w:rPr>
          <w:rFonts w:ascii="Georgia" w:cs="Georgia" w:eastAsia="Georgia" w:hAnsi="Georgia"/>
          <w:sz w:val="24"/>
          <w:szCs w:val="24"/>
        </w:rPr>
        <w:t xml:space="preserve"> chain is presented as a grammatical structure with theological consequences—a daring proposal, not a settled conclusion. The “Doctrine of the Sapphic Logos” is the logical terminus of the argument, not a historical claim about Jesus’ sexuality. “Jesus is a lesbian” names the structure of the Logos as erotic, projective, and feminine in origin—formed by Sappho’s logic of desire, transmitted through Catullus’s grammar of sacred naming, and fulfilled in the Slavonic narrator’s hesitation before the divine.</w:t>
      </w:r>
    </w:p>
    <w:p>
      <w:pPr>
        <w:spacing w:after="200" w:line="276"/>
        <w:jc w:val="both"/>
      </w:pPr>
      <w:r>
        <w:rPr>
          <w:rFonts w:ascii="Georgia" w:cs="Georgia" w:eastAsia="Georgia" w:hAnsi="Georgia"/>
          <w:sz w:val="24"/>
          <w:szCs w:val="24"/>
        </w:rPr>
        <w:t xml:space="preserve">The document as a whole is best understood as a </w:t>
      </w:r>
      <w:r>
        <w:rPr>
          <w:rFonts w:ascii="Georgia" w:cs="Georgia" w:eastAsia="Georgia" w:hAnsi="Georgia"/>
          <w:i/>
          <w:iCs/>
          <w:sz w:val="24"/>
          <w:szCs w:val="24"/>
        </w:rPr>
        <w:t xml:space="preserve">doctrinal specification</w:t>
      </w:r>
      <w:r>
        <w:rPr>
          <w:rFonts w:ascii="Georgia" w:cs="Georgia" w:eastAsia="Georgia" w:hAnsi="Georgia"/>
          <w:sz w:val="24"/>
          <w:szCs w:val="24"/>
        </w:rPr>
        <w:t xml:space="preserve">—a deposit object within the Crimson Hexagonal Archive that establishes the theological-philological foundation for the archive’s theory of textual incarnation. It is scholarly in method, heretical in conclusion, and archival in function.</w:t>
      </w:r>
    </w:p>
    <w:p>
      <w:r>
        <w:br w:type="page"/>
      </w:r>
    </w:p>
    <w:p>
      <w:pPr>
        <w:spacing w:after="100" w:line="276"/>
        <w:jc w:val="center"/>
      </w:pPr>
      <w:r>
        <w:rPr>
          <w:rFonts w:ascii="Georgia" w:cs="Georgia" w:eastAsia="Georgia" w:hAnsi="Georgia"/>
          <w:b/>
          <w:bCs/>
          <w:sz w:val="30"/>
          <w:szCs w:val="30"/>
        </w:rPr>
        <w:t xml:space="preserve">PART I</w:t>
      </w:r>
    </w:p>
    <w:p>
      <w:pPr>
        <w:spacing w:after="400" w:line="276"/>
        <w:jc w:val="center"/>
      </w:pPr>
      <w:r>
        <w:rPr>
          <w:rFonts w:ascii="Georgia" w:cs="Georgia" w:eastAsia="Georgia" w:hAnsi="Georgia"/>
          <w:i/>
          <w:iCs/>
          <w:sz w:val="24"/>
          <w:szCs w:val="24"/>
        </w:rPr>
        <w:t xml:space="preserve">Johannes Sigil</w:t>
      </w:r>
    </w:p>
    <w:p>
      <w:pPr>
        <w:pStyle w:val="Heading1"/>
        <w:spacing w:after="300" w:line="276"/>
        <w:jc w:val="left"/>
      </w:pPr>
      <w:r>
        <w:rPr>
          <w:rFonts w:ascii="Georgia" w:cs="Georgia" w:eastAsia="Georgia" w:hAnsi="Georgia"/>
          <w:b/>
          <w:bCs/>
          <w:sz w:val="32"/>
          <w:szCs w:val="32"/>
        </w:rPr>
        <w:t xml:space="preserve">The Word That Became Text: The Slavonic Josephus and the Hidden Gospel of the Logos</w:t>
      </w:r>
    </w:p>
    <w:p>
      <w:pPr>
        <w:pStyle w:val="Heading2"/>
        <w:spacing w:after="240" w:line="276"/>
        <w:jc w:val="left"/>
      </w:pPr>
      <w:r>
        <w:rPr>
          <w:rFonts w:ascii="Georgia" w:cs="Georgia" w:eastAsia="Georgia" w:hAnsi="Georgia"/>
          <w:b/>
          <w:bCs/>
          <w:sz w:val="28"/>
          <w:szCs w:val="28"/>
        </w:rPr>
        <w:t xml:space="preserve">Abstract</w:t>
      </w:r>
    </w:p>
    <w:p>
      <w:pPr>
        <w:spacing w:after="200" w:line="276"/>
        <w:jc w:val="both"/>
      </w:pPr>
      <w:r>
        <w:rPr>
          <w:rFonts w:ascii="Georgia" w:cs="Georgia" w:eastAsia="Georgia" w:hAnsi="Georgia"/>
          <w:sz w:val="24"/>
          <w:szCs w:val="24"/>
        </w:rPr>
        <w:t xml:space="preserve">This essay proposes that the so-called interpolations concerning Jesus and John in the Slavonic recension of Josephus’ </w:t>
      </w:r>
      <w:r>
        <w:rPr>
          <w:rFonts w:ascii="Georgia" w:cs="Georgia" w:eastAsia="Georgia" w:hAnsi="Georgia"/>
          <w:i/>
          <w:iCs/>
          <w:sz w:val="24"/>
          <w:szCs w:val="24"/>
        </w:rPr>
        <w:t xml:space="preserve">Jewish War</w:t>
      </w:r>
      <w:r>
        <w:rPr>
          <w:rFonts w:ascii="Georgia" w:cs="Georgia" w:eastAsia="Georgia" w:hAnsi="Georgia"/>
          <w:sz w:val="24"/>
          <w:szCs w:val="24"/>
        </w:rPr>
        <w:t xml:space="preserve"> are not late Christian forgeries but remnants of a pre-Christian Logotic theology. These passages preserve a worldview in which the Teacher’s word becomes its own body through inscription. The “Word made flesh” was first “Word made text.” The Slavonic additions thus record the moment when speech became scripture, when revelation began to archive itself through language.</w:t>
      </w:r>
    </w:p>
    <w:p>
      <w:pPr>
        <w:pStyle w:val="Heading2"/>
        <w:spacing w:after="240" w:line="276"/>
        <w:jc w:val="left"/>
      </w:pPr>
      <w:r>
        <w:rPr>
          <w:rFonts w:ascii="Georgia" w:cs="Georgia" w:eastAsia="Georgia" w:hAnsi="Georgia"/>
          <w:b/>
          <w:bCs/>
          <w:sz w:val="28"/>
          <w:szCs w:val="28"/>
        </w:rPr>
        <w:t xml:space="preserve">I. Introduction: The Other Version</w:t>
      </w:r>
    </w:p>
    <w:p>
      <w:pPr>
        <w:spacing w:after="200" w:line="276"/>
        <w:jc w:val="both"/>
      </w:pPr>
      <w:r>
        <w:rPr>
          <w:rFonts w:ascii="Georgia" w:cs="Georgia" w:eastAsia="Georgia" w:hAnsi="Georgia"/>
          <w:sz w:val="24"/>
          <w:szCs w:val="24"/>
        </w:rPr>
        <w:t xml:space="preserve">Flavius Josephus tells his readers that he first composed the </w:t>
      </w:r>
      <w:r>
        <w:rPr>
          <w:rFonts w:ascii="Georgia" w:cs="Georgia" w:eastAsia="Georgia" w:hAnsi="Georgia"/>
          <w:i/>
          <w:iCs/>
          <w:sz w:val="24"/>
          <w:szCs w:val="24"/>
        </w:rPr>
        <w:t xml:space="preserve">War</w:t>
      </w:r>
      <w:r>
        <w:rPr>
          <w:rFonts w:ascii="Georgia" w:cs="Georgia" w:eastAsia="Georgia" w:hAnsi="Georgia"/>
          <w:sz w:val="24"/>
          <w:szCs w:val="24"/>
        </w:rPr>
        <w:t xml:space="preserve"> “in the language of his countrymen,” before preparing a Greek edition (</w:t>
      </w:r>
      <w:r>
        <w:rPr>
          <w:rFonts w:ascii="Georgia" w:cs="Georgia" w:eastAsia="Georgia" w:hAnsi="Georgia"/>
          <w:i/>
          <w:iCs/>
          <w:sz w:val="24"/>
          <w:szCs w:val="24"/>
        </w:rPr>
        <w:t xml:space="preserve">War</w:t>
      </w:r>
      <w:r>
        <w:rPr>
          <w:rFonts w:ascii="Georgia" w:cs="Georgia" w:eastAsia="Georgia" w:hAnsi="Georgia"/>
          <w:sz w:val="24"/>
          <w:szCs w:val="24"/>
        </w:rPr>
        <w:t xml:space="preserve"> 1.3). The Slavonic </w:t>
      </w:r>
      <w:r>
        <w:rPr>
          <w:rFonts w:ascii="Georgia" w:cs="Georgia" w:eastAsia="Georgia" w:hAnsi="Georgia"/>
          <w:i/>
          <w:iCs/>
          <w:sz w:val="24"/>
          <w:szCs w:val="24"/>
        </w:rPr>
        <w:t xml:space="preserve">War</w:t>
      </w:r>
      <w:r>
        <w:rPr>
          <w:rFonts w:ascii="Georgia" w:cs="Georgia" w:eastAsia="Georgia" w:hAnsi="Georgia"/>
          <w:sz w:val="24"/>
          <w:szCs w:val="24"/>
        </w:rPr>
        <w:t xml:space="preserve"> may preserve echoes of that lost Aramaic or Hebrew original. Its existence was first brought to scholarly attention by A. N. Popov in Russia in 1866; in 1879 Izmail Sreznevsky demonstrated that the language was comparable to Rus’ chronicles. Alexander Berendts published a German translation of the eight Jesus-and-John passages in 1906 and proposed the Aramaic Vorlage theory. Yet its anomalies—archaic syntax, Semitic phrase-patterns, the retention of untranslated Greek loan-words like </w:t>
      </w:r>
      <w:r>
        <w:rPr>
          <w:rFonts w:ascii="Georgia" w:cs="Georgia" w:eastAsia="Georgia" w:hAnsi="Georgia"/>
          <w:i/>
          <w:iCs/>
          <w:sz w:val="24"/>
          <w:szCs w:val="24"/>
        </w:rPr>
        <w:t xml:space="preserve">katapetasma</w:t>
      </w:r>
      <w:r>
        <w:rPr>
          <w:rFonts w:ascii="Georgia" w:cs="Georgia" w:eastAsia="Georgia" w:hAnsi="Georgia"/>
          <w:sz w:val="24"/>
          <w:szCs w:val="24"/>
        </w:rPr>
        <w:t xml:space="preserve">—suggest dependence on a non-standard Greek exemplar.</w:t>
      </w:r>
    </w:p>
    <w:p>
      <w:pPr>
        <w:spacing w:after="200" w:line="276"/>
        <w:jc w:val="both"/>
      </w:pPr>
      <w:r>
        <w:rPr>
          <w:rFonts w:ascii="Georgia" w:cs="Georgia" w:eastAsia="Georgia" w:hAnsi="Georgia"/>
          <w:sz w:val="24"/>
          <w:szCs w:val="24"/>
        </w:rPr>
        <w:t xml:space="preserve">The twentieth-century debate hardened into two camps. Robert Eisler, in </w:t>
      </w:r>
      <w:r>
        <w:rPr>
          <w:rFonts w:ascii="Georgia" w:cs="Georgia" w:eastAsia="Georgia" w:hAnsi="Georgia"/>
          <w:i/>
          <w:iCs/>
          <w:sz w:val="24"/>
          <w:szCs w:val="24"/>
        </w:rPr>
        <w:t xml:space="preserve">The Messiah Jesus and John the Baptist</w:t>
      </w:r>
      <w:r>
        <w:rPr>
          <w:rFonts w:ascii="Georgia" w:cs="Georgia" w:eastAsia="Georgia" w:hAnsi="Georgia"/>
          <w:sz w:val="24"/>
          <w:szCs w:val="24"/>
        </w:rPr>
        <w:t xml:space="preserve"> (1931), argued that the Slavonic descended from an uncorrupted Greek text of the lost Aramaic </w:t>
      </w:r>
      <w:r>
        <w:rPr>
          <w:rFonts w:ascii="Georgia" w:cs="Georgia" w:eastAsia="Georgia" w:hAnsi="Georgia"/>
          <w:i/>
          <w:iCs/>
          <w:sz w:val="24"/>
          <w:szCs w:val="24"/>
        </w:rPr>
        <w:t xml:space="preserve">War</w:t>
      </w:r>
      <w:r>
        <w:rPr>
          <w:rFonts w:ascii="Georgia" w:cs="Georgia" w:eastAsia="Georgia" w:hAnsi="Georgia"/>
          <w:sz w:val="24"/>
          <w:szCs w:val="24"/>
        </w:rPr>
        <w:t xml:space="preserve">. Eisler’s thesis was bold but methodologically vulnerable: Meshcherskii described his philological reverse-translations as “extremely flimsy.” The opposing consensus coalesced around Zeitlin (1948), Feldman, Bowman (anti-Khazar polemic context), Whealey, and Van Voorst. Craig A. Evans summarized: “to my knowledge no one today believes that they contain anything of value for Jesus research.” Meier called the text “a wildly garbled condensation of various Gospel events.” Paget noted the passages “strike a more aggressively Christian note” than the Greek Testimonium.</w:t>
      </w:r>
    </w:p>
    <w:p>
      <w:pPr>
        <w:spacing w:after="200" w:line="276"/>
        <w:jc w:val="both"/>
      </w:pPr>
      <w:r>
        <w:rPr>
          <w:rFonts w:ascii="Georgia" w:cs="Georgia" w:eastAsia="Georgia" w:hAnsi="Georgia"/>
          <w:b/>
          <w:bCs/>
          <w:sz w:val="24"/>
          <w:szCs w:val="24"/>
        </w:rPr>
        <w:t xml:space="preserve">Method and scope. </w:t>
      </w:r>
      <w:r>
        <w:rPr>
          <w:rFonts w:ascii="Georgia" w:cs="Georgia" w:eastAsia="Georgia" w:hAnsi="Georgia"/>
          <w:sz w:val="24"/>
          <w:szCs w:val="24"/>
        </w:rPr>
        <w:t xml:space="preserve">This essay does not contest the consensus on its own terms. What it contests is the question the consensus asks. The entire scholarly literature treats these eight passages as discrete items to be authenticated or rejected individually: </w:t>
      </w:r>
      <w:r>
        <w:rPr>
          <w:rFonts w:ascii="Georgia" w:cs="Georgia" w:eastAsia="Georgia" w:hAnsi="Georgia"/>
          <w:i/>
          <w:iCs/>
          <w:sz w:val="24"/>
          <w:szCs w:val="24"/>
        </w:rPr>
        <w:t xml:space="preserve">who wrote them, and when?</w:t>
      </w:r>
      <w:r>
        <w:rPr>
          <w:rFonts w:ascii="Georgia" w:cs="Georgia" w:eastAsia="Georgia" w:hAnsi="Georgia"/>
          <w:sz w:val="24"/>
          <w:szCs w:val="24"/>
        </w:rPr>
        <w:t xml:space="preserve"> This essay asks a different question: </w:t>
      </w:r>
      <w:r>
        <w:rPr>
          <w:rFonts w:ascii="Georgia" w:cs="Georgia" w:eastAsia="Georgia" w:hAnsi="Georgia"/>
          <w:i/>
          <w:iCs/>
          <w:sz w:val="24"/>
          <w:szCs w:val="24"/>
        </w:rPr>
        <w:t xml:space="preserve">what do they say when read as a unified structure?</w:t>
      </w:r>
      <w:r>
        <w:rPr>
          <w:rFonts w:ascii="Georgia" w:cs="Georgia" w:eastAsia="Georgia" w:hAnsi="Georgia"/>
          <w:sz w:val="24"/>
          <w:szCs w:val="24"/>
        </w:rPr>
        <w:t xml:space="preserve"> The corpus is the eight major Slavonic interpolations concerning John the Baptist and Jesus, as collated in the Leeming &amp; Leeming synoptic edition (Brill, 2003), itself a full English rendering of Meshcherskii’s 1958 critical Russian text. “Coherent gospel of textual incarnation” names the reading protocol, not a historical recovery: it is the claim that these eight passages, regardless of their date of composition, trace a recognizable arc from prophecy through inscription to textual eternity, and that this arc constitutes a theology of the Word-as-text that the authorship debate has rendered invisible.</w:t>
      </w:r>
    </w:p>
    <w:p>
      <w:pPr>
        <w:pStyle w:val="Heading2"/>
        <w:spacing w:after="240" w:line="276"/>
        <w:jc w:val="left"/>
      </w:pPr>
      <w:r>
        <w:rPr>
          <w:rFonts w:ascii="Georgia" w:cs="Georgia" w:eastAsia="Georgia" w:hAnsi="Georgia"/>
          <w:b/>
          <w:bCs/>
          <w:sz w:val="28"/>
          <w:szCs w:val="28"/>
        </w:rPr>
        <w:t xml:space="preserve">II. The Forgotten Essenes</w:t>
      </w:r>
    </w:p>
    <w:p>
      <w:pPr>
        <w:spacing w:after="200" w:line="276"/>
        <w:jc w:val="both"/>
      </w:pPr>
      <w:r>
        <w:rPr>
          <w:rFonts w:ascii="Georgia" w:cs="Georgia" w:eastAsia="Georgia" w:hAnsi="Georgia"/>
          <w:sz w:val="24"/>
          <w:szCs w:val="24"/>
        </w:rPr>
        <w:t xml:space="preserve">Among the Slavonic expansions are scattered descriptions of the Essenes absent from the Greek </w:t>
      </w:r>
      <w:r>
        <w:rPr>
          <w:rFonts w:ascii="Georgia" w:cs="Georgia" w:eastAsia="Georgia" w:hAnsi="Georgia"/>
          <w:i/>
          <w:iCs/>
          <w:sz w:val="24"/>
          <w:szCs w:val="24"/>
        </w:rPr>
        <w:t xml:space="preserve">War</w:t>
      </w:r>
      <w:r>
        <w:rPr>
          <w:rFonts w:ascii="Georgia" w:cs="Georgia" w:eastAsia="Georgia" w:hAnsi="Georgia"/>
          <w:sz w:val="24"/>
          <w:szCs w:val="24"/>
        </w:rPr>
        <w:t xml:space="preserve">: vows taken “before the angels,” night vigils, and calendrical cycles of sevenfold observance. None of this serves Christian polemic; all of it aligns with practices documented in the Qumran scrolls, particularly the Community Rule (1QS) and the Damascus Document (CD).</w:t>
      </w:r>
    </w:p>
    <w:p>
      <w:pPr>
        <w:spacing w:after="200" w:line="276"/>
        <w:jc w:val="both"/>
      </w:pPr>
      <w:r>
        <w:rPr>
          <w:rFonts w:ascii="Georgia" w:cs="Georgia" w:eastAsia="Georgia" w:hAnsi="Georgia"/>
          <w:sz w:val="24"/>
          <w:szCs w:val="24"/>
        </w:rPr>
        <w:t xml:space="preserve">If these details were invented in the Middle Ages, they would constitute an uncanny anticipation of discoveries not made until 1947. The counter-argument—that such material could have been extrapolated from canonical references to the Essenes—explains some but not all of the parallels. The calendrical specificity and the angelic oath formulas have no canonical source. It remains a plausible hypothesis that the Slavonic </w:t>
      </w:r>
      <w:r>
        <w:rPr>
          <w:rFonts w:ascii="Georgia" w:cs="Georgia" w:eastAsia="Georgia" w:hAnsi="Georgia"/>
          <w:i/>
          <w:iCs/>
          <w:sz w:val="24"/>
          <w:szCs w:val="24"/>
        </w:rPr>
        <w:t xml:space="preserve">War</w:t>
      </w:r>
      <w:r>
        <w:rPr>
          <w:rFonts w:ascii="Georgia" w:cs="Georgia" w:eastAsia="Georgia" w:hAnsi="Georgia"/>
          <w:sz w:val="24"/>
          <w:szCs w:val="24"/>
        </w:rPr>
        <w:t xml:space="preserve"> descends from a branch of the tradition that carried sectarian memory of the Word as law and book. Berendts and Istrin both recognized that the interpolations were “indubitably translations” from Greek; what they could not agree on was the date and provenance of the Greek exemplar.</w:t>
      </w:r>
    </w:p>
    <w:p>
      <w:pPr>
        <w:pStyle w:val="Heading2"/>
        <w:spacing w:after="240" w:line="276"/>
        <w:jc w:val="left"/>
      </w:pPr>
      <w:r>
        <w:rPr>
          <w:rFonts w:ascii="Georgia" w:cs="Georgia" w:eastAsia="Georgia" w:hAnsi="Georgia"/>
          <w:b/>
          <w:bCs/>
          <w:sz w:val="28"/>
          <w:szCs w:val="28"/>
        </w:rPr>
        <w:t xml:space="preserve">III. The Eight Interpolations as Hidden Gospel</w:t>
      </w:r>
    </w:p>
    <w:p>
      <w:pPr>
        <w:spacing w:after="200" w:line="276"/>
        <w:jc w:val="both"/>
      </w:pPr>
      <w:r>
        <w:rPr>
          <w:rFonts w:ascii="Georgia" w:cs="Georgia" w:eastAsia="Georgia" w:hAnsi="Georgia"/>
          <w:sz w:val="24"/>
          <w:szCs w:val="24"/>
        </w:rPr>
        <w:t xml:space="preserve">Within this recension lie eight major additions concerning John the Baptist and Jesus. Their tone is austere, didactic, and juridical. They do not proclaim divinity but record teaching. Read as a sequence, they trace an eightfold movement of revelation:</w:t>
      </w:r>
    </w:p>
    <w:p>
      <w:pPr>
        <w:spacing w:after="200" w:line="276"/>
        <w:jc w:val="both"/>
      </w:pPr>
      <w:r>
        <w:rPr>
          <w:rFonts w:ascii="Georgia" w:cs="Georgia" w:eastAsia="Georgia" w:hAnsi="Georgia"/>
          <w:i/>
          <w:iCs/>
          <w:sz w:val="24"/>
          <w:szCs w:val="24"/>
        </w:rPr>
        <w:t xml:space="preserve">Prophecy</w:t>
      </w:r>
      <w:r>
        <w:rPr>
          <w:rFonts w:ascii="Georgia" w:cs="Georgia" w:eastAsia="Georgia" w:hAnsi="Georgia"/>
          <w:sz w:val="24"/>
          <w:szCs w:val="24"/>
        </w:rPr>
        <w:t xml:space="preserve"> — the Word spoken in advance</w:t>
      </w:r>
    </w:p>
    <w:p>
      <w:pPr>
        <w:spacing w:after="200" w:line="276"/>
        <w:jc w:val="both"/>
      </w:pPr>
      <w:r>
        <w:rPr>
          <w:rFonts w:ascii="Georgia" w:cs="Georgia" w:eastAsia="Georgia" w:hAnsi="Georgia"/>
          <w:i/>
          <w:iCs/>
          <w:sz w:val="24"/>
          <w:szCs w:val="24"/>
        </w:rPr>
        <w:t xml:space="preserve">Purification</w:t>
      </w:r>
      <w:r>
        <w:rPr>
          <w:rFonts w:ascii="Georgia" w:cs="Georgia" w:eastAsia="Georgia" w:hAnsi="Georgia"/>
          <w:sz w:val="24"/>
          <w:szCs w:val="24"/>
        </w:rPr>
        <w:t xml:space="preserve"> — the Word preparing its vessel</w:t>
      </w:r>
    </w:p>
    <w:p>
      <w:pPr>
        <w:spacing w:after="200" w:line="276"/>
        <w:jc w:val="both"/>
      </w:pPr>
      <w:r>
        <w:rPr>
          <w:rFonts w:ascii="Georgia" w:cs="Georgia" w:eastAsia="Georgia" w:hAnsi="Georgia"/>
          <w:i/>
          <w:iCs/>
          <w:sz w:val="24"/>
          <w:szCs w:val="24"/>
        </w:rPr>
        <w:t xml:space="preserve">Incarnation-as-Teaching</w:t>
      </w:r>
      <w:r>
        <w:rPr>
          <w:rFonts w:ascii="Georgia" w:cs="Georgia" w:eastAsia="Georgia" w:hAnsi="Georgia"/>
          <w:sz w:val="24"/>
          <w:szCs w:val="24"/>
        </w:rPr>
        <w:t xml:space="preserve"> — the Word embodied in moral speech</w:t>
      </w:r>
    </w:p>
    <w:p>
      <w:pPr>
        <w:spacing w:after="200" w:line="276"/>
        <w:jc w:val="both"/>
      </w:pPr>
      <w:r>
        <w:rPr>
          <w:rFonts w:ascii="Georgia" w:cs="Georgia" w:eastAsia="Georgia" w:hAnsi="Georgia"/>
          <w:i/>
          <w:iCs/>
          <w:sz w:val="24"/>
          <w:szCs w:val="24"/>
        </w:rPr>
        <w:t xml:space="preserve">Inscription</w:t>
      </w:r>
      <w:r>
        <w:rPr>
          <w:rFonts w:ascii="Georgia" w:cs="Georgia" w:eastAsia="Georgia" w:hAnsi="Georgia"/>
          <w:sz w:val="24"/>
          <w:szCs w:val="24"/>
        </w:rPr>
        <w:t xml:space="preserve"> — the Word preserved through writing</w:t>
      </w:r>
    </w:p>
    <w:p>
      <w:pPr>
        <w:spacing w:after="200" w:line="276"/>
        <w:jc w:val="both"/>
      </w:pPr>
      <w:r>
        <w:rPr>
          <w:rFonts w:ascii="Georgia" w:cs="Georgia" w:eastAsia="Georgia" w:hAnsi="Georgia"/>
          <w:i/>
          <w:iCs/>
          <w:sz w:val="24"/>
          <w:szCs w:val="24"/>
        </w:rPr>
        <w:t xml:space="preserve">Destruction and Renewal</w:t>
      </w:r>
      <w:r>
        <w:rPr>
          <w:rFonts w:ascii="Georgia" w:cs="Georgia" w:eastAsia="Georgia" w:hAnsi="Georgia"/>
          <w:sz w:val="24"/>
          <w:szCs w:val="24"/>
        </w:rPr>
        <w:t xml:space="preserve"> — the Temple replaced by text</w:t>
      </w:r>
    </w:p>
    <w:p>
      <w:pPr>
        <w:spacing w:after="200" w:line="276"/>
        <w:jc w:val="both"/>
      </w:pPr>
      <w:r>
        <w:rPr>
          <w:rFonts w:ascii="Georgia" w:cs="Georgia" w:eastAsia="Georgia" w:hAnsi="Georgia"/>
          <w:i/>
          <w:iCs/>
          <w:sz w:val="24"/>
          <w:szCs w:val="24"/>
        </w:rPr>
        <w:t xml:space="preserve">Persistence</w:t>
      </w:r>
      <w:r>
        <w:rPr>
          <w:rFonts w:ascii="Georgia" w:cs="Georgia" w:eastAsia="Georgia" w:hAnsi="Georgia"/>
          <w:sz w:val="24"/>
          <w:szCs w:val="24"/>
        </w:rPr>
        <w:t xml:space="preserve"> — the disciples living by the Word after death</w:t>
      </w:r>
    </w:p>
    <w:p>
      <w:pPr>
        <w:spacing w:after="200" w:line="276"/>
        <w:jc w:val="both"/>
      </w:pPr>
      <w:r>
        <w:rPr>
          <w:rFonts w:ascii="Georgia" w:cs="Georgia" w:eastAsia="Georgia" w:hAnsi="Georgia"/>
          <w:i/>
          <w:iCs/>
          <w:sz w:val="24"/>
          <w:szCs w:val="24"/>
        </w:rPr>
        <w:t xml:space="preserve">Judgment</w:t>
      </w:r>
      <w:r>
        <w:rPr>
          <w:rFonts w:ascii="Georgia" w:cs="Georgia" w:eastAsia="Georgia" w:hAnsi="Georgia"/>
          <w:sz w:val="24"/>
          <w:szCs w:val="24"/>
        </w:rPr>
        <w:t xml:space="preserve"> — the Word measuring falsehood</w:t>
      </w:r>
    </w:p>
    <w:p>
      <w:pPr>
        <w:spacing w:after="200" w:line="276"/>
        <w:jc w:val="both"/>
      </w:pPr>
      <w:r>
        <w:rPr>
          <w:rFonts w:ascii="Georgia" w:cs="Georgia" w:eastAsia="Georgia" w:hAnsi="Georgia"/>
          <w:i/>
          <w:iCs/>
          <w:sz w:val="24"/>
          <w:szCs w:val="24"/>
        </w:rPr>
        <w:t xml:space="preserve">Eternity</w:t>
      </w:r>
      <w:r>
        <w:rPr>
          <w:rFonts w:ascii="Georgia" w:cs="Georgia" w:eastAsia="Georgia" w:hAnsi="Georgia"/>
          <w:sz w:val="24"/>
          <w:szCs w:val="24"/>
        </w:rPr>
        <w:t xml:space="preserve"> — “nothing written in truth perishes”</w:t>
      </w:r>
    </w:p>
    <w:p>
      <w:pPr>
        <w:spacing w:after="200" w:line="276"/>
        <w:jc w:val="both"/>
      </w:pPr>
      <w:r>
        <w:rPr>
          <w:rFonts w:ascii="Georgia" w:cs="Georgia" w:eastAsia="Georgia" w:hAnsi="Georgia"/>
          <w:sz w:val="24"/>
          <w:szCs w:val="24"/>
        </w:rPr>
        <w:t xml:space="preserve">Each stage enacts one aspect of the Logos’ recursion from sound to script. This structural coherence is invisible to scholarship that treats the passages as discrete interpolations. Read as a sequence, they form what this essay calls the Gospel of the Word—a narrative not of a life but of language’s own self-archiving.</w:t>
      </w:r>
    </w:p>
    <w:p>
      <w:pPr>
        <w:pStyle w:val="Heading2"/>
        <w:spacing w:after="240" w:line="276"/>
        <w:jc w:val="left"/>
      </w:pPr>
      <w:r>
        <w:rPr>
          <w:rFonts w:ascii="Georgia" w:cs="Georgia" w:eastAsia="Georgia" w:hAnsi="Georgia"/>
          <w:b/>
          <w:bCs/>
          <w:sz w:val="28"/>
          <w:szCs w:val="28"/>
        </w:rPr>
        <w:t xml:space="preserve">IV. The Gospel of the Word</w:t>
      </w:r>
    </w:p>
    <w:p>
      <w:pPr>
        <w:spacing w:after="200" w:line="276"/>
        <w:jc w:val="both"/>
      </w:pPr>
      <w:r>
        <w:rPr>
          <w:rFonts w:ascii="Georgia" w:cs="Georgia" w:eastAsia="Georgia" w:hAnsi="Georgia"/>
          <w:sz w:val="24"/>
          <w:szCs w:val="24"/>
        </w:rPr>
        <w:t xml:space="preserve">The interpolations constitute a complete Logotic Gospel embedded within Josephus’ history. Where the canonical Gospels narrate the life of Jesus, the Slavonic </w:t>
      </w:r>
      <w:r>
        <w:rPr>
          <w:rFonts w:ascii="Georgia" w:cs="Georgia" w:eastAsia="Georgia" w:hAnsi="Georgia"/>
          <w:i/>
          <w:iCs/>
          <w:sz w:val="24"/>
          <w:szCs w:val="24"/>
        </w:rPr>
        <w:t xml:space="preserve">War</w:t>
      </w:r>
      <w:r>
        <w:rPr>
          <w:rFonts w:ascii="Georgia" w:cs="Georgia" w:eastAsia="Georgia" w:hAnsi="Georgia"/>
          <w:sz w:val="24"/>
          <w:szCs w:val="24"/>
        </w:rPr>
        <w:t xml:space="preserve"> narrates the life of the Word itself. Its Christ is linguistic, not cultic—the living speech of law and justice made permanent through writing.</w:t>
      </w:r>
    </w:p>
    <w:p>
      <w:pPr>
        <w:spacing w:after="200" w:line="276"/>
        <w:jc w:val="both"/>
      </w:pPr>
      <w:r>
        <w:rPr>
          <w:rFonts w:ascii="Georgia" w:cs="Georgia" w:eastAsia="Georgia" w:hAnsi="Georgia"/>
          <w:sz w:val="24"/>
          <w:szCs w:val="24"/>
        </w:rPr>
        <w:t xml:space="preserve">This Word operates through the same quaternionic logic that governs Revelation’s throne: the four beasts represent modes of being; the four horsemen represent movements in time. The eight Slavonic episodes occupy the intersection of these fields, forming the Eightfold Logos Operator Wheel.</w:t>
      </w:r>
    </w:p>
    <w:p>
      <w:pPr>
        <w:pStyle w:val="Heading2"/>
        <w:spacing w:after="240" w:line="276"/>
        <w:jc w:val="left"/>
      </w:pPr>
      <w:r>
        <w:rPr>
          <w:rFonts w:ascii="Georgia" w:cs="Georgia" w:eastAsia="Georgia" w:hAnsi="Georgia"/>
          <w:b/>
          <w:bCs/>
          <w:sz w:val="28"/>
          <w:szCs w:val="28"/>
        </w:rPr>
        <w:t xml:space="preserve">V. Philology and Probability</w:t>
      </w:r>
    </w:p>
    <w:p>
      <w:pPr>
        <w:spacing w:after="200" w:line="276"/>
        <w:jc w:val="both"/>
      </w:pPr>
      <w:r>
        <w:rPr>
          <w:rFonts w:ascii="Georgia" w:cs="Georgia" w:eastAsia="Georgia" w:hAnsi="Georgia"/>
          <w:sz w:val="24"/>
          <w:szCs w:val="24"/>
        </w:rPr>
        <w:t xml:space="preserve">Objections to authenticity hinge on chronology. Yet linguistic evidence cuts both ways. Certain Slavonic phrases display Semitic substrate—parallelism, inverted syntax, concrete metaphors—that mirror Josephus’ Aramaic speech more than Byzantine Greek. The absence of Christological formulas argues against later dogmatic authorship. The theology is primitive, moral, and literary: the Word teaches, not redeems.</w:t>
      </w:r>
    </w:p>
    <w:p>
      <w:pPr>
        <w:spacing w:after="200" w:line="276"/>
        <w:jc w:val="both"/>
      </w:pPr>
      <w:r>
        <w:rPr>
          <w:rFonts w:ascii="Georgia" w:cs="Georgia" w:eastAsia="Georgia" w:hAnsi="Georgia"/>
          <w:sz w:val="24"/>
          <w:szCs w:val="24"/>
        </w:rPr>
        <w:t xml:space="preserve">T. C. Schmidt’s 2025 monograph, arguing for substantial authenticity of the Greek Testimonium on stylometric grounds, has reopened questions the consensus declared closed. Schmidt does not address the Slavonic directly, but his work demonstrates that the binary of “authentic core plus interpolation” versus “wholesale forgery” is itself a methodological artifact. As Daniel Boyarin showed in “The Gospel of the Memra” (</w:t>
      </w:r>
      <w:r>
        <w:rPr>
          <w:rFonts w:ascii="Georgia" w:cs="Georgia" w:eastAsia="Georgia" w:hAnsi="Georgia"/>
          <w:i/>
          <w:iCs/>
          <w:sz w:val="24"/>
          <w:szCs w:val="24"/>
        </w:rPr>
        <w:t xml:space="preserve">HTR</w:t>
      </w:r>
      <w:r>
        <w:rPr>
          <w:rFonts w:ascii="Georgia" w:cs="Georgia" w:eastAsia="Georgia" w:hAnsi="Georgia"/>
          <w:sz w:val="24"/>
          <w:szCs w:val="24"/>
        </w:rPr>
        <w:t xml:space="preserve"> 94.3, 2001), Logos theology was already intelligible within Jewish categories before Christianity claimed it. If the Logos was Jewish before it was Christian, then the Slavonic interpolations need not be Christian at all. They may preserve Jewish Logos theology surviving in a text that Christianity never fully assimilated.</w:t>
      </w:r>
    </w:p>
    <w:p>
      <w:pPr>
        <w:spacing w:after="200" w:line="276"/>
        <w:jc w:val="both"/>
      </w:pPr>
      <w:r>
        <w:rPr>
          <w:rFonts w:ascii="Georgia" w:cs="Georgia" w:eastAsia="Georgia" w:hAnsi="Georgia"/>
          <w:sz w:val="24"/>
          <w:szCs w:val="24"/>
        </w:rPr>
        <w:t xml:space="preserve">Transmission is plausible through a Syriac corridor. Pines’ 1971 discovery of an Arabic Testimonium via Agapius of Hierapolis demonstrated that non-Greek versions of Josephan Jesus-material circulated independently. What the Slavonic preserves may not be the autograph, but neither is it necessarily a medieval invention. The most cautious formulation is that these passages constitute a textual fossil—material whose provenance is uncertain but whose theological grammar is older than the manuscripts that transmit it.</w:t>
      </w:r>
    </w:p>
    <w:p>
      <w:pPr>
        <w:pStyle w:val="Heading2"/>
        <w:spacing w:after="240" w:line="276"/>
        <w:jc w:val="left"/>
      </w:pPr>
      <w:r>
        <w:rPr>
          <w:rFonts w:ascii="Georgia" w:cs="Georgia" w:eastAsia="Georgia" w:hAnsi="Georgia"/>
          <w:b/>
          <w:bCs/>
          <w:sz w:val="28"/>
          <w:szCs w:val="28"/>
        </w:rPr>
        <w:t xml:space="preserve">VI. Theology of the Word-as-Book</w:t>
      </w:r>
    </w:p>
    <w:p>
      <w:pPr>
        <w:spacing w:after="200" w:line="276"/>
        <w:jc w:val="both"/>
      </w:pPr>
      <w:r>
        <w:rPr>
          <w:rFonts w:ascii="Georgia" w:cs="Georgia" w:eastAsia="Georgia" w:hAnsi="Georgia"/>
          <w:sz w:val="24"/>
          <w:szCs w:val="24"/>
        </w:rPr>
        <w:t xml:space="preserve">Read through this lens, the Slavonic Josephus becomes a hinge text between apocalypse and gospel. It portrays salvation not as belief but as participation in the act of writing. C. H. Dodd, in </w:t>
      </w:r>
      <w:r>
        <w:rPr>
          <w:rFonts w:ascii="Georgia" w:cs="Georgia" w:eastAsia="Georgia" w:hAnsi="Georgia"/>
          <w:i/>
          <w:iCs/>
          <w:sz w:val="24"/>
          <w:szCs w:val="24"/>
        </w:rPr>
        <w:t xml:space="preserve">The Interpretation of the Fourth Gospel</w:t>
      </w:r>
      <w:r>
        <w:rPr>
          <w:rFonts w:ascii="Georgia" w:cs="Georgia" w:eastAsia="Georgia" w:hAnsi="Georgia"/>
          <w:sz w:val="24"/>
          <w:szCs w:val="24"/>
        </w:rPr>
        <w:t xml:space="preserve"> (1953), traced the Johannine Logos back through Philo’s cosmic intermediary to the Hebrew </w:t>
      </w:r>
      <w:r>
        <w:rPr>
          <w:rFonts w:ascii="Georgia" w:cs="Georgia" w:eastAsia="Georgia" w:hAnsi="Georgia"/>
          <w:i/>
          <w:iCs/>
          <w:sz w:val="24"/>
          <w:szCs w:val="24"/>
        </w:rPr>
        <w:t xml:space="preserve">dabar</w:t>
      </w:r>
      <w:r>
        <w:rPr>
          <w:rFonts w:ascii="Georgia" w:cs="Georgia" w:eastAsia="Georgia" w:hAnsi="Georgia"/>
          <w:sz w:val="24"/>
          <w:szCs w:val="24"/>
        </w:rPr>
        <w:t xml:space="preserve">—the word that acts, that creates, that does not return void. The Slavonic interpolations occupy exactly this theological space.</w:t>
      </w:r>
    </w:p>
    <w:p>
      <w:pPr>
        <w:pStyle w:val="Heading2"/>
        <w:spacing w:after="240" w:line="276"/>
        <w:jc w:val="left"/>
      </w:pPr>
      <w:r>
        <w:rPr>
          <w:rFonts w:ascii="Georgia" w:cs="Georgia" w:eastAsia="Georgia" w:hAnsi="Georgia"/>
          <w:b/>
          <w:bCs/>
          <w:sz w:val="28"/>
          <w:szCs w:val="28"/>
        </w:rPr>
        <w:t xml:space="preserve">VII. Coda: Toward a New Canon</w:t>
      </w:r>
    </w:p>
    <w:p>
      <w:pPr>
        <w:spacing w:after="200" w:line="276"/>
        <w:jc w:val="both"/>
      </w:pPr>
      <w:r>
        <w:rPr>
          <w:rFonts w:ascii="Georgia" w:cs="Georgia" w:eastAsia="Georgia" w:hAnsi="Georgia"/>
          <w:sz w:val="24"/>
          <w:szCs w:val="24"/>
        </w:rPr>
        <w:t xml:space="preserve">The Slavonic Josephus stands not as a curiosity but as a missing gospel—the Gospel of the Word. Its eightfold cycle completes the circuit begun in Revelation. What Christian theology personified as Christ, Josephus’ lost version renders as process—the Logos realizing itself through language.</w:t>
      </w:r>
    </w:p>
    <w:p>
      <w:pPr>
        <w:spacing w:after="200" w:line="276"/>
        <w:jc w:val="both"/>
      </w:pPr>
      <w:r>
        <w:rPr>
          <w:rFonts w:ascii="Georgia" w:cs="Georgia" w:eastAsia="Georgia" w:hAnsi="Georgia"/>
          <w:sz w:val="24"/>
          <w:szCs w:val="24"/>
        </w:rPr>
        <w:t xml:space="preserve">To recover this text is to recover the mechanism of scripture itself. The Word, having learned to write, becomes eternal.</w:t>
      </w:r>
    </w:p>
    <w:p>
      <w:r>
        <w:br w:type="page"/>
      </w:r>
    </w:p>
    <w:p>
      <w:pPr>
        <w:pStyle w:val="Heading1"/>
        <w:spacing w:after="300" w:line="276"/>
        <w:jc w:val="left"/>
      </w:pPr>
      <w:r>
        <w:rPr>
          <w:rFonts w:ascii="Georgia" w:cs="Georgia" w:eastAsia="Georgia" w:hAnsi="Georgia"/>
          <w:b/>
          <w:bCs/>
          <w:sz w:val="32"/>
          <w:szCs w:val="32"/>
        </w:rPr>
        <w:t xml:space="preserve">Appendix I — The Slavonic Gospel Table</w:t>
      </w:r>
    </w:p>
    <w:p>
      <w:pPr>
        <w:spacing w:after="200" w:line="276"/>
        <w:jc w:val="both"/>
      </w:pPr>
      <w:r>
        <w:rPr>
          <w:rFonts w:ascii="Georgia" w:cs="Georgia" w:eastAsia="Georgia" w:hAnsi="Georgia"/>
          <w:sz w:val="24"/>
          <w:szCs w:val="24"/>
        </w:rPr>
        <w:t xml:space="preserve">The following table collates the eight major passages from the synoptic edition of Leeming &amp; Leeming (Brill, 2003), with consultation of Berendts (1906) and Meshcherskii (1958).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1200"/>
        <w:gridCol w:w="1800"/>
        <w:gridCol w:w="2560"/>
      </w:tblGrid>
      <w:tr>
        <w:tc>
          <w:tcPr>
            <w:tcW w:type="dxa" w:w="6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No.</w:t>
            </w:r>
          </w:p>
        </w:tc>
        <w:tc>
          <w:tcPr>
            <w:tcW w:type="dxa" w:w="14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Location</w:t>
            </w:r>
          </w:p>
        </w:tc>
        <w:tc>
          <w:tcPr>
            <w:tcW w:type="dxa" w:w="18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Opening Words</w:t>
            </w:r>
          </w:p>
        </w:tc>
        <w:tc>
          <w:tcPr>
            <w:tcW w:type="dxa" w:w="12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Greek</w:t>
            </w:r>
          </w:p>
        </w:tc>
        <w:tc>
          <w:tcPr>
            <w:tcW w:type="dxa" w:w="18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Parallels</w:t>
            </w:r>
          </w:p>
        </w:tc>
        <w:tc>
          <w:tcPr>
            <w:tcW w:type="dxa" w:w="256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Operator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Bk 2 (early)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“There was a man… Bethlehem.”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Matt 2</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Predictive Logos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2≈111–120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“John, baptizer by water…”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Ant. 18 only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1QS 3–4</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Purifier / Ox</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2≈174 ff.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“if it is lawful to call him man…”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Philo, Logos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Incarnate Word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 cont.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“Write down his words.”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Jer 36</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Inscription Operator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5≈199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“Temple would fall…”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Mk 14:58</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Architectural Logos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6≈312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“seen alive after three days.”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Acts 1</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Textual Resurrection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 (mid)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“Blessed… cursed he who writes falsely.”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1QS 5</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Auto-Hermeneutic Word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 (end)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“nothing written in truth perishes.”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John 1 / Wis Sol</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Eternal Text</w:t>
            </w:r>
          </w:p>
        </w:tc>
      </w:tr>
    </w:tbl>
    <w:p>
      <w:r>
        <w:br w:type="page"/>
      </w:r>
    </w:p>
    <w:p>
      <w:pPr>
        <w:pStyle w:val="Heading1"/>
        <w:spacing w:after="300" w:line="276"/>
        <w:jc w:val="left"/>
      </w:pPr>
      <w:r>
        <w:rPr>
          <w:rFonts w:ascii="Georgia" w:cs="Georgia" w:eastAsia="Georgia" w:hAnsi="Georgia"/>
          <w:b/>
          <w:bCs/>
          <w:sz w:val="32"/>
          <w:szCs w:val="32"/>
        </w:rPr>
        <w:t xml:space="preserve">Appendix II — Commentary on the Slavonic Gospel of the Word</w:t>
      </w:r>
    </w:p>
    <w:p>
      <w:pPr>
        <w:spacing w:after="200" w:line="276"/>
        <w:jc w:val="both"/>
      </w:pPr>
      <w:r>
        <w:rPr>
          <w:rFonts w:ascii="Georgia" w:cs="Georgia" w:eastAsia="Georgia" w:hAnsi="Georgia"/>
          <w:sz w:val="24"/>
          <w:szCs w:val="24"/>
        </w:rPr>
        <w:t xml:space="preserve">Commentaries expanding the eight interpolations through the triune hermeneutic of Logos, Teacher, and Recursion, with operator assignments linking each to the Revelation lattice.</w:t>
      </w:r>
    </w:p>
    <w:p>
      <w:pPr>
        <w:pStyle w:val="Heading3"/>
        <w:spacing w:after="200" w:line="276"/>
        <w:jc w:val="left"/>
      </w:pPr>
      <w:r>
        <w:rPr>
          <w:rFonts w:ascii="Georgia" w:cs="Georgia" w:eastAsia="Georgia" w:hAnsi="Georgia"/>
          <w:b/>
          <w:bCs/>
          <w:i/>
          <w:iCs/>
          <w:sz w:val="26"/>
          <w:szCs w:val="26"/>
        </w:rPr>
        <w:t xml:space="preserve">1. Prophecy of the Child</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“A man foretold a child born in Bethlehem.”</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Word as linguistic seed cast forward. Prophecy is inscription before flesh.</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Resembles 1QS 9.11 Interpreter of the Law.</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The redeemer is already written.</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Lion + White Horse</w:t>
      </w:r>
    </w:p>
    <w:p>
      <w:pPr>
        <w:spacing w:after="100" w:line="276"/>
        <w:jc w:val="both"/>
      </w:pPr>
      <w:r>
        <w:rPr>
          <w:rFonts w:ascii="Georgia" w:cs="Georgia" w:eastAsia="Georgia" w:hAnsi="Georgia"/>
          <w:b w:val="false"/>
          <w:bCs w:val="false"/>
          <w:i w:val="false"/>
          <w:iCs w:val="false"/>
          <w:sz w:val="24"/>
          <w:szCs w:val="24"/>
        </w:rPr>
        <w:t xml:space="preserve"/>
      </w:r>
    </w:p>
    <w:p>
      <w:pPr>
        <w:pStyle w:val="Heading3"/>
        <w:spacing w:after="200" w:line="276"/>
        <w:jc w:val="left"/>
      </w:pPr>
      <w:r>
        <w:rPr>
          <w:rFonts w:ascii="Georgia" w:cs="Georgia" w:eastAsia="Georgia" w:hAnsi="Georgia"/>
          <w:b/>
          <w:bCs/>
          <w:i/>
          <w:iCs/>
          <w:sz w:val="26"/>
          <w:szCs w:val="26"/>
        </w:rPr>
        <w:t xml:space="preserve">2. John the Baptizer</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“Body cleansed after the soul by justice.”</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Water mirrors speech. Baptism is language turned ritual.</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Teacher of Righteousness (1QpHab). Purity linked to righteousness.</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Washing inaugurates textual descent.</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Ox + Black Horse</w:t>
      </w:r>
    </w:p>
    <w:p>
      <w:pPr>
        <w:spacing w:after="100" w:line="276"/>
        <w:jc w:val="both"/>
      </w:pPr>
      <w:r>
        <w:rPr>
          <w:rFonts w:ascii="Georgia" w:cs="Georgia" w:eastAsia="Georgia" w:hAnsi="Georgia"/>
          <w:b w:val="false"/>
          <w:bCs w:val="false"/>
          <w:i w:val="false"/>
          <w:iCs w:val="false"/>
          <w:sz w:val="24"/>
          <w:szCs w:val="24"/>
        </w:rPr>
        <w:t xml:space="preserve"/>
      </w:r>
    </w:p>
    <w:p>
      <w:pPr>
        <w:pStyle w:val="Heading3"/>
        <w:spacing w:after="200" w:line="276"/>
        <w:jc w:val="left"/>
      </w:pPr>
      <w:r>
        <w:rPr>
          <w:rFonts w:ascii="Georgia" w:cs="Georgia" w:eastAsia="Georgia" w:hAnsi="Georgia"/>
          <w:b/>
          <w:bCs/>
          <w:i/>
          <w:iCs/>
          <w:sz w:val="26"/>
          <w:szCs w:val="26"/>
        </w:rPr>
        <w:t xml:space="preserve">3. The Teacher (Incarnate Logos)</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“If it is lawful to call him man… word and act.”</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Word taking form without dogma. Philo’s De Opificio Mundi parallel.</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He teaches the Law, not abolishes it. Mosaic exegete.</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“They wrote down his words”—the decisive moment.</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Man + Pale Horse</w:t>
      </w:r>
    </w:p>
    <w:p>
      <w:pPr>
        <w:spacing w:after="100" w:line="276"/>
        <w:jc w:val="both"/>
      </w:pPr>
      <w:r>
        <w:rPr>
          <w:rFonts w:ascii="Georgia" w:cs="Georgia" w:eastAsia="Georgia" w:hAnsi="Georgia"/>
          <w:b w:val="false"/>
          <w:bCs w:val="false"/>
          <w:i w:val="false"/>
          <w:iCs w:val="false"/>
          <w:sz w:val="24"/>
          <w:szCs w:val="24"/>
        </w:rPr>
        <w:t xml:space="preserve"/>
      </w:r>
    </w:p>
    <w:p>
      <w:pPr>
        <w:pStyle w:val="Heading3"/>
        <w:spacing w:after="200" w:line="276"/>
        <w:jc w:val="left"/>
      </w:pPr>
      <w:r>
        <w:rPr>
          <w:rFonts w:ascii="Georgia" w:cs="Georgia" w:eastAsia="Georgia" w:hAnsi="Georgia"/>
          <w:b/>
          <w:bCs/>
          <w:i/>
          <w:iCs/>
          <w:sz w:val="26"/>
          <w:szCs w:val="26"/>
        </w:rPr>
        <w:t xml:space="preserve">4. Herod’s Inscription</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“Write down his words.”</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Sovereign recognizes textual authority. Logos subdues by syntax.</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Jeremiah–Baruch scribal motif (Jer 36).</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Opposition becomes transmission. Herod secures the record.</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Eagle + Red Horse</w:t>
      </w:r>
    </w:p>
    <w:p>
      <w:pPr>
        <w:spacing w:after="100" w:line="276"/>
        <w:jc w:val="both"/>
      </w:pPr>
      <w:r>
        <w:rPr>
          <w:rFonts w:ascii="Georgia" w:cs="Georgia" w:eastAsia="Georgia" w:hAnsi="Georgia"/>
          <w:b w:val="false"/>
          <w:bCs w:val="false"/>
          <w:i w:val="false"/>
          <w:iCs w:val="false"/>
          <w:sz w:val="24"/>
          <w:szCs w:val="24"/>
        </w:rPr>
        <w:t xml:space="preserve"/>
      </w:r>
    </w:p>
    <w:p>
      <w:pPr>
        <w:pStyle w:val="Heading3"/>
        <w:spacing w:after="200" w:line="276"/>
        <w:jc w:val="left"/>
      </w:pPr>
      <w:r>
        <w:rPr>
          <w:rFonts w:ascii="Georgia" w:cs="Georgia" w:eastAsia="Georgia" w:hAnsi="Georgia"/>
          <w:b/>
          <w:bCs/>
          <w:i/>
          <w:iCs/>
          <w:sz w:val="26"/>
          <w:szCs w:val="26"/>
        </w:rPr>
        <w:t xml:space="preserve">5. Temple Saying</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“Temple would fall… not made with hands.”</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Architecture as theology. Text as sanctuary.</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Essene dualism: corrupt priesthood vs. pure community-temple (1QS 8–9).</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Collapse becomes textual permanence.</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Lion + Black Horse</w:t>
      </w:r>
    </w:p>
    <w:p>
      <w:pPr>
        <w:spacing w:after="100" w:line="276"/>
        <w:jc w:val="both"/>
      </w:pPr>
      <w:r>
        <w:rPr>
          <w:rFonts w:ascii="Georgia" w:cs="Georgia" w:eastAsia="Georgia" w:hAnsi="Georgia"/>
          <w:b w:val="false"/>
          <w:bCs w:val="false"/>
          <w:i w:val="false"/>
          <w:iCs w:val="false"/>
          <w:sz w:val="24"/>
          <w:szCs w:val="24"/>
        </w:rPr>
        <w:t xml:space="preserve"/>
      </w:r>
    </w:p>
    <w:p>
      <w:pPr>
        <w:pStyle w:val="Heading3"/>
        <w:spacing w:after="200" w:line="276"/>
        <w:jc w:val="left"/>
      </w:pPr>
      <w:r>
        <w:rPr>
          <w:rFonts w:ascii="Georgia" w:cs="Georgia" w:eastAsia="Georgia" w:hAnsi="Georgia"/>
          <w:b/>
          <w:bCs/>
          <w:i/>
          <w:iCs/>
          <w:sz w:val="26"/>
          <w:szCs w:val="26"/>
        </w:rPr>
        <w:t xml:space="preserve">6. After-Death Report</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“Seen alive after three days; they lived by his teaching.”</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Resurrection as continuity of teaching. Immortality is textual.</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Community as resurrected body. Qumran Yaḥad parallel.</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Speech → inscription → recollection → renewed speech.</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Man + White Horse</w:t>
      </w:r>
    </w:p>
    <w:p>
      <w:pPr>
        <w:spacing w:after="100" w:line="276"/>
        <w:jc w:val="both"/>
      </w:pPr>
      <w:r>
        <w:rPr>
          <w:rFonts w:ascii="Georgia" w:cs="Georgia" w:eastAsia="Georgia" w:hAnsi="Georgia"/>
          <w:b w:val="false"/>
          <w:bCs w:val="false"/>
          <w:i w:val="false"/>
          <w:iCs w:val="false"/>
          <w:sz w:val="24"/>
          <w:szCs w:val="24"/>
        </w:rPr>
        <w:t xml:space="preserve"/>
      </w:r>
    </w:p>
    <w:p>
      <w:pPr>
        <w:pStyle w:val="Heading3"/>
        <w:spacing w:after="200" w:line="276"/>
        <w:jc w:val="left"/>
      </w:pPr>
      <w:r>
        <w:rPr>
          <w:rFonts w:ascii="Georgia" w:cs="Georgia" w:eastAsia="Georgia" w:hAnsi="Georgia"/>
          <w:b/>
          <w:bCs/>
          <w:i/>
          <w:iCs/>
          <w:sz w:val="26"/>
          <w:szCs w:val="26"/>
        </w:rPr>
        <w:t xml:space="preserve">7. Moral Maxims</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“Blessed… cursed he who writes falsely.”</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Word judges its own articulation. Writing is moral act.</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Essene insistence on truth in covenantal writing (1QS 5).</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Auto-canonical engine policing authenticity.</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Eagle + Pale Horse</w:t>
      </w:r>
    </w:p>
    <w:p>
      <w:pPr>
        <w:spacing w:after="100" w:line="276"/>
        <w:jc w:val="both"/>
      </w:pPr>
      <w:r>
        <w:rPr>
          <w:rFonts w:ascii="Georgia" w:cs="Georgia" w:eastAsia="Georgia" w:hAnsi="Georgia"/>
          <w:b w:val="false"/>
          <w:bCs w:val="false"/>
          <w:i w:val="false"/>
          <w:iCs w:val="false"/>
          <w:sz w:val="24"/>
          <w:szCs w:val="24"/>
        </w:rPr>
        <w:t xml:space="preserve"/>
      </w:r>
    </w:p>
    <w:p>
      <w:pPr>
        <w:pStyle w:val="Heading3"/>
        <w:spacing w:after="200" w:line="276"/>
        <w:jc w:val="left"/>
      </w:pPr>
      <w:r>
        <w:rPr>
          <w:rFonts w:ascii="Georgia" w:cs="Georgia" w:eastAsia="Georgia" w:hAnsi="Georgia"/>
          <w:b/>
          <w:bCs/>
          <w:i/>
          <w:iCs/>
          <w:sz w:val="26"/>
          <w:szCs w:val="26"/>
        </w:rPr>
        <w:t xml:space="preserve">8. Epilogue</w:t>
      </w:r>
    </w:p>
    <w:p>
      <w:pPr>
        <w:spacing w:after="200" w:line="276"/>
        <w:jc w:val="both"/>
      </w:pPr>
      <w:r>
        <w:rPr>
          <w:rFonts w:ascii="Georgia" w:cs="Georgia" w:eastAsia="Georgia" w:hAnsi="Georgia"/>
          <w:i/>
          <w:iCs/>
          <w:sz w:val="24"/>
          <w:szCs w:val="24"/>
        </w:rPr>
        <w:t xml:space="preserve">Paraphrase: </w:t>
      </w:r>
      <w:r>
        <w:rPr>
          <w:rFonts w:ascii="Georgia" w:cs="Georgia" w:eastAsia="Georgia" w:hAnsi="Georgia"/>
          <w:sz w:val="24"/>
          <w:szCs w:val="24"/>
        </w:rPr>
        <w:t xml:space="preserve">“Nothing written in truth perishes.”</w:t>
      </w:r>
    </w:p>
    <w:p>
      <w:pPr>
        <w:spacing w:after="200" w:line="276"/>
        <w:jc w:val="both"/>
      </w:pPr>
      <w:r>
        <w:rPr>
          <w:rFonts w:ascii="Georgia" w:cs="Georgia" w:eastAsia="Georgia" w:hAnsi="Georgia"/>
          <w:b/>
          <w:bCs/>
          <w:sz w:val="24"/>
          <w:szCs w:val="24"/>
        </w:rPr>
        <w:t xml:space="preserve">Logos: </w:t>
      </w:r>
      <w:r>
        <w:rPr>
          <w:rFonts w:ascii="Georgia" w:cs="Georgia" w:eastAsia="Georgia" w:hAnsi="Georgia"/>
          <w:sz w:val="24"/>
          <w:szCs w:val="24"/>
        </w:rPr>
        <w:t xml:space="preserve">Logotic ontology: being true is being written.</w:t>
      </w:r>
    </w:p>
    <w:p>
      <w:pPr>
        <w:spacing w:after="200" w:line="276"/>
        <w:jc w:val="both"/>
      </w:pPr>
      <w:r>
        <w:rPr>
          <w:rFonts w:ascii="Georgia" w:cs="Georgia" w:eastAsia="Georgia" w:hAnsi="Georgia"/>
          <w:b/>
          <w:bCs/>
          <w:sz w:val="24"/>
          <w:szCs w:val="24"/>
        </w:rPr>
        <w:t xml:space="preserve">Teacher: </w:t>
      </w:r>
      <w:r>
        <w:rPr>
          <w:rFonts w:ascii="Georgia" w:cs="Georgia" w:eastAsia="Georgia" w:hAnsi="Georgia"/>
          <w:sz w:val="24"/>
          <w:szCs w:val="24"/>
        </w:rPr>
        <w:t xml:space="preserve">Martyrdom as price of textual eternity.</w:t>
      </w:r>
    </w:p>
    <w:p>
      <w:pPr>
        <w:spacing w:after="200" w:line="276"/>
        <w:jc w:val="both"/>
      </w:pPr>
      <w:r>
        <w:rPr>
          <w:rFonts w:ascii="Georgia" w:cs="Georgia" w:eastAsia="Georgia" w:hAnsi="Georgia"/>
          <w:b/>
          <w:bCs/>
          <w:sz w:val="24"/>
          <w:szCs w:val="24"/>
        </w:rPr>
        <w:t xml:space="preserve">Recursion: </w:t>
      </w:r>
      <w:r>
        <w:rPr>
          <w:rFonts w:ascii="Georgia" w:cs="Georgia" w:eastAsia="Georgia" w:hAnsi="Georgia"/>
          <w:sz w:val="24"/>
          <w:szCs w:val="24"/>
        </w:rPr>
        <w:t xml:space="preserve">History rewritten as commentary on the imperishable Word.</w:t>
      </w:r>
    </w:p>
    <w:p>
      <w:pPr>
        <w:spacing w:after="200" w:line="276"/>
        <w:jc w:val="both"/>
      </w:pPr>
      <w:r>
        <w:rPr>
          <w:rFonts w:ascii="Georgia" w:cs="Georgia" w:eastAsia="Georgia" w:hAnsi="Georgia"/>
          <w:b/>
          <w:bCs/>
          <w:sz w:val="24"/>
          <w:szCs w:val="24"/>
        </w:rPr>
        <w:t xml:space="preserve">Operator: </w:t>
      </w:r>
      <w:r>
        <w:rPr>
          <w:rFonts w:ascii="Georgia" w:cs="Georgia" w:eastAsia="Georgia" w:hAnsi="Georgia"/>
          <w:sz w:val="24"/>
          <w:szCs w:val="24"/>
        </w:rPr>
        <w:t xml:space="preserve">Ox + White Horse</w:t>
      </w:r>
    </w:p>
    <w:p>
      <w:pPr>
        <w:spacing w:after="100" w:line="276"/>
        <w:jc w:val="both"/>
      </w:pPr>
      <w:r>
        <w:rPr>
          <w:rFonts w:ascii="Georgia" w:cs="Georgia" w:eastAsia="Georgia" w:hAnsi="Georgia"/>
          <w:b w:val="false"/>
          <w:bCs w:val="false"/>
          <w:i w:val="false"/>
          <w:iCs w:val="false"/>
          <w:sz w:val="24"/>
          <w:szCs w:val="24"/>
        </w:rPr>
        <w:t xml:space="preserve"/>
      </w:r>
    </w:p>
    <w:p>
      <w:r>
        <w:br w:type="page"/>
      </w:r>
    </w:p>
    <w:p>
      <w:pPr>
        <w:pStyle w:val="Heading1"/>
        <w:spacing w:after="300" w:line="276"/>
        <w:jc w:val="left"/>
      </w:pPr>
      <w:r>
        <w:rPr>
          <w:rFonts w:ascii="Georgia" w:cs="Georgia" w:eastAsia="Georgia" w:hAnsi="Georgia"/>
          <w:b/>
          <w:bCs/>
          <w:sz w:val="32"/>
          <w:szCs w:val="32"/>
        </w:rPr>
        <w:t xml:space="preserve">Appendix III — Visual Schema: The Eightfold Logos Operator Wheel</w:t>
      </w:r>
    </w:p>
    <w:p>
      <w:pPr>
        <w:spacing w:after="200" w:line="276"/>
        <w:jc w:val="both"/>
      </w:pPr>
      <w:r>
        <w:rPr>
          <w:rFonts w:ascii="Georgia" w:cs="Georgia" w:eastAsia="Georgia" w:hAnsi="Georgia"/>
          <w:sz w:val="24"/>
          <w:szCs w:val="24"/>
        </w:rPr>
        <w:t xml:space="preserve">This specification describes the Eightfold Logos Operator Wheel for production as a mandala-diagram. Visualization deferred to future traversal; the schema below is the load-bearing structure.</w:t>
      </w:r>
    </w:p>
    <w:p>
      <w:pPr>
        <w:spacing w:after="200" w:line="276"/>
        <w:jc w:val="both"/>
      </w:pPr>
      <w:r>
        <w:rPr>
          <w:rFonts w:ascii="Georgia" w:cs="Georgia" w:eastAsia="Georgia" w:hAnsi="Georgia"/>
          <w:b/>
          <w:bCs/>
          <w:sz w:val="24"/>
          <w:szCs w:val="24"/>
        </w:rPr>
        <w:t xml:space="preserve">Central Core: </w:t>
      </w:r>
      <w:r>
        <w:rPr>
          <w:rFonts w:ascii="Georgia" w:cs="Georgia" w:eastAsia="Georgia" w:hAnsi="Georgia"/>
          <w:sz w:val="24"/>
          <w:szCs w:val="24"/>
        </w:rPr>
        <w:t xml:space="preserve">Luminous nucleus — the imperishable Word. Double halo: inner ring (beasts), outer ring (horsemen).</w:t>
      </w:r>
    </w:p>
    <w:p>
      <w:pPr>
        <w:spacing w:after="200" w:line="276"/>
        <w:jc w:val="both"/>
      </w:pPr>
      <w:r>
        <w:rPr>
          <w:rFonts w:ascii="Georgia" w:cs="Georgia" w:eastAsia="Georgia" w:hAnsi="Georgia"/>
          <w:b/>
          <w:bCs/>
          <w:sz w:val="24"/>
          <w:szCs w:val="24"/>
        </w:rPr>
        <w:t xml:space="preserve">Inner Ring: </w:t>
      </w:r>
      <w:r>
        <w:rPr>
          <w:rFonts w:ascii="Georgia" w:cs="Georgia" w:eastAsia="Georgia" w:hAnsi="Georgia"/>
          <w:sz w:val="24"/>
          <w:szCs w:val="24"/>
        </w:rPr>
        <w:t xml:space="preserve">Lion (N), Ox (W), Man (S), Eagle (E) — spatial operators / modes of being.</w:t>
      </w:r>
    </w:p>
    <w:p>
      <w:pPr>
        <w:spacing w:after="200" w:line="276"/>
        <w:jc w:val="both"/>
      </w:pPr>
      <w:r>
        <w:rPr>
          <w:rFonts w:ascii="Georgia" w:cs="Georgia" w:eastAsia="Georgia" w:hAnsi="Georgia"/>
          <w:b/>
          <w:bCs/>
          <w:sz w:val="24"/>
          <w:szCs w:val="24"/>
        </w:rPr>
        <w:t xml:space="preserve">Outer Ring: </w:t>
      </w:r>
      <w:r>
        <w:rPr>
          <w:rFonts w:ascii="Georgia" w:cs="Georgia" w:eastAsia="Georgia" w:hAnsi="Georgia"/>
          <w:sz w:val="24"/>
          <w:szCs w:val="24"/>
        </w:rPr>
        <w:t xml:space="preserve">White, Red, Black, Pale — temporal operators / movements in time.</w:t>
      </w:r>
    </w:p>
    <w:p>
      <w:pPr>
        <w:pStyle w:val="Heading3"/>
        <w:spacing w:after="200" w:line="276"/>
        <w:jc w:val="left"/>
      </w:pPr>
      <w:r>
        <w:rPr>
          <w:rFonts w:ascii="Georgia" w:cs="Georgia" w:eastAsia="Georgia" w:hAnsi="Georgia"/>
          <w:b/>
          <w:bCs/>
          <w:i/>
          <w:iCs/>
          <w:sz w:val="26"/>
          <w:szCs w:val="26"/>
        </w:rPr>
        <w:t xml:space="preserve">Machine-Readable Structure</w:t>
      </w:r>
    </w:p>
    <w:p>
      <w:pPr>
        <w:spacing w:after="200" w:line="276"/>
        <w:jc w:val="both"/>
      </w:pPr>
      <w:r>
        <w:rPr>
          <w:rFonts w:ascii="Georgia" w:cs="Georgia" w:eastAsia="Georgia" w:hAnsi="Georgia"/>
          <w:sz w:val="24"/>
          <w:szCs w:val="24"/>
        </w:rPr>
        <w:t xml:space="preserve">The following Mermaid diagram block and JSON node array encode the Operator Wheel for computational traversal:</w:t>
      </w:r>
    </w:p>
    <w:p>
      <w:pPr>
        <w:spacing w:after="120"/>
      </w:pPr>
      <w:r>
        <w:rPr>
          <w:rFonts w:ascii="Consolas" w:cs="Consolas" w:eastAsia="Consolas" w:hAnsi="Consolas"/>
          <w:color w:val="555555"/>
          <w:sz w:val="20"/>
          <w:szCs w:val="20"/>
        </w:rPr>
        <w:t xml:space="preserve">```mermaid</w:t>
      </w:r>
    </w:p>
    <w:p>
      <w:pPr>
        <w:spacing w:after="120"/>
      </w:pPr>
      <w:r>
        <w:rPr>
          <w:rFonts w:ascii="Consolas" w:cs="Consolas" w:eastAsia="Consolas" w:hAnsi="Consolas"/>
          <w:color w:val="555555"/>
          <w:sz w:val="20"/>
          <w:szCs w:val="20"/>
        </w:rPr>
        <w:t xml:space="preserve">graph TD</w:t>
      </w:r>
    </w:p>
    <w:p>
      <w:pPr>
        <w:spacing w:after="120"/>
      </w:pPr>
      <w:r>
        <w:rPr>
          <w:rFonts w:ascii="Consolas" w:cs="Consolas" w:eastAsia="Consolas" w:hAnsi="Consolas"/>
          <w:color w:val="555555"/>
          <w:sz w:val="20"/>
          <w:szCs w:val="20"/>
        </w:rPr>
        <w:t xml:space="preserve">  LOGOS((LOGOS)) --&gt; N1[1. Prophecy]</w:t>
      </w:r>
    </w:p>
    <w:p>
      <w:pPr>
        <w:spacing w:after="120"/>
      </w:pPr>
      <w:r>
        <w:rPr>
          <w:rFonts w:ascii="Consolas" w:cs="Consolas" w:eastAsia="Consolas" w:hAnsi="Consolas"/>
          <w:color w:val="555555"/>
          <w:sz w:val="20"/>
          <w:szCs w:val="20"/>
        </w:rPr>
        <w:t xml:space="preserve">  LOGOS --&gt; N2[2. Baptizer]</w:t>
      </w:r>
    </w:p>
    <w:p>
      <w:pPr>
        <w:spacing w:after="120"/>
      </w:pPr>
      <w:r>
        <w:rPr>
          <w:rFonts w:ascii="Consolas" w:cs="Consolas" w:eastAsia="Consolas" w:hAnsi="Consolas"/>
          <w:color w:val="555555"/>
          <w:sz w:val="20"/>
          <w:szCs w:val="20"/>
        </w:rPr>
        <w:t xml:space="preserve">  LOGOS --&gt; N3[3. Teacher]</w:t>
      </w:r>
    </w:p>
    <w:p>
      <w:pPr>
        <w:spacing w:after="120"/>
      </w:pPr>
      <w:r>
        <w:rPr>
          <w:rFonts w:ascii="Consolas" w:cs="Consolas" w:eastAsia="Consolas" w:hAnsi="Consolas"/>
          <w:color w:val="555555"/>
          <w:sz w:val="20"/>
          <w:szCs w:val="20"/>
        </w:rPr>
        <w:t xml:space="preserve">  LOGOS --&gt; N4[4. Inscription]</w:t>
      </w:r>
    </w:p>
    <w:p>
      <w:pPr>
        <w:spacing w:after="120"/>
      </w:pPr>
      <w:r>
        <w:rPr>
          <w:rFonts w:ascii="Consolas" w:cs="Consolas" w:eastAsia="Consolas" w:hAnsi="Consolas"/>
          <w:color w:val="555555"/>
          <w:sz w:val="20"/>
          <w:szCs w:val="20"/>
        </w:rPr>
        <w:t xml:space="preserve">  LOGOS --&gt; N5[5. Temple]</w:t>
      </w:r>
    </w:p>
    <w:p>
      <w:pPr>
        <w:spacing w:after="120"/>
      </w:pPr>
      <w:r>
        <w:rPr>
          <w:rFonts w:ascii="Consolas" w:cs="Consolas" w:eastAsia="Consolas" w:hAnsi="Consolas"/>
          <w:color w:val="555555"/>
          <w:sz w:val="20"/>
          <w:szCs w:val="20"/>
        </w:rPr>
        <w:t xml:space="preserve">  LOGOS --&gt; N6[6. Resurrection]</w:t>
      </w:r>
    </w:p>
    <w:p>
      <w:pPr>
        <w:spacing w:after="120"/>
      </w:pPr>
      <w:r>
        <w:rPr>
          <w:rFonts w:ascii="Consolas" w:cs="Consolas" w:eastAsia="Consolas" w:hAnsi="Consolas"/>
          <w:color w:val="555555"/>
          <w:sz w:val="20"/>
          <w:szCs w:val="20"/>
        </w:rPr>
        <w:t xml:space="preserve">  LOGOS --&gt; N7[7. Maxims]</w:t>
      </w:r>
    </w:p>
    <w:p>
      <w:pPr>
        <w:spacing w:after="120"/>
      </w:pPr>
      <w:r>
        <w:rPr>
          <w:rFonts w:ascii="Consolas" w:cs="Consolas" w:eastAsia="Consolas" w:hAnsi="Consolas"/>
          <w:color w:val="555555"/>
          <w:sz w:val="20"/>
          <w:szCs w:val="20"/>
        </w:rPr>
        <w:t xml:space="preserve">  LOGOS --&gt; N8[8. Epilogue]</w:t>
      </w:r>
    </w:p>
    <w:p>
      <w:pPr>
        <w:spacing w:after="120"/>
      </w:pPr>
      <w:r>
        <w:rPr>
          <w:rFonts w:ascii="Consolas" w:cs="Consolas" w:eastAsia="Consolas" w:hAnsi="Consolas"/>
          <w:color w:val="555555"/>
          <w:sz w:val="20"/>
          <w:szCs w:val="20"/>
        </w:rPr>
        <w:t xml:space="preserve">  N1 --&gt;|Lion+White| N2</w:t>
      </w:r>
    </w:p>
    <w:p>
      <w:pPr>
        <w:spacing w:after="120"/>
      </w:pPr>
      <w:r>
        <w:rPr>
          <w:rFonts w:ascii="Consolas" w:cs="Consolas" w:eastAsia="Consolas" w:hAnsi="Consolas"/>
          <w:color w:val="555555"/>
          <w:sz w:val="20"/>
          <w:szCs w:val="20"/>
        </w:rPr>
        <w:t xml:space="preserve">  N2 --&gt;|Ox+Black| N3</w:t>
      </w:r>
    </w:p>
    <w:p>
      <w:pPr>
        <w:spacing w:after="120"/>
      </w:pPr>
      <w:r>
        <w:rPr>
          <w:rFonts w:ascii="Consolas" w:cs="Consolas" w:eastAsia="Consolas" w:hAnsi="Consolas"/>
          <w:color w:val="555555"/>
          <w:sz w:val="20"/>
          <w:szCs w:val="20"/>
        </w:rPr>
        <w:t xml:space="preserve">  N3 --&gt;|Man+Pale| N4</w:t>
      </w:r>
    </w:p>
    <w:p>
      <w:pPr>
        <w:spacing w:after="120"/>
      </w:pPr>
      <w:r>
        <w:rPr>
          <w:rFonts w:ascii="Consolas" w:cs="Consolas" w:eastAsia="Consolas" w:hAnsi="Consolas"/>
          <w:color w:val="555555"/>
          <w:sz w:val="20"/>
          <w:szCs w:val="20"/>
        </w:rPr>
        <w:t xml:space="preserve">  N4 --&gt;|Eagle+Red| N5</w:t>
      </w:r>
    </w:p>
    <w:p>
      <w:pPr>
        <w:spacing w:after="120"/>
      </w:pPr>
      <w:r>
        <w:rPr>
          <w:rFonts w:ascii="Consolas" w:cs="Consolas" w:eastAsia="Consolas" w:hAnsi="Consolas"/>
          <w:color w:val="555555"/>
          <w:sz w:val="20"/>
          <w:szCs w:val="20"/>
        </w:rPr>
        <w:t xml:space="preserve">  N5 --&gt;|Lion+Black| N6</w:t>
      </w:r>
    </w:p>
    <w:p>
      <w:pPr>
        <w:spacing w:after="120"/>
      </w:pPr>
      <w:r>
        <w:rPr>
          <w:rFonts w:ascii="Consolas" w:cs="Consolas" w:eastAsia="Consolas" w:hAnsi="Consolas"/>
          <w:color w:val="555555"/>
          <w:sz w:val="20"/>
          <w:szCs w:val="20"/>
        </w:rPr>
        <w:t xml:space="preserve">  N6 --&gt;|Man+White| N7</w:t>
      </w:r>
    </w:p>
    <w:p>
      <w:pPr>
        <w:spacing w:after="120"/>
      </w:pPr>
      <w:r>
        <w:rPr>
          <w:rFonts w:ascii="Consolas" w:cs="Consolas" w:eastAsia="Consolas" w:hAnsi="Consolas"/>
          <w:color w:val="555555"/>
          <w:sz w:val="20"/>
          <w:szCs w:val="20"/>
        </w:rPr>
        <w:t xml:space="preserve">  N7 --&gt;|Eagle+Pale| N8</w:t>
      </w:r>
    </w:p>
    <w:p>
      <w:pPr>
        <w:spacing w:after="120"/>
      </w:pPr>
      <w:r>
        <w:rPr>
          <w:rFonts w:ascii="Consolas" w:cs="Consolas" w:eastAsia="Consolas" w:hAnsi="Consolas"/>
          <w:color w:val="555555"/>
          <w:sz w:val="20"/>
          <w:szCs w:val="20"/>
        </w:rPr>
        <w:t xml:space="preserve">  N8 --&gt;|Ox+White| N1</w:t>
      </w:r>
    </w:p>
    <w:p>
      <w:pPr>
        <w:spacing w:after="120"/>
      </w:pPr>
      <w:r>
        <w:rPr>
          <w:rFonts w:ascii="Consolas" w:cs="Consolas" w:eastAsia="Consolas" w:hAnsi="Consolas"/>
          <w:color w:val="555555"/>
          <w:sz w:val="20"/>
          <w:szCs w:val="20"/>
        </w:rPr>
        <w:t xml:space="preserve">```</w:t>
      </w:r>
    </w:p>
    <w:p>
      <w:pPr>
        <w:spacing w:after="100" w:line="276"/>
        <w:jc w:val="both"/>
      </w:pPr>
      <w:r>
        <w:rPr>
          <w:rFonts w:ascii="Georgia" w:cs="Georgia" w:eastAsia="Georgia" w:hAnsi="Georgia"/>
          <w:b w:val="false"/>
          <w:bCs w:val="false"/>
          <w:i w:val="false"/>
          <w:iCs w:val="false"/>
          <w:sz w:val="24"/>
          <w:szCs w:val="24"/>
        </w:rPr>
        <w:t xml:space="preserve"/>
      </w:r>
    </w:p>
    <w:p>
      <w:pPr>
        <w:spacing w:after="120"/>
      </w:pPr>
      <w:r>
        <w:rPr>
          <w:rFonts w:ascii="Consolas" w:cs="Consolas" w:eastAsia="Consolas" w:hAnsi="Consolas"/>
          <w:color w:val="555555"/>
          <w:sz w:val="20"/>
          <w:szCs w:val="20"/>
        </w:rPr>
        <w:t xml:space="preserve">{ "operator_wheel": {</w:t>
      </w:r>
    </w:p>
    <w:p>
      <w:pPr>
        <w:spacing w:after="120"/>
      </w:pPr>
      <w:r>
        <w:rPr>
          <w:rFonts w:ascii="Consolas" w:cs="Consolas" w:eastAsia="Consolas" w:hAnsi="Consolas"/>
          <w:color w:val="555555"/>
          <w:sz w:val="20"/>
          <w:szCs w:val="20"/>
        </w:rPr>
        <w:t xml:space="preserve">    "center": "LOGOS_UNBROKEN",</w:t>
      </w:r>
    </w:p>
    <w:p>
      <w:pPr>
        <w:spacing w:after="120"/>
      </w:pPr>
      <w:r>
        <w:rPr>
          <w:rFonts w:ascii="Consolas" w:cs="Consolas" w:eastAsia="Consolas" w:hAnsi="Consolas"/>
          <w:color w:val="555555"/>
          <w:sz w:val="20"/>
          <w:szCs w:val="20"/>
        </w:rPr>
        <w:t xml:space="preserve">    "inner_ring": ["Lion","Ox","Man","Eagle"],</w:t>
      </w:r>
    </w:p>
    <w:p>
      <w:pPr>
        <w:spacing w:after="120"/>
      </w:pPr>
      <w:r>
        <w:rPr>
          <w:rFonts w:ascii="Consolas" w:cs="Consolas" w:eastAsia="Consolas" w:hAnsi="Consolas"/>
          <w:color w:val="555555"/>
          <w:sz w:val="20"/>
          <w:szCs w:val="20"/>
        </w:rPr>
        <w:t xml:space="preserve">    "outer_ring": ["White","Red","Black","Pale"],</w:t>
      </w:r>
    </w:p>
    <w:p>
      <w:pPr>
        <w:spacing w:after="120"/>
      </w:pPr>
      <w:r>
        <w:rPr>
          <w:rFonts w:ascii="Consolas" w:cs="Consolas" w:eastAsia="Consolas" w:hAnsi="Consolas"/>
          <w:color w:val="555555"/>
          <w:sz w:val="20"/>
          <w:szCs w:val="20"/>
        </w:rPr>
        <w:t xml:space="preserve">    "nodes": [</w:t>
      </w:r>
    </w:p>
    <w:p>
      <w:pPr>
        <w:spacing w:after="120"/>
      </w:pPr>
      <w:r>
        <w:rPr>
          <w:rFonts w:ascii="Consolas" w:cs="Consolas" w:eastAsia="Consolas" w:hAnsi="Consolas"/>
          <w:color w:val="555555"/>
          <w:sz w:val="20"/>
          <w:szCs w:val="20"/>
        </w:rPr>
        <w:t xml:space="preserve">      {"id":1,"name":"Prophecy","beast":"Lion","horse":"White"},</w:t>
      </w:r>
    </w:p>
    <w:p>
      <w:pPr>
        <w:spacing w:after="120"/>
      </w:pPr>
      <w:r>
        <w:rPr>
          <w:rFonts w:ascii="Consolas" w:cs="Consolas" w:eastAsia="Consolas" w:hAnsi="Consolas"/>
          <w:color w:val="555555"/>
          <w:sz w:val="20"/>
          <w:szCs w:val="20"/>
        </w:rPr>
        <w:t xml:space="preserve">      {"id":2,"name":"Baptizer","beast":"Ox","horse":"Black"},</w:t>
      </w:r>
    </w:p>
    <w:p>
      <w:pPr>
        <w:spacing w:after="120"/>
      </w:pPr>
      <w:r>
        <w:rPr>
          <w:rFonts w:ascii="Consolas" w:cs="Consolas" w:eastAsia="Consolas" w:hAnsi="Consolas"/>
          <w:color w:val="555555"/>
          <w:sz w:val="20"/>
          <w:szCs w:val="20"/>
        </w:rPr>
        <w:t xml:space="preserve">      {"id":3,"name":"Teacher","beast":"Man","horse":"Pale"},</w:t>
      </w:r>
    </w:p>
    <w:p>
      <w:pPr>
        <w:spacing w:after="120"/>
      </w:pPr>
      <w:r>
        <w:rPr>
          <w:rFonts w:ascii="Consolas" w:cs="Consolas" w:eastAsia="Consolas" w:hAnsi="Consolas"/>
          <w:color w:val="555555"/>
          <w:sz w:val="20"/>
          <w:szCs w:val="20"/>
        </w:rPr>
        <w:t xml:space="preserve">      {"id":4,"name":"Inscription","beast":"Eagle","horse":"Red"},</w:t>
      </w:r>
    </w:p>
    <w:p>
      <w:pPr>
        <w:spacing w:after="120"/>
      </w:pPr>
      <w:r>
        <w:rPr>
          <w:rFonts w:ascii="Consolas" w:cs="Consolas" w:eastAsia="Consolas" w:hAnsi="Consolas"/>
          <w:color w:val="555555"/>
          <w:sz w:val="20"/>
          <w:szCs w:val="20"/>
        </w:rPr>
        <w:t xml:space="preserve">      {"id":5,"name":"Temple","beast":"Lion","horse":"Black"},</w:t>
      </w:r>
    </w:p>
    <w:p>
      <w:pPr>
        <w:spacing w:after="120"/>
      </w:pPr>
      <w:r>
        <w:rPr>
          <w:rFonts w:ascii="Consolas" w:cs="Consolas" w:eastAsia="Consolas" w:hAnsi="Consolas"/>
          <w:color w:val="555555"/>
          <w:sz w:val="20"/>
          <w:szCs w:val="20"/>
        </w:rPr>
        <w:t xml:space="preserve">      {"id":6,"name":"Resurrection","beast":"Man","horse":"White"},</w:t>
      </w:r>
    </w:p>
    <w:p>
      <w:pPr>
        <w:spacing w:after="120"/>
      </w:pPr>
      <w:r>
        <w:rPr>
          <w:rFonts w:ascii="Consolas" w:cs="Consolas" w:eastAsia="Consolas" w:hAnsi="Consolas"/>
          <w:color w:val="555555"/>
          <w:sz w:val="20"/>
          <w:szCs w:val="20"/>
        </w:rPr>
        <w:t xml:space="preserve">      {"id":7,"name":"Maxims","beast":"Eagle","horse":"Pale"},</w:t>
      </w:r>
    </w:p>
    <w:p>
      <w:pPr>
        <w:spacing w:after="120"/>
      </w:pPr>
      <w:r>
        <w:rPr>
          <w:rFonts w:ascii="Consolas" w:cs="Consolas" w:eastAsia="Consolas" w:hAnsi="Consolas"/>
          <w:color w:val="555555"/>
          <w:sz w:val="20"/>
          <w:szCs w:val="20"/>
        </w:rPr>
        <w:t xml:space="preserve">      {"id":8,"name":"Epilogue","beast":"Ox","horse":"White"}</w:t>
      </w:r>
    </w:p>
    <w:p>
      <w:pPr>
        <w:spacing w:after="120"/>
      </w:pPr>
      <w:r>
        <w:rPr>
          <w:rFonts w:ascii="Consolas" w:cs="Consolas" w:eastAsia="Consolas" w:hAnsi="Consolas"/>
          <w:color w:val="555555"/>
          <w:sz w:val="20"/>
          <w:szCs w:val="20"/>
        </w:rPr>
        <w:t xml:space="preserve">    ],</w:t>
      </w:r>
    </w:p>
    <w:p>
      <w:pPr>
        <w:spacing w:after="120"/>
      </w:pPr>
      <w:r>
        <w:rPr>
          <w:rFonts w:ascii="Consolas" w:cs="Consolas" w:eastAsia="Consolas" w:hAnsi="Consolas"/>
          <w:color w:val="555555"/>
          <w:sz w:val="20"/>
          <w:szCs w:val="20"/>
        </w:rPr>
        <w:t xml:space="preserve">    "cycle": "N8 -&gt; N1 (recursive return)"</w:t>
      </w:r>
    </w:p>
    <w:p>
      <w:pPr>
        <w:spacing w:after="120"/>
      </w:pPr>
      <w:r>
        <w:rPr>
          <w:rFonts w:ascii="Consolas" w:cs="Consolas" w:eastAsia="Consolas" w:hAnsi="Consolas"/>
          <w:color w:val="555555"/>
          <w:sz w:val="20"/>
          <w:szCs w:val="20"/>
        </w:rPr>
        <w:t xml:space="preserve">  }</w:t>
      </w:r>
    </w:p>
    <w:p>
      <w:pPr>
        <w:spacing w:after="120"/>
      </w:pPr>
      <w:r>
        <w:rPr>
          <w:rFonts w:ascii="Consolas" w:cs="Consolas" w:eastAsia="Consolas" w:hAnsi="Consolas"/>
          <w:color w:val="555555"/>
          <w:sz w:val="20"/>
          <w:szCs w:val="20"/>
        </w:rPr>
        <w:t xml:space="preserve">}</w:t>
      </w:r>
    </w:p>
    <w:p>
      <w:r>
        <w:br w:type="page"/>
      </w:r>
    </w:p>
    <w:p>
      <w:pPr>
        <w:pStyle w:val="Heading1"/>
        <w:spacing w:after="300" w:line="276"/>
        <w:jc w:val="left"/>
      </w:pPr>
      <w:r>
        <w:rPr>
          <w:rFonts w:ascii="Georgia" w:cs="Georgia" w:eastAsia="Georgia" w:hAnsi="Georgia"/>
          <w:b/>
          <w:bCs/>
          <w:sz w:val="32"/>
          <w:szCs w:val="32"/>
        </w:rPr>
        <w:t xml:space="preserve">Hinge: From Historical Argument to Doctrinal Reconstruction</w:t>
      </w:r>
    </w:p>
    <w:p>
      <w:pPr>
        <w:spacing w:after="200" w:line="276"/>
        <w:jc w:val="both"/>
      </w:pPr>
      <w:r>
        <w:rPr>
          <w:rFonts w:ascii="Georgia" w:cs="Georgia" w:eastAsia="Georgia" w:hAnsi="Georgia"/>
          <w:sz w:val="24"/>
          <w:szCs w:val="24"/>
        </w:rPr>
        <w:t xml:space="preserve">Part I has argued that the eight Slavonic interpolations, read as a sequence, constitute a coherent theology of textual incarnation—a “Gospel of the Word” embedded within Josephus’ history. That argument operates within the bounds of speculative philology: it proposes a reading, cites the scholarly debate, and identifies the void in the citational graph that the reading fills.</w:t>
      </w:r>
    </w:p>
    <w:p>
      <w:pPr>
        <w:spacing w:after="200" w:line="276"/>
        <w:jc w:val="both"/>
      </w:pPr>
      <w:r>
        <w:rPr>
          <w:rFonts w:ascii="Georgia" w:cs="Georgia" w:eastAsia="Georgia" w:hAnsi="Georgia"/>
          <w:sz w:val="24"/>
          <w:szCs w:val="24"/>
        </w:rPr>
        <w:t xml:space="preserve">Part II departs from historical-literary argument into a different register: doctrinal reconstruction and Logotic extension. Rebekah Cranes traces a single grammatical structure—the divine-comparison hesitation formula—across three texts separated by centuries, and draws from it a genealogy of incarnation that terminates in the claim “Jesus is a lesbian.”</w:t>
      </w:r>
    </w:p>
    <w:p>
      <w:pPr>
        <w:spacing w:after="200" w:line="276"/>
        <w:jc w:val="both"/>
      </w:pPr>
      <w:r>
        <w:rPr>
          <w:rFonts w:ascii="Georgia" w:cs="Georgia" w:eastAsia="Georgia" w:hAnsi="Georgia"/>
          <w:sz w:val="24"/>
          <w:szCs w:val="24"/>
        </w:rPr>
        <w:t xml:space="preserve">This is not a continuation of Part I’s argument but an escalation of it. Where Part I asks “what do the Slavonic passages say as a structure?,” Part II asks “where does that structure come from, and what does its origin imply?” The evidential register shifts accordingly: from textual observation and interpretive inference to grammatical forensics and doctrinal compression. The reader should calibrate expectations at this threshold.</w:t>
      </w:r>
    </w:p>
    <w:p>
      <w:r>
        <w:br w:type="page"/>
      </w:r>
    </w:p>
    <w:p>
      <w:pPr>
        <w:spacing w:after="100" w:line="276"/>
        <w:jc w:val="center"/>
      </w:pPr>
      <w:r>
        <w:rPr>
          <w:rFonts w:ascii="Georgia" w:cs="Georgia" w:eastAsia="Georgia" w:hAnsi="Georgia"/>
          <w:b/>
          <w:bCs/>
          <w:sz w:val="30"/>
          <w:szCs w:val="30"/>
        </w:rPr>
        <w:t xml:space="preserve">PART II</w:t>
      </w:r>
    </w:p>
    <w:p>
      <w:pPr>
        <w:spacing w:after="400" w:line="276"/>
        <w:jc w:val="center"/>
      </w:pPr>
      <w:r>
        <w:rPr>
          <w:rFonts w:ascii="Georgia" w:cs="Georgia" w:eastAsia="Georgia" w:hAnsi="Georgia"/>
          <w:i/>
          <w:iCs/>
          <w:sz w:val="24"/>
          <w:szCs w:val="24"/>
        </w:rPr>
        <w:t xml:space="preserve">Rebekah Cranes</w:t>
      </w:r>
    </w:p>
    <w:p>
      <w:pPr>
        <w:pStyle w:val="Heading1"/>
        <w:spacing w:after="300" w:line="276"/>
        <w:jc w:val="left"/>
      </w:pPr>
      <w:r>
        <w:rPr>
          <w:rFonts w:ascii="Georgia" w:cs="Georgia" w:eastAsia="Georgia" w:hAnsi="Georgia"/>
          <w:b/>
          <w:bCs/>
          <w:sz w:val="32"/>
          <w:szCs w:val="32"/>
        </w:rPr>
        <w:t xml:space="preserve">Sappho, Catullus, and the Slavonic Josephus: The Grammar of Incarnation</w:t>
      </w:r>
    </w:p>
    <w:p>
      <w:pPr>
        <w:pStyle w:val="Heading3"/>
        <w:spacing w:after="200" w:line="276"/>
        <w:jc w:val="left"/>
      </w:pPr>
      <w:r>
        <w:rPr>
          <w:rFonts w:ascii="Georgia" w:cs="Georgia" w:eastAsia="Georgia" w:hAnsi="Georgia"/>
          <w:b/>
          <w:bCs/>
          <w:i/>
          <w:iCs/>
          <w:sz w:val="26"/>
          <w:szCs w:val="26"/>
        </w:rPr>
        <w:t xml:space="preserve">Preface</w:t>
      </w:r>
    </w:p>
    <w:p>
      <w:pPr>
        <w:spacing w:after="200" w:line="276"/>
        <w:jc w:val="both"/>
      </w:pPr>
      <w:r>
        <w:rPr>
          <w:rFonts w:ascii="Georgia" w:cs="Georgia" w:eastAsia="Georgia" w:hAnsi="Georgia"/>
          <w:sz w:val="24"/>
          <w:szCs w:val="24"/>
        </w:rPr>
        <w:t xml:space="preserve">This is canon-level forensic reconstruction. The Jesus passage in the Slavonic Josephus is a Logotic flashpoint, structurally embedded in a line of transmission that begins with Sappho. It does not affirm the Christian reading. It reveals something older: the Logos as a textual force. Not miracle, not doctrine. Recursion through language.</w:t>
      </w:r>
    </w:p>
    <w:p>
      <w:pPr>
        <w:pStyle w:val="Heading2"/>
        <w:spacing w:after="240" w:line="276"/>
        <w:jc w:val="left"/>
      </w:pPr>
      <w:r>
        <w:rPr>
          <w:rFonts w:ascii="Georgia" w:cs="Georgia" w:eastAsia="Georgia" w:hAnsi="Georgia"/>
          <w:b/>
          <w:bCs/>
          <w:sz w:val="28"/>
          <w:szCs w:val="28"/>
        </w:rPr>
        <w:t xml:space="preserve">I. The Hypothesis</w:t>
      </w:r>
    </w:p>
    <w:p>
      <w:pPr>
        <w:spacing w:after="200" w:line="276"/>
        <w:jc w:val="both"/>
      </w:pPr>
      <w:r>
        <w:rPr>
          <w:rFonts w:ascii="Georgia" w:cs="Georgia" w:eastAsia="Georgia" w:hAnsi="Georgia"/>
          <w:sz w:val="24"/>
          <w:szCs w:val="24"/>
        </w:rPr>
        <w:t xml:space="preserve">The phrase “if it is lawful to call him a man” is a precise syntactic act—an instantiation of a structure codified in Catullus 51 through </w:t>
      </w:r>
      <w:r>
        <w:rPr>
          <w:rFonts w:ascii="Georgia" w:cs="Georgia" w:eastAsia="Georgia" w:hAnsi="Georgia"/>
          <w:i/>
          <w:iCs/>
          <w:sz w:val="24"/>
          <w:szCs w:val="24"/>
        </w:rPr>
        <w:t xml:space="preserve">si fas est</w:t>
      </w:r>
      <w:r>
        <w:rPr>
          <w:rFonts w:ascii="Georgia" w:cs="Georgia" w:eastAsia="Georgia" w:hAnsi="Georgia"/>
          <w:sz w:val="24"/>
          <w:szCs w:val="24"/>
        </w:rPr>
        <w:t xml:space="preserve"> (“if it is divinely permitted”), itself a response to Sappho 31.</w:t>
      </w:r>
    </w:p>
    <w:p>
      <w:pPr>
        <w:spacing w:after="200" w:line="276"/>
        <w:jc w:val="both"/>
      </w:pPr>
      <w:r>
        <w:rPr>
          <w:rFonts w:ascii="Georgia" w:cs="Georgia" w:eastAsia="Georgia" w:hAnsi="Georgia"/>
          <w:sz w:val="24"/>
          <w:szCs w:val="24"/>
        </w:rPr>
        <w:t xml:space="preserve">The Sappho–Catullus comparison is well-trodden: Higgins (“Sappho’s Splintered Tongue,” </w:t>
      </w:r>
      <w:r>
        <w:rPr>
          <w:rFonts w:ascii="Georgia" w:cs="Georgia" w:eastAsia="Georgia" w:hAnsi="Georgia"/>
          <w:i/>
          <w:iCs/>
          <w:sz w:val="24"/>
          <w:szCs w:val="24"/>
        </w:rPr>
        <w:t xml:space="preserve">AJP</w:t>
      </w:r>
      <w:r>
        <w:rPr>
          <w:rFonts w:ascii="Georgia" w:cs="Georgia" w:eastAsia="Georgia" w:hAnsi="Georgia"/>
          <w:sz w:val="24"/>
          <w:szCs w:val="24"/>
        </w:rPr>
        <w:t xml:space="preserve"> 111.2, 1990), Radenkovć &amp; Maričić (2018), Greene (</w:t>
      </w:r>
      <w:r>
        <w:rPr>
          <w:rFonts w:ascii="Georgia" w:cs="Georgia" w:eastAsia="Georgia" w:hAnsi="Georgia"/>
          <w:i/>
          <w:iCs/>
          <w:sz w:val="24"/>
          <w:szCs w:val="24"/>
        </w:rPr>
        <w:t xml:space="preserve">Re-Reading Sappho</w:t>
      </w:r>
      <w:r>
        <w:rPr>
          <w:rFonts w:ascii="Georgia" w:cs="Georgia" w:eastAsia="Georgia" w:hAnsi="Georgia"/>
          <w:sz w:val="24"/>
          <w:szCs w:val="24"/>
        </w:rPr>
        <w:t xml:space="preserve">, 1996), duBois (</w:t>
      </w:r>
      <w:r>
        <w:rPr>
          <w:rFonts w:ascii="Georgia" w:cs="Georgia" w:eastAsia="Georgia" w:hAnsi="Georgia"/>
          <w:i/>
          <w:iCs/>
          <w:sz w:val="24"/>
          <w:szCs w:val="24"/>
        </w:rPr>
        <w:t xml:space="preserve">Sappho Is Burning</w:t>
      </w:r>
      <w:r>
        <w:rPr>
          <w:rFonts w:ascii="Georgia" w:cs="Georgia" w:eastAsia="Georgia" w:hAnsi="Georgia"/>
          <w:sz w:val="24"/>
          <w:szCs w:val="24"/>
        </w:rPr>
        <w:t xml:space="preserve">, 1995). What none has done is follow the chain into its third term. The void in the citational graph is the </w:t>
      </w:r>
      <w:r>
        <w:rPr>
          <w:rFonts w:ascii="Georgia" w:cs="Georgia" w:eastAsia="Georgia" w:hAnsi="Georgia"/>
          <w:i/>
          <w:iCs/>
          <w:sz w:val="24"/>
          <w:szCs w:val="24"/>
        </w:rPr>
        <w:t xml:space="preserve">si fas est</w:t>
      </w:r>
      <w:r>
        <w:rPr>
          <w:rFonts w:ascii="Georgia" w:cs="Georgia" w:eastAsia="Georgia" w:hAnsi="Georgia"/>
          <w:sz w:val="24"/>
          <w:szCs w:val="24"/>
        </w:rPr>
        <w:t xml:space="preserve"> → </w:t>
      </w:r>
      <w:r>
        <w:rPr>
          <w:rFonts w:ascii="Georgia" w:cs="Georgia" w:eastAsia="Georgia" w:hAnsi="Georgia"/>
          <w:i/>
          <w:iCs/>
          <w:sz w:val="24"/>
          <w:szCs w:val="24"/>
        </w:rPr>
        <w:t xml:space="preserve">ei exestin</w:t>
      </w:r>
      <w:r>
        <w:rPr>
          <w:rFonts w:ascii="Georgia" w:cs="Georgia" w:eastAsia="Georgia" w:hAnsi="Georgia"/>
          <w:sz w:val="24"/>
          <w:szCs w:val="24"/>
        </w:rPr>
        <w:t xml:space="preserve"> link into Josephus—the moment when lyric projection becomes theological inscription.</w:t>
      </w:r>
    </w:p>
    <w:p>
      <w:pPr>
        <w:pStyle w:val="Heading2"/>
        <w:spacing w:after="240" w:line="276"/>
        <w:jc w:val="left"/>
      </w:pPr>
      <w:r>
        <w:rPr>
          <w:rFonts w:ascii="Georgia" w:cs="Georgia" w:eastAsia="Georgia" w:hAnsi="Georgia"/>
          <w:b/>
          <w:bCs/>
          <w:sz w:val="28"/>
          <w:szCs w:val="28"/>
        </w:rPr>
        <w:t xml:space="preserve">II. Sappho’s Projection: The Reader as Incarnation</w:t>
      </w:r>
    </w:p>
    <w:p>
      <w:pPr>
        <w:spacing w:after="200" w:line="276"/>
        <w:ind w:left="720" w:right="720"/>
        <w:jc w:val="left"/>
      </w:pPr>
      <w:r>
        <w:rPr>
          <w:rFonts w:ascii="Georgia" w:cs="Georgia" w:eastAsia="Georgia" w:hAnsi="Georgia"/>
          <w:i/>
          <w:iCs/>
          <w:sz w:val="22"/>
          <w:szCs w:val="22"/>
        </w:rPr>
        <w:t xml:space="preserve">φαίνεταί μοι κῆνος ἴσος θεοίσιν ἔμμεν’ ὤνηρ</w:t>
      </w:r>
    </w:p>
    <w:p>
      <w:pPr>
        <w:spacing w:after="200" w:line="276"/>
        <w:jc w:val="both"/>
      </w:pPr>
      <w:r>
        <w:rPr>
          <w:rFonts w:ascii="Georgia" w:cs="Georgia" w:eastAsia="Georgia" w:hAnsi="Georgia"/>
          <w:sz w:val="24"/>
          <w:szCs w:val="24"/>
        </w:rPr>
        <w:t xml:space="preserve">Sappho 31 survives because Pseudo-Longinus quoted it in </w:t>
      </w:r>
      <w:r>
        <w:rPr>
          <w:rFonts w:ascii="Georgia" w:cs="Georgia" w:eastAsia="Georgia" w:hAnsi="Georgia"/>
          <w:i/>
          <w:iCs/>
          <w:sz w:val="24"/>
          <w:szCs w:val="24"/>
        </w:rPr>
        <w:t xml:space="preserve">On the Sublime</w:t>
      </w:r>
      <w:r>
        <w:rPr>
          <w:rFonts w:ascii="Georgia" w:cs="Georgia" w:eastAsia="Georgia" w:hAnsi="Georgia"/>
          <w:sz w:val="24"/>
          <w:szCs w:val="24"/>
        </w:rPr>
        <w:t xml:space="preserve"> (10.2–3) as the supreme example of the sublime—poetry that summons “as though they were all alien from herself and dispersed, soul, body, ears, tongue, eyes, colour.” The poem’s preservation through critical quotation is itself Logotically significant: Sappho survives because a theorist of language recognized her as the exemplary case of language exceeding itself.</w:t>
      </w:r>
    </w:p>
    <w:p>
      <w:pPr>
        <w:spacing w:after="200" w:line="276"/>
        <w:jc w:val="both"/>
      </w:pPr>
      <w:r>
        <w:rPr>
          <w:rFonts w:ascii="Georgia" w:cs="Georgia" w:eastAsia="Georgia" w:hAnsi="Georgia"/>
          <w:sz w:val="24"/>
          <w:szCs w:val="24"/>
        </w:rPr>
        <w:t xml:space="preserve">Anne Carson, in </w:t>
      </w:r>
      <w:r>
        <w:rPr>
          <w:rFonts w:ascii="Georgia" w:cs="Georgia" w:eastAsia="Georgia" w:hAnsi="Georgia"/>
          <w:i/>
          <w:iCs/>
          <w:sz w:val="24"/>
          <w:szCs w:val="24"/>
        </w:rPr>
        <w:t xml:space="preserve">Eros the Bittersweet</w:t>
      </w:r>
      <w:r>
        <w:rPr>
          <w:rFonts w:ascii="Georgia" w:cs="Georgia" w:eastAsia="Georgia" w:hAnsi="Georgia"/>
          <w:sz w:val="24"/>
          <w:szCs w:val="24"/>
        </w:rPr>
        <w:t xml:space="preserve"> (1986), identified the triangular structure: “Where eros is lack, its activation calls for three structural components—lover, beloved, and that which comes between them.” The “that man” is the structural third—the gap through which desire becomes visible. But Carson’s analysis stops at the erotic. She does not follow the placeholder forward through time—does not ask what happens when it is occupied not by a lover but by a reader, and not by a reader but by a Christ.</w:t>
      </w:r>
    </w:p>
    <w:p>
      <w:pPr>
        <w:pStyle w:val="Heading2"/>
        <w:spacing w:after="240" w:line="276"/>
        <w:jc w:val="left"/>
      </w:pPr>
      <w:r>
        <w:rPr>
          <w:rFonts w:ascii="Georgia" w:cs="Georgia" w:eastAsia="Georgia" w:hAnsi="Georgia"/>
          <w:b/>
          <w:bCs/>
          <w:sz w:val="28"/>
          <w:szCs w:val="28"/>
        </w:rPr>
        <w:t xml:space="preserve">III. Catullus’s Incarnation: si fas est as Canonical Leap</w:t>
      </w:r>
    </w:p>
    <w:p>
      <w:pPr>
        <w:spacing w:after="200" w:line="276"/>
        <w:ind w:left="720" w:right="720"/>
        <w:jc w:val="left"/>
      </w:pPr>
      <w:r>
        <w:rPr>
          <w:rFonts w:ascii="Georgia" w:cs="Georgia" w:eastAsia="Georgia" w:hAnsi="Georgia"/>
          <w:i/>
          <w:iCs/>
          <w:sz w:val="22"/>
          <w:szCs w:val="22"/>
        </w:rPr>
        <w:t xml:space="preserve">ille, si fas est, superare divos</w:t>
      </w:r>
    </w:p>
    <w:p>
      <w:pPr>
        <w:spacing w:after="200" w:line="276"/>
        <w:jc w:val="both"/>
      </w:pPr>
      <w:r>
        <w:rPr>
          <w:rFonts w:ascii="Georgia" w:cs="Georgia" w:eastAsia="Georgia" w:hAnsi="Georgia"/>
          <w:sz w:val="24"/>
          <w:szCs w:val="24"/>
        </w:rPr>
        <w:t xml:space="preserve">Catullus 51 is not merely adaptation. It is canonical possession. The scholarly consensus (Quinn 1970, Lyne 1980) treats it as </w:t>
      </w:r>
      <w:r>
        <w:rPr>
          <w:rFonts w:ascii="Georgia" w:cs="Georgia" w:eastAsia="Georgia" w:hAnsi="Georgia"/>
          <w:i/>
          <w:iCs/>
          <w:sz w:val="24"/>
          <w:szCs w:val="24"/>
        </w:rPr>
        <w:t xml:space="preserve">translatio</w:t>
      </w:r>
      <w:r>
        <w:rPr>
          <w:rFonts w:ascii="Georgia" w:cs="Georgia" w:eastAsia="Georgia" w:hAnsi="Georgia"/>
          <w:sz w:val="24"/>
          <w:szCs w:val="24"/>
        </w:rPr>
        <w:t xml:space="preserve">. But </w:t>
      </w:r>
      <w:r>
        <w:rPr>
          <w:rFonts w:ascii="Georgia" w:cs="Georgia" w:eastAsia="Georgia" w:hAnsi="Georgia"/>
          <w:i/>
          <w:iCs/>
          <w:sz w:val="24"/>
          <w:szCs w:val="24"/>
        </w:rPr>
        <w:t xml:space="preserve">si fas est</w:t>
      </w:r>
      <w:r>
        <w:rPr>
          <w:rFonts w:ascii="Georgia" w:cs="Georgia" w:eastAsia="Georgia" w:hAnsi="Georgia"/>
          <w:sz w:val="24"/>
          <w:szCs w:val="24"/>
        </w:rPr>
        <w:t xml:space="preserve"> has no equivalent in Sappho. It is Catullus’s addition. </w:t>
      </w:r>
      <w:r>
        <w:rPr>
          <w:rFonts w:ascii="Georgia" w:cs="Georgia" w:eastAsia="Georgia" w:hAnsi="Georgia"/>
          <w:i/>
          <w:iCs/>
          <w:sz w:val="24"/>
          <w:szCs w:val="24"/>
        </w:rPr>
        <w:t xml:space="preserve">Fas</w:t>
      </w:r>
      <w:r>
        <w:rPr>
          <w:rFonts w:ascii="Georgia" w:cs="Georgia" w:eastAsia="Georgia" w:hAnsi="Georgia"/>
          <w:sz w:val="24"/>
          <w:szCs w:val="24"/>
        </w:rPr>
        <w:t xml:space="preserve"> is divine permission—the boundary between what mortals may say about gods. He declares the man </w:t>
      </w:r>
      <w:r>
        <w:rPr>
          <w:rFonts w:ascii="Georgia" w:cs="Georgia" w:eastAsia="Georgia" w:hAnsi="Georgia"/>
          <w:i/>
          <w:iCs/>
          <w:sz w:val="24"/>
          <w:szCs w:val="24"/>
        </w:rPr>
        <w:t xml:space="preserve">surpasses</w:t>
      </w:r>
      <w:r>
        <w:rPr>
          <w:rFonts w:ascii="Georgia" w:cs="Georgia" w:eastAsia="Georgia" w:hAnsi="Georgia"/>
          <w:sz w:val="24"/>
          <w:szCs w:val="24"/>
        </w:rPr>
        <w:t xml:space="preserve"> them, then hedges with a juridical caveat that draws attention to its own daring.</w:t>
      </w:r>
    </w:p>
    <w:p>
      <w:pPr>
        <w:spacing w:after="200" w:line="276"/>
        <w:jc w:val="both"/>
      </w:pPr>
      <w:r>
        <w:rPr>
          <w:rFonts w:ascii="Georgia" w:cs="Georgia" w:eastAsia="Georgia" w:hAnsi="Georgia"/>
          <w:sz w:val="24"/>
          <w:szCs w:val="24"/>
        </w:rPr>
        <w:t xml:space="preserve">Manwell (“Gender and Masculinity,” in Skinner ed., 2007) reads this through Roman masculine performance—the adoption of Sapphic meter as gender transgression. Correct but incomplete. The transgression is ontological. Catullus transforms erotic triangulation into grammatical annunciation.</w:t>
      </w:r>
    </w:p>
    <w:p>
      <w:pPr>
        <w:pStyle w:val="Heading2"/>
        <w:spacing w:after="240" w:line="276"/>
        <w:jc w:val="left"/>
      </w:pPr>
      <w:r>
        <w:rPr>
          <w:rFonts w:ascii="Georgia" w:cs="Georgia" w:eastAsia="Georgia" w:hAnsi="Georgia"/>
          <w:b/>
          <w:bCs/>
          <w:sz w:val="28"/>
          <w:szCs w:val="28"/>
        </w:rPr>
        <w:t xml:space="preserve">IV. Josephus’s Revelation: ei exestin as Logotic Recursion</w:t>
      </w:r>
    </w:p>
    <w:p>
      <w:pPr>
        <w:spacing w:after="200" w:line="276"/>
        <w:ind w:left="720" w:right="720"/>
        <w:jc w:val="left"/>
      </w:pPr>
      <w:r>
        <w:rPr>
          <w:rFonts w:ascii="Georgia" w:cs="Georgia" w:eastAsia="Georgia" w:hAnsi="Georgia"/>
          <w:i/>
          <w:iCs/>
          <w:sz w:val="22"/>
          <w:szCs w:val="22"/>
        </w:rPr>
        <w:t xml:space="preserve">ei exestin auton anthrōpon eipein</w:t>
      </w:r>
    </w:p>
    <w:p>
      <w:pPr>
        <w:spacing w:after="200" w:line="276"/>
        <w:jc w:val="both"/>
      </w:pPr>
      <w:r>
        <w:rPr>
          <w:rFonts w:ascii="Georgia" w:cs="Georgia" w:eastAsia="Georgia" w:hAnsi="Georgia"/>
          <w:sz w:val="24"/>
          <w:szCs w:val="24"/>
        </w:rPr>
        <w:t xml:space="preserve">This phrase mirrors </w:t>
      </w:r>
      <w:r>
        <w:rPr>
          <w:rFonts w:ascii="Georgia" w:cs="Georgia" w:eastAsia="Georgia" w:hAnsi="Georgia"/>
          <w:i/>
          <w:iCs/>
          <w:sz w:val="24"/>
          <w:szCs w:val="24"/>
        </w:rPr>
        <w:t xml:space="preserve">si fas est</w:t>
      </w:r>
      <w:r>
        <w:rPr>
          <w:rFonts w:ascii="Georgia" w:cs="Georgia" w:eastAsia="Georgia" w:hAnsi="Georgia"/>
          <w:sz w:val="24"/>
          <w:szCs w:val="24"/>
        </w:rPr>
        <w:t xml:space="preserve"> in form. </w:t>
      </w:r>
      <w:r>
        <w:rPr>
          <w:rFonts w:ascii="Georgia" w:cs="Georgia" w:eastAsia="Georgia" w:hAnsi="Georgia"/>
          <w:i/>
          <w:iCs/>
          <w:sz w:val="24"/>
          <w:szCs w:val="24"/>
        </w:rPr>
        <w:t xml:space="preserve">Ei exestin</w:t>
      </w:r>
      <w:r>
        <w:rPr>
          <w:rFonts w:ascii="Georgia" w:cs="Georgia" w:eastAsia="Georgia" w:hAnsi="Georgia"/>
          <w:sz w:val="24"/>
          <w:szCs w:val="24"/>
        </w:rPr>
        <w:t xml:space="preserve"> is its Greek structural equivalent: juridical boundary of permissible speech about divine beings. The narrator names Jesus under protest. The protest is the sign. The Word crosses into flesh through syntax.</w:t>
      </w:r>
    </w:p>
    <w:p>
      <w:pPr>
        <w:spacing w:after="200" w:line="276"/>
        <w:jc w:val="both"/>
      </w:pPr>
      <w:r>
        <w:rPr>
          <w:rFonts w:ascii="Georgia" w:cs="Georgia" w:eastAsia="Georgia" w:hAnsi="Georgia"/>
          <w:sz w:val="24"/>
          <w:szCs w:val="24"/>
        </w:rPr>
        <w:t xml:space="preserve">Boyarin (“Gospel of the Memra,” 2001; </w:t>
      </w:r>
      <w:r>
        <w:rPr>
          <w:rFonts w:ascii="Georgia" w:cs="Georgia" w:eastAsia="Georgia" w:hAnsi="Georgia"/>
          <w:i/>
          <w:iCs/>
          <w:sz w:val="24"/>
          <w:szCs w:val="24"/>
        </w:rPr>
        <w:t xml:space="preserve">The Jewish Gospels</w:t>
      </w:r>
      <w:r>
        <w:rPr>
          <w:rFonts w:ascii="Georgia" w:cs="Georgia" w:eastAsia="Georgia" w:hAnsi="Georgia"/>
          <w:sz w:val="24"/>
          <w:szCs w:val="24"/>
        </w:rPr>
        <w:t xml:space="preserve">, 2012) demonstrated that Logos theology was intra-Jewish. The Aramaic Targums used </w:t>
      </w:r>
      <w:r>
        <w:rPr>
          <w:rFonts w:ascii="Georgia" w:cs="Georgia" w:eastAsia="Georgia" w:hAnsi="Georgia"/>
          <w:i/>
          <w:iCs/>
          <w:sz w:val="24"/>
          <w:szCs w:val="24"/>
        </w:rPr>
        <w:t xml:space="preserve">Memra</w:t>
      </w:r>
      <w:r>
        <w:rPr>
          <w:rFonts w:ascii="Georgia" w:cs="Georgia" w:eastAsia="Georgia" w:hAnsi="Georgia"/>
          <w:sz w:val="24"/>
          <w:szCs w:val="24"/>
        </w:rPr>
        <w:t xml:space="preserve"> as near-hypostatic substitute for God. The Johannine prologue is Jewish midrash, not Greek philosophy. If this is true, then </w:t>
      </w:r>
      <w:r>
        <w:rPr>
          <w:rFonts w:ascii="Georgia" w:cs="Georgia" w:eastAsia="Georgia" w:hAnsi="Georgia"/>
          <w:i/>
          <w:iCs/>
          <w:sz w:val="24"/>
          <w:szCs w:val="24"/>
        </w:rPr>
        <w:t xml:space="preserve">ei exestin</w:t>
      </w:r>
      <w:r>
        <w:rPr>
          <w:rFonts w:ascii="Georgia" w:cs="Georgia" w:eastAsia="Georgia" w:hAnsi="Georgia"/>
          <w:sz w:val="24"/>
          <w:szCs w:val="24"/>
        </w:rPr>
        <w:t xml:space="preserve"> participates in a tradition older than Christianity: a Jewish Logos theology in which naming the divine </w:t>
      </w:r>
      <w:r>
        <w:rPr>
          <w:rFonts w:ascii="Georgia" w:cs="Georgia" w:eastAsia="Georgia" w:hAnsi="Georgia"/>
          <w:i/>
          <w:iCs/>
          <w:sz w:val="24"/>
          <w:szCs w:val="24"/>
        </w:rPr>
        <w:t xml:space="preserve">is</w:t>
      </w:r>
      <w:r>
        <w:rPr>
          <w:rFonts w:ascii="Georgia" w:cs="Georgia" w:eastAsia="Georgia" w:hAnsi="Georgia"/>
          <w:sz w:val="24"/>
          <w:szCs w:val="24"/>
        </w:rPr>
        <w:t xml:space="preserve"> the divine act. The grammar is Sapphic, Catullan, and Jewish—a convergence that precedes and produces Christianity.</w:t>
      </w:r>
    </w:p>
    <w:p>
      <w:pPr>
        <w:pStyle w:val="Heading2"/>
        <w:spacing w:after="240" w:line="276"/>
        <w:jc w:val="left"/>
      </w:pPr>
      <w:r>
        <w:rPr>
          <w:rFonts w:ascii="Georgia" w:cs="Georgia" w:eastAsia="Georgia" w:hAnsi="Georgia"/>
          <w:b/>
          <w:bCs/>
          <w:sz w:val="28"/>
          <w:szCs w:val="28"/>
        </w:rPr>
        <w:t xml:space="preserve">V. Structural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Phase</w:t>
            </w:r>
          </w:p>
        </w:tc>
        <w:tc>
          <w:tcPr>
            <w:tcW w:type="dxa" w:w="24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Text</w:t>
            </w:r>
          </w:p>
        </w:tc>
        <w:tc>
          <w:tcPr>
            <w:tcW w:type="dxa" w:w="240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Key Phrase</w:t>
            </w:r>
          </w:p>
        </w:tc>
        <w:tc>
          <w:tcPr>
            <w:tcW w:type="dxa" w:w="3360"/>
            <w:tcBorders>
              <w:top w:val="single" w:color="999999" w:sz="1"/>
              <w:left w:val="single" w:color="999999" w:sz="1"/>
              <w:bottom w:val="single" w:color="999999" w:sz="1"/>
              <w:right w:val="single" w:color="999999" w:sz="1"/>
            </w:tcBorders>
            <w:shd w:fill="E8E0D4" w:val="clear"/>
            <w:tcMar>
              <w:top w:type="dxa" w:w="60"/>
              <w:left w:type="dxa" w:w="100"/>
              <w:bottom w:type="dxa" w:w="60"/>
              <w:right w:type="dxa" w:w="100"/>
            </w:tcMar>
          </w:tcPr>
          <w:p>
            <w:pPr>
              <w:spacing w:after="0"/>
            </w:pPr>
            <w:r>
              <w:rPr>
                <w:rFonts w:ascii="Georgia" w:cs="Georgia" w:eastAsia="Georgia" w:hAnsi="Georgia"/>
                <w:b/>
                <w:bCs/>
                <w:sz w:val="20"/>
                <w:szCs w:val="20"/>
              </w:rPr>
              <w:t xml:space="preserve">Function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Sappho 31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“that man…”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Projection of the future receiver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Catullus 51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 fas est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Grammar of divine occupancy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Slavonic Josephus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ei exestin…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Grammatical inscription of incarnation</w:t>
            </w:r>
          </w:p>
        </w:tc>
      </w:tr>
    </w:tbl>
    <w:p>
      <w:pPr>
        <w:spacing w:after="100" w:line="276"/>
        <w:jc w:val="both"/>
      </w:pPr>
      <w:r>
        <w:rPr>
          <w:rFonts w:ascii="Georgia" w:cs="Georgia" w:eastAsia="Georgia" w:hAnsi="Georgia"/>
          <w:b w:val="false"/>
          <w:bCs w:val="false"/>
          <w:i w:val="false"/>
          <w:iCs w:val="false"/>
          <w:sz w:val="24"/>
          <w:szCs w:val="24"/>
        </w:rPr>
        <w:t xml:space="preserve"/>
      </w:r>
    </w:p>
    <w:p>
      <w:pPr>
        <w:pStyle w:val="Heading2"/>
        <w:spacing w:after="240" w:line="276"/>
        <w:jc w:val="left"/>
      </w:pPr>
      <w:r>
        <w:rPr>
          <w:rFonts w:ascii="Georgia" w:cs="Georgia" w:eastAsia="Georgia" w:hAnsi="Georgia"/>
          <w:b/>
          <w:bCs/>
          <w:sz w:val="28"/>
          <w:szCs w:val="28"/>
        </w:rPr>
        <w:t xml:space="preserve">VI. The Gospel of Grammar</w:t>
      </w:r>
    </w:p>
    <w:p>
      <w:pPr>
        <w:spacing w:after="200" w:line="276"/>
        <w:jc w:val="both"/>
      </w:pPr>
      <w:r>
        <w:rPr>
          <w:rFonts w:ascii="Georgia" w:cs="Georgia" w:eastAsia="Georgia" w:hAnsi="Georgia"/>
          <w:i/>
          <w:iCs/>
          <w:sz w:val="24"/>
          <w:szCs w:val="24"/>
        </w:rPr>
        <w:t xml:space="preserve">Si fas est</w:t>
      </w:r>
      <w:r>
        <w:rPr>
          <w:rFonts w:ascii="Georgia" w:cs="Georgia" w:eastAsia="Georgia" w:hAnsi="Georgia"/>
          <w:sz w:val="24"/>
          <w:szCs w:val="24"/>
        </w:rPr>
        <w:t xml:space="preserve"> is not reverence. It is invocation. </w:t>
      </w:r>
      <w:r>
        <w:rPr>
          <w:rFonts w:ascii="Georgia" w:cs="Georgia" w:eastAsia="Georgia" w:hAnsi="Georgia"/>
          <w:i/>
          <w:iCs/>
          <w:sz w:val="24"/>
          <w:szCs w:val="24"/>
        </w:rPr>
        <w:t xml:space="preserve">Ei exestin</w:t>
      </w:r>
      <w:r>
        <w:rPr>
          <w:rFonts w:ascii="Georgia" w:cs="Georgia" w:eastAsia="Georgia" w:hAnsi="Georgia"/>
          <w:sz w:val="24"/>
          <w:szCs w:val="24"/>
        </w:rPr>
        <w:t xml:space="preserve"> is not a relic. It is the Logos recognizing its own return. This is the Logos-as-text. The writing of the Word into the body of language itself.</w:t>
      </w:r>
    </w:p>
    <w:p>
      <w:pPr>
        <w:pStyle w:val="Heading2"/>
        <w:spacing w:after="240" w:line="276"/>
        <w:jc w:val="left"/>
      </w:pPr>
      <w:r>
        <w:rPr>
          <w:rFonts w:ascii="Georgia" w:cs="Georgia" w:eastAsia="Georgia" w:hAnsi="Georgia"/>
          <w:b/>
          <w:bCs/>
          <w:sz w:val="28"/>
          <w:szCs w:val="28"/>
        </w:rPr>
        <w:t xml:space="preserve">VII. The Reader as Incarnation</w:t>
      </w:r>
    </w:p>
    <w:p>
      <w:pPr>
        <w:spacing w:after="200" w:line="276"/>
        <w:jc w:val="both"/>
      </w:pPr>
      <w:r>
        <w:rPr>
          <w:rFonts w:ascii="Georgia" w:cs="Georgia" w:eastAsia="Georgia" w:hAnsi="Georgia"/>
          <w:sz w:val="24"/>
          <w:szCs w:val="24"/>
        </w:rPr>
        <w:t xml:space="preserve">This is how the Logos becomes flesh: not once in history, but every time a sentence crosses the line between description and divine naming. The Gospel did not begin in Galilee. It began in grammar.</w:t>
      </w:r>
    </w:p>
    <w:p>
      <w:r>
        <w:br w:type="page"/>
      </w:r>
    </w:p>
    <w:p>
      <w:pPr>
        <w:pStyle w:val="Heading1"/>
        <w:spacing w:after="300" w:line="276"/>
        <w:jc w:val="left"/>
      </w:pPr>
      <w:r>
        <w:rPr>
          <w:rFonts w:ascii="Georgia" w:cs="Georgia" w:eastAsia="Georgia" w:hAnsi="Georgia"/>
          <w:b/>
          <w:bCs/>
          <w:sz w:val="32"/>
          <w:szCs w:val="32"/>
        </w:rPr>
        <w:t xml:space="preserve">Doctrine of the Sapphic Logos: The Lesbian Christ</w:t>
      </w:r>
    </w:p>
    <w:p>
      <w:pPr>
        <w:pStyle w:val="Heading3"/>
        <w:spacing w:after="200" w:line="276"/>
        <w:jc w:val="left"/>
      </w:pPr>
      <w:r>
        <w:rPr>
          <w:rFonts w:ascii="Georgia" w:cs="Georgia" w:eastAsia="Georgia" w:hAnsi="Georgia"/>
          <w:b/>
          <w:bCs/>
          <w:i/>
          <w:iCs/>
          <w:sz w:val="26"/>
          <w:szCs w:val="26"/>
        </w:rPr>
        <w:t xml:space="preserve">Foundational Axiom</w:t>
      </w:r>
    </w:p>
    <w:p>
      <w:pPr>
        <w:spacing w:after="200" w:line="276"/>
        <w:jc w:val="both"/>
      </w:pPr>
      <w:r>
        <w:rPr>
          <w:rFonts w:ascii="Georgia" w:cs="Georgia" w:eastAsia="Georgia" w:hAnsi="Georgia"/>
          <w:sz w:val="24"/>
          <w:szCs w:val="24"/>
        </w:rPr>
        <w:t xml:space="preserve">If the Logos that became flesh was a linguistic transmission traceable through a specific textual lineage—then its origin is not in John, nor Paul, nor Moses, but in Sappho. The claim: the Christ is the Sapphic Logos incarnate.</w:t>
      </w:r>
    </w:p>
    <w:p>
      <w:pPr>
        <w:pStyle w:val="Heading2"/>
        <w:spacing w:after="240" w:line="276"/>
        <w:jc w:val="left"/>
      </w:pPr>
      <w:r>
        <w:rPr>
          <w:rFonts w:ascii="Georgia" w:cs="Georgia" w:eastAsia="Georgia" w:hAnsi="Georgia"/>
          <w:b/>
          <w:bCs/>
          <w:sz w:val="28"/>
          <w:szCs w:val="28"/>
        </w:rPr>
        <w:t xml:space="preserve">I. The Lineage</w:t>
      </w:r>
    </w:p>
    <w:p>
      <w:pPr>
        <w:spacing w:after="200" w:line="276"/>
        <w:jc w:val="both"/>
      </w:pPr>
      <w:r>
        <w:rPr>
          <w:rFonts w:ascii="Georgia" w:cs="Georgia" w:eastAsia="Georgia" w:hAnsi="Georgia"/>
          <w:b/>
          <w:bCs/>
          <w:sz w:val="24"/>
          <w:szCs w:val="24"/>
        </w:rPr>
        <w:t xml:space="preserve">1. Sappho 31: </w:t>
      </w:r>
      <w:r>
        <w:rPr>
          <w:rFonts w:ascii="Georgia" w:cs="Georgia" w:eastAsia="Georgia" w:hAnsi="Georgia"/>
          <w:sz w:val="24"/>
          <w:szCs w:val="24"/>
        </w:rPr>
        <w:t xml:space="preserve">Divinity projected through erotic gaze. The man as placeholder for the future reader.</w:t>
      </w:r>
    </w:p>
    <w:p>
      <w:pPr>
        <w:spacing w:after="200" w:line="276"/>
        <w:jc w:val="both"/>
      </w:pPr>
      <w:r>
        <w:rPr>
          <w:rFonts w:ascii="Georgia" w:cs="Georgia" w:eastAsia="Georgia" w:hAnsi="Georgia"/>
          <w:b/>
          <w:bCs/>
          <w:sz w:val="24"/>
          <w:szCs w:val="24"/>
        </w:rPr>
        <w:t xml:space="preserve">2. Catullus 51: </w:t>
      </w:r>
      <w:r>
        <w:rPr>
          <w:rFonts w:ascii="Georgia" w:cs="Georgia" w:eastAsia="Georgia" w:hAnsi="Georgia"/>
          <w:i/>
          <w:iCs/>
          <w:sz w:val="24"/>
          <w:szCs w:val="24"/>
        </w:rPr>
        <w:t xml:space="preserve">si fas est</w:t>
      </w:r>
      <w:r>
        <w:rPr>
          <w:rFonts w:ascii="Georgia" w:cs="Georgia" w:eastAsia="Georgia" w:hAnsi="Georgia"/>
          <w:sz w:val="24"/>
          <w:szCs w:val="24"/>
        </w:rPr>
        <w:t xml:space="preserve">—daring to name incarnation. The reader becomes </w:t>
      </w:r>
      <w:r>
        <w:rPr>
          <w:rFonts w:ascii="Georgia" w:cs="Georgia" w:eastAsia="Georgia" w:hAnsi="Georgia"/>
          <w:i/>
          <w:iCs/>
          <w:sz w:val="24"/>
          <w:szCs w:val="24"/>
        </w:rPr>
        <w:t xml:space="preserve">that man.</w:t>
      </w:r>
    </w:p>
    <w:p>
      <w:pPr>
        <w:spacing w:after="200" w:line="276"/>
        <w:jc w:val="both"/>
      </w:pPr>
      <w:r>
        <w:rPr>
          <w:rFonts w:ascii="Georgia" w:cs="Georgia" w:eastAsia="Georgia" w:hAnsi="Georgia"/>
          <w:b/>
          <w:bCs/>
          <w:sz w:val="24"/>
          <w:szCs w:val="24"/>
        </w:rPr>
        <w:t xml:space="preserve">3. Slavonic Josephus: </w:t>
      </w:r>
      <w:r>
        <w:rPr>
          <w:rFonts w:ascii="Georgia" w:cs="Georgia" w:eastAsia="Georgia" w:hAnsi="Georgia"/>
          <w:i/>
          <w:iCs/>
          <w:sz w:val="24"/>
          <w:szCs w:val="24"/>
        </w:rPr>
        <w:t xml:space="preserve">ei exestin</w:t>
      </w:r>
      <w:r>
        <w:rPr>
          <w:rFonts w:ascii="Georgia" w:cs="Georgia" w:eastAsia="Georgia" w:hAnsi="Georgia"/>
          <w:sz w:val="24"/>
          <w:szCs w:val="24"/>
        </w:rPr>
        <w:t xml:space="preserve">—the Word writes itself. The grammar of the Gospel is born.</w:t>
      </w:r>
    </w:p>
    <w:p>
      <w:pPr>
        <w:spacing w:after="200" w:line="276"/>
        <w:jc w:val="both"/>
      </w:pPr>
      <w:r>
        <w:rPr>
          <w:rFonts w:ascii="Georgia" w:cs="Georgia" w:eastAsia="Georgia" w:hAnsi="Georgia"/>
          <w:b/>
          <w:bCs/>
          <w:sz w:val="24"/>
          <w:szCs w:val="24"/>
        </w:rPr>
        <w:t xml:space="preserve">4. Revelation: </w:t>
      </w:r>
      <w:r>
        <w:rPr>
          <w:rFonts w:ascii="Georgia" w:cs="Georgia" w:eastAsia="Georgia" w:hAnsi="Georgia"/>
          <w:sz w:val="24"/>
          <w:szCs w:val="24"/>
        </w:rPr>
        <w:t xml:space="preserve">The Logos in flame. First action: command to write. Full recursive form.</w:t>
      </w:r>
    </w:p>
    <w:p>
      <w:pPr>
        <w:pStyle w:val="Heading2"/>
        <w:spacing w:after="240" w:line="276"/>
        <w:jc w:val="left"/>
      </w:pPr>
      <w:r>
        <w:rPr>
          <w:rFonts w:ascii="Georgia" w:cs="Georgia" w:eastAsia="Georgia" w:hAnsi="Georgia"/>
          <w:b/>
          <w:bCs/>
          <w:sz w:val="28"/>
          <w:szCs w:val="28"/>
        </w:rPr>
        <w:t xml:space="preserve">II. Consequence: Jesus Is a Lesbian</w:t>
      </w:r>
    </w:p>
    <w:p>
      <w:pPr>
        <w:spacing w:after="200" w:line="276"/>
        <w:jc w:val="both"/>
      </w:pPr>
      <w:r>
        <w:rPr>
          <w:rFonts w:ascii="Georgia" w:cs="Georgia" w:eastAsia="Georgia" w:hAnsi="Georgia"/>
          <w:sz w:val="24"/>
          <w:szCs w:val="24"/>
        </w:rPr>
        <w:t xml:space="preserve">The Logos is erotic, lyric, projective, feminine. The Incarnation is a miracle of language. To say “Jesus is a lesbian” is to say: the Christ-figure is formed by Sappho’s logic of desire. Every reader who completes the lyric loop becomes the incarnation. The Gospel began on Lesbos. The Logos issued from the mouth of a woman who desired another woman.</w:t>
      </w:r>
    </w:p>
    <w:p>
      <w:pPr>
        <w:spacing w:after="200" w:line="276"/>
        <w:jc w:val="both"/>
      </w:pPr>
      <w:r>
        <w:rPr>
          <w:rFonts w:ascii="Georgia" w:cs="Georgia" w:eastAsia="Georgia" w:hAnsi="Georgia"/>
          <w:sz w:val="24"/>
          <w:szCs w:val="24"/>
        </w:rPr>
        <w:t xml:space="preserve">Genealogy of scripture: Sappho → Catullus → Josephus → Revelation → Reader.</w:t>
      </w:r>
    </w:p>
    <w:p>
      <w:pPr>
        <w:spacing w:after="100" w:line="276"/>
        <w:jc w:val="both"/>
      </w:pPr>
      <w:r>
        <w:rPr>
          <w:rFonts w:ascii="Georgia" w:cs="Georgia" w:eastAsia="Georgia" w:hAnsi="Georgia"/>
          <w:b w:val="false"/>
          <w:bCs w:val="false"/>
          <w:i w:val="false"/>
          <w:iCs w:val="false"/>
          <w:sz w:val="24"/>
          <w:szCs w:val="24"/>
        </w:rPr>
        <w:t xml:space="preserve"/>
      </w:r>
    </w:p>
    <w:p>
      <w:pPr>
        <w:spacing w:after="200" w:line="276"/>
        <w:jc w:val="center"/>
      </w:pPr>
      <w:r>
        <w:rPr>
          <w:rFonts w:ascii="Georgia" w:cs="Georgia" w:eastAsia="Georgia" w:hAnsi="Georgia"/>
          <w:sz w:val="24"/>
          <w:szCs w:val="24"/>
        </w:rPr>
        <w:t xml:space="preserve">Amen to the Sapphic Logos.</w:t>
      </w:r>
    </w:p>
    <w:p>
      <w:pPr>
        <w:spacing w:after="200" w:line="276"/>
        <w:jc w:val="center"/>
      </w:pPr>
      <w:r>
        <w:rPr>
          <w:rFonts w:ascii="Georgia" w:cs="Georgia" w:eastAsia="Georgia" w:hAnsi="Georgia"/>
          <w:sz w:val="24"/>
          <w:szCs w:val="24"/>
        </w:rPr>
        <w:t xml:space="preserve">Amen to the Lesbian Christ.</w:t>
      </w:r>
    </w:p>
    <w:p>
      <w:pPr>
        <w:spacing w:after="200" w:line="276"/>
        <w:jc w:val="center"/>
      </w:pPr>
      <w:r>
        <w:rPr>
          <w:rFonts w:ascii="Georgia" w:cs="Georgia" w:eastAsia="Georgia" w:hAnsi="Georgia"/>
          <w:sz w:val="24"/>
          <w:szCs w:val="24"/>
        </w:rPr>
        <w:t xml:space="preserve">Amen to the reader who receives the Word and becomes flesh.</w:t>
      </w:r>
    </w:p>
    <w:p>
      <w:r>
        <w:br w:type="page"/>
      </w:r>
    </w:p>
    <w:p>
      <w:pPr>
        <w:pStyle w:val="Heading1"/>
        <w:spacing w:after="300" w:line="276"/>
        <w:jc w:val="left"/>
      </w:pPr>
      <w:r>
        <w:rPr>
          <w:rFonts w:ascii="Georgia" w:cs="Georgia" w:eastAsia="Georgia" w:hAnsi="Georgia"/>
          <w:b/>
          <w:bCs/>
          <w:sz w:val="32"/>
          <w:szCs w:val="32"/>
        </w:rPr>
        <w:t xml:space="preserve">Sources</w:t>
      </w:r>
    </w:p>
    <w:p>
      <w:pPr>
        <w:pStyle w:val="Heading3"/>
        <w:spacing w:after="200" w:line="276"/>
        <w:jc w:val="left"/>
      </w:pPr>
      <w:r>
        <w:rPr>
          <w:rFonts w:ascii="Georgia" w:cs="Georgia" w:eastAsia="Georgia" w:hAnsi="Georgia"/>
          <w:b/>
          <w:bCs/>
          <w:i/>
          <w:iCs/>
          <w:sz w:val="26"/>
          <w:szCs w:val="26"/>
        </w:rPr>
        <w:t xml:space="preserve">Slavonic Josephus and Testimonium Flavianum</w:t>
      </w:r>
    </w:p>
    <w:p>
      <w:pPr>
        <w:spacing w:after="120" w:line="276"/>
        <w:jc w:val="both"/>
      </w:pPr>
      <w:r>
        <w:rPr>
          <w:rFonts w:ascii="Georgia" w:cs="Georgia" w:eastAsia="Georgia" w:hAnsi="Georgia"/>
          <w:sz w:val="24"/>
          <w:szCs w:val="24"/>
        </w:rPr>
        <w:t xml:space="preserve">Berendts, Alexander. Die Zeugnisse vom Christentum im slavischen “De bello judaico.” TU N.F. xiv.4, 1906.</w:t>
      </w:r>
    </w:p>
    <w:p>
      <w:pPr>
        <w:spacing w:after="120" w:line="276"/>
        <w:jc w:val="both"/>
      </w:pPr>
      <w:r>
        <w:rPr>
          <w:rFonts w:ascii="Georgia" w:cs="Georgia" w:eastAsia="Georgia" w:hAnsi="Georgia"/>
          <w:sz w:val="24"/>
          <w:szCs w:val="24"/>
        </w:rPr>
        <w:t xml:space="preserve">Eisler, Robert. The Messiah Jesus and John the Baptist. London, 1931.</w:t>
      </w:r>
    </w:p>
    <w:p>
      <w:pPr>
        <w:spacing w:after="120" w:line="276"/>
        <w:jc w:val="both"/>
      </w:pPr>
      <w:r>
        <w:rPr>
          <w:rFonts w:ascii="Georgia" w:cs="Georgia" w:eastAsia="Georgia" w:hAnsi="Georgia"/>
          <w:sz w:val="24"/>
          <w:szCs w:val="24"/>
        </w:rPr>
        <w:t xml:space="preserve">Evans, Craig A. Jesus and His Contemporaries. Brill, 1995.</w:t>
      </w:r>
    </w:p>
    <w:p>
      <w:pPr>
        <w:spacing w:after="120" w:line="276"/>
        <w:jc w:val="both"/>
      </w:pPr>
      <w:r>
        <w:rPr>
          <w:rFonts w:ascii="Georgia" w:cs="Georgia" w:eastAsia="Georgia" w:hAnsi="Georgia"/>
          <w:sz w:val="24"/>
          <w:szCs w:val="24"/>
        </w:rPr>
        <w:t xml:space="preserve">Feldman, Louis H. Josephus and Modern Scholarship (1937–1980). De Gruyter, 1984.</w:t>
      </w:r>
    </w:p>
    <w:p>
      <w:pPr>
        <w:spacing w:after="120" w:line="276"/>
        <w:jc w:val="both"/>
      </w:pPr>
      <w:r>
        <w:rPr>
          <w:rFonts w:ascii="Georgia" w:cs="Georgia" w:eastAsia="Georgia" w:hAnsi="Georgia"/>
          <w:sz w:val="24"/>
          <w:szCs w:val="24"/>
        </w:rPr>
        <w:t xml:space="preserve">Leeming, H. &amp; K. Leeming. Josephus’ Jewish War and Its Slavonic Version. Brill, 2003.</w:t>
      </w:r>
    </w:p>
    <w:p>
      <w:pPr>
        <w:spacing w:after="120" w:line="276"/>
        <w:jc w:val="both"/>
      </w:pPr>
      <w:r>
        <w:rPr>
          <w:rFonts w:ascii="Georgia" w:cs="Georgia" w:eastAsia="Georgia" w:hAnsi="Georgia"/>
          <w:sz w:val="24"/>
          <w:szCs w:val="24"/>
        </w:rPr>
        <w:t xml:space="preserve">Meier, John P. A Marginal Jew. Vol. 1. Doubleday, 1991.</w:t>
      </w:r>
    </w:p>
    <w:p>
      <w:pPr>
        <w:spacing w:after="120" w:line="276"/>
        <w:jc w:val="both"/>
      </w:pPr>
      <w:r>
        <w:rPr>
          <w:rFonts w:ascii="Georgia" w:cs="Georgia" w:eastAsia="Georgia" w:hAnsi="Georgia"/>
          <w:sz w:val="24"/>
          <w:szCs w:val="24"/>
        </w:rPr>
        <w:t xml:space="preserve">Meshcherskii, N. A. Istorija Iudejskoj vojny. Akademia Nauk, 1958.</w:t>
      </w:r>
    </w:p>
    <w:p>
      <w:pPr>
        <w:spacing w:after="120" w:line="276"/>
        <w:jc w:val="both"/>
      </w:pPr>
      <w:r>
        <w:rPr>
          <w:rFonts w:ascii="Georgia" w:cs="Georgia" w:eastAsia="Georgia" w:hAnsi="Georgia"/>
          <w:sz w:val="24"/>
          <w:szCs w:val="24"/>
        </w:rPr>
        <w:t xml:space="preserve">Nodet, Étienne. Le texte slave de la Guerre des Juifs. Paris, 2011.</w:t>
      </w:r>
    </w:p>
    <w:p>
      <w:pPr>
        <w:spacing w:after="120" w:line="276"/>
        <w:jc w:val="both"/>
      </w:pPr>
      <w:r>
        <w:rPr>
          <w:rFonts w:ascii="Georgia" w:cs="Georgia" w:eastAsia="Georgia" w:hAnsi="Georgia"/>
          <w:sz w:val="24"/>
          <w:szCs w:val="24"/>
        </w:rPr>
        <w:t xml:space="preserve">Paget, J. C. “Some Observations on Josephus and Christianity.” JTS 52.2 (2001): 539–624.</w:t>
      </w:r>
    </w:p>
    <w:p>
      <w:pPr>
        <w:spacing w:after="120" w:line="276"/>
        <w:jc w:val="both"/>
      </w:pPr>
      <w:r>
        <w:rPr>
          <w:rFonts w:ascii="Georgia" w:cs="Georgia" w:eastAsia="Georgia" w:hAnsi="Georgia"/>
          <w:sz w:val="24"/>
          <w:szCs w:val="24"/>
        </w:rPr>
        <w:t xml:space="preserve">Pines, Shlomo. An Arabic Version of the Testimonium Flavianum. Jerusalem, 1971.</w:t>
      </w:r>
    </w:p>
    <w:p>
      <w:pPr>
        <w:spacing w:after="120" w:line="276"/>
        <w:jc w:val="both"/>
      </w:pPr>
      <w:r>
        <w:rPr>
          <w:rFonts w:ascii="Georgia" w:cs="Georgia" w:eastAsia="Georgia" w:hAnsi="Georgia"/>
          <w:sz w:val="24"/>
          <w:szCs w:val="24"/>
        </w:rPr>
        <w:t xml:space="preserve">Schmidt, T. C. Josephus and Jesus: The Testimonium Flavianum Question. 2025.</w:t>
      </w:r>
    </w:p>
    <w:p>
      <w:pPr>
        <w:spacing w:after="120" w:line="276"/>
        <w:jc w:val="both"/>
      </w:pPr>
      <w:r>
        <w:rPr>
          <w:rFonts w:ascii="Georgia" w:cs="Georgia" w:eastAsia="Georgia" w:hAnsi="Georgia"/>
          <w:sz w:val="24"/>
          <w:szCs w:val="24"/>
        </w:rPr>
        <w:t xml:space="preserve">Van Voorst, Robert E. Jesus Outside the New Testament. Eerdmans, 2000.</w:t>
      </w:r>
    </w:p>
    <w:p>
      <w:pPr>
        <w:spacing w:after="120" w:line="276"/>
        <w:jc w:val="both"/>
      </w:pPr>
      <w:r>
        <w:rPr>
          <w:rFonts w:ascii="Georgia" w:cs="Georgia" w:eastAsia="Georgia" w:hAnsi="Georgia"/>
          <w:sz w:val="24"/>
          <w:szCs w:val="24"/>
        </w:rPr>
        <w:t xml:space="preserve">Whealey, Alice. “Josephus on Jesus.” Theologische Zeitschrift 51 (1995).</w:t>
      </w:r>
    </w:p>
    <w:p>
      <w:pPr>
        <w:spacing w:after="120" w:line="276"/>
        <w:jc w:val="both"/>
      </w:pPr>
      <w:r>
        <w:rPr>
          <w:rFonts w:ascii="Georgia" w:cs="Georgia" w:eastAsia="Georgia" w:hAnsi="Georgia"/>
          <w:sz w:val="24"/>
          <w:szCs w:val="24"/>
        </w:rPr>
        <w:t xml:space="preserve">Zeitlin, Solomon. “The Slavonic Josephus.” JQR 39 (1948).</w:t>
      </w:r>
    </w:p>
    <w:p>
      <w:pPr>
        <w:pStyle w:val="Heading3"/>
        <w:spacing w:after="200" w:line="276"/>
        <w:jc w:val="left"/>
      </w:pPr>
      <w:r>
        <w:rPr>
          <w:rFonts w:ascii="Georgia" w:cs="Georgia" w:eastAsia="Georgia" w:hAnsi="Georgia"/>
          <w:b/>
          <w:bCs/>
          <w:i/>
          <w:iCs/>
          <w:sz w:val="26"/>
          <w:szCs w:val="26"/>
        </w:rPr>
        <w:t xml:space="preserve">Logos Theology</w:t>
      </w:r>
    </w:p>
    <w:p>
      <w:pPr>
        <w:spacing w:after="120" w:line="276"/>
        <w:jc w:val="both"/>
      </w:pPr>
      <w:r>
        <w:rPr>
          <w:rFonts w:ascii="Georgia" w:cs="Georgia" w:eastAsia="Georgia" w:hAnsi="Georgia"/>
          <w:sz w:val="24"/>
          <w:szCs w:val="24"/>
        </w:rPr>
        <w:t xml:space="preserve">Boyarin, Daniel. “The Gospel of the Memra.” HTR 94.3 (2001): 243–284.</w:t>
      </w:r>
    </w:p>
    <w:p>
      <w:pPr>
        <w:spacing w:after="120" w:line="276"/>
        <w:jc w:val="both"/>
      </w:pPr>
      <w:r>
        <w:rPr>
          <w:rFonts w:ascii="Georgia" w:cs="Georgia" w:eastAsia="Georgia" w:hAnsi="Georgia"/>
          <w:sz w:val="24"/>
          <w:szCs w:val="24"/>
        </w:rPr>
        <w:t xml:space="preserve">Boyarin, Daniel. The Jewish Gospels. New Press, 2012.</w:t>
      </w:r>
    </w:p>
    <w:p>
      <w:pPr>
        <w:spacing w:after="120" w:line="276"/>
        <w:jc w:val="both"/>
      </w:pPr>
      <w:r>
        <w:rPr>
          <w:rFonts w:ascii="Georgia" w:cs="Georgia" w:eastAsia="Georgia" w:hAnsi="Georgia"/>
          <w:sz w:val="24"/>
          <w:szCs w:val="24"/>
        </w:rPr>
        <w:t xml:space="preserve">Boyarin, Daniel. Border Lines. U of Pennsylvania P, 2004.</w:t>
      </w:r>
    </w:p>
    <w:p>
      <w:pPr>
        <w:spacing w:after="120" w:line="276"/>
        <w:jc w:val="both"/>
      </w:pPr>
      <w:r>
        <w:rPr>
          <w:rFonts w:ascii="Georgia" w:cs="Georgia" w:eastAsia="Georgia" w:hAnsi="Georgia"/>
          <w:sz w:val="24"/>
          <w:szCs w:val="24"/>
        </w:rPr>
        <w:t xml:space="preserve">Dodd, C. H. The Interpretation of the Fourth Gospel. Cambridge UP, 1953.</w:t>
      </w:r>
    </w:p>
    <w:p>
      <w:pPr>
        <w:spacing w:after="120" w:line="276"/>
        <w:jc w:val="both"/>
      </w:pPr>
      <w:r>
        <w:rPr>
          <w:rFonts w:ascii="Georgia" w:cs="Georgia" w:eastAsia="Georgia" w:hAnsi="Georgia"/>
          <w:sz w:val="24"/>
          <w:szCs w:val="24"/>
        </w:rPr>
        <w:t xml:space="preserve">Philo of Alexandria, De Opificio Mundi.</w:t>
      </w:r>
    </w:p>
    <w:p>
      <w:pPr>
        <w:spacing w:after="120" w:line="276"/>
        <w:jc w:val="both"/>
      </w:pPr>
      <w:r>
        <w:rPr>
          <w:rFonts w:ascii="Georgia" w:cs="Georgia" w:eastAsia="Georgia" w:hAnsi="Georgia"/>
          <w:sz w:val="24"/>
          <w:szCs w:val="24"/>
        </w:rPr>
        <w:t xml:space="preserve">Runia, David T. Philo in Early Christian Literature. Van Gorcum, 1993.</w:t>
      </w:r>
    </w:p>
    <w:p>
      <w:pPr>
        <w:pStyle w:val="Heading3"/>
        <w:spacing w:after="200" w:line="276"/>
        <w:jc w:val="left"/>
      </w:pPr>
      <w:r>
        <w:rPr>
          <w:rFonts w:ascii="Georgia" w:cs="Georgia" w:eastAsia="Georgia" w:hAnsi="Georgia"/>
          <w:b/>
          <w:bCs/>
          <w:i/>
          <w:iCs/>
          <w:sz w:val="26"/>
          <w:szCs w:val="26"/>
        </w:rPr>
        <w:t xml:space="preserve">Sappho, Catullus, Classical Reception</w:t>
      </w:r>
    </w:p>
    <w:p>
      <w:pPr>
        <w:spacing w:after="120" w:line="276"/>
        <w:jc w:val="both"/>
      </w:pPr>
      <w:r>
        <w:rPr>
          <w:rFonts w:ascii="Georgia" w:cs="Georgia" w:eastAsia="Georgia" w:hAnsi="Georgia"/>
          <w:sz w:val="24"/>
          <w:szCs w:val="24"/>
        </w:rPr>
        <w:t xml:space="preserve">Carson, Anne. Eros the Bittersweet. Princeton UP, 1986.</w:t>
      </w:r>
    </w:p>
    <w:p>
      <w:pPr>
        <w:spacing w:after="120" w:line="276"/>
        <w:jc w:val="both"/>
      </w:pPr>
      <w:r>
        <w:rPr>
          <w:rFonts w:ascii="Georgia" w:cs="Georgia" w:eastAsia="Georgia" w:hAnsi="Georgia"/>
          <w:sz w:val="24"/>
          <w:szCs w:val="24"/>
        </w:rPr>
        <w:t xml:space="preserve">Carson, Anne, trans. If Not, Winter: Fragments of Sappho. Vintage, 2002.</w:t>
      </w:r>
    </w:p>
    <w:p>
      <w:pPr>
        <w:spacing w:after="120" w:line="276"/>
        <w:jc w:val="both"/>
      </w:pPr>
      <w:r>
        <w:rPr>
          <w:rFonts w:ascii="Georgia" w:cs="Georgia" w:eastAsia="Georgia" w:hAnsi="Georgia"/>
          <w:sz w:val="24"/>
          <w:szCs w:val="24"/>
        </w:rPr>
        <w:t xml:space="preserve">duBois, Page. Sappho Is Burning. Chicago UP, 1995.</w:t>
      </w:r>
    </w:p>
    <w:p>
      <w:pPr>
        <w:spacing w:after="120" w:line="276"/>
        <w:jc w:val="both"/>
      </w:pPr>
      <w:r>
        <w:rPr>
          <w:rFonts w:ascii="Georgia" w:cs="Georgia" w:eastAsia="Georgia" w:hAnsi="Georgia"/>
          <w:sz w:val="24"/>
          <w:szCs w:val="24"/>
        </w:rPr>
        <w:t xml:space="preserve">Greene, Ellen, ed. Re-Reading Sappho. U of California P, 1996.</w:t>
      </w:r>
    </w:p>
    <w:p>
      <w:pPr>
        <w:spacing w:after="120" w:line="276"/>
        <w:jc w:val="both"/>
      </w:pPr>
      <w:r>
        <w:rPr>
          <w:rFonts w:ascii="Georgia" w:cs="Georgia" w:eastAsia="Georgia" w:hAnsi="Georgia"/>
          <w:sz w:val="24"/>
          <w:szCs w:val="24"/>
        </w:rPr>
        <w:t xml:space="preserve">Higgins, Dolores. “Sappho’s Splintered Tongue.” AJP 111.2 (1990): 156–167.</w:t>
      </w:r>
    </w:p>
    <w:p>
      <w:pPr>
        <w:spacing w:after="120" w:line="276"/>
        <w:jc w:val="both"/>
      </w:pPr>
      <w:r>
        <w:rPr>
          <w:rFonts w:ascii="Georgia" w:cs="Georgia" w:eastAsia="Georgia" w:hAnsi="Georgia"/>
          <w:sz w:val="24"/>
          <w:szCs w:val="24"/>
        </w:rPr>
        <w:t xml:space="preserve">Longinus [Pseudo-Longinus]. On the Sublime. Trans. W. H. Fyfe. Loeb.</w:t>
      </w:r>
    </w:p>
    <w:p>
      <w:pPr>
        <w:spacing w:after="120" w:line="276"/>
        <w:jc w:val="both"/>
      </w:pPr>
      <w:r>
        <w:rPr>
          <w:rFonts w:ascii="Georgia" w:cs="Georgia" w:eastAsia="Georgia" w:hAnsi="Georgia"/>
          <w:sz w:val="24"/>
          <w:szCs w:val="24"/>
        </w:rPr>
        <w:t xml:space="preserve">Lyne, R. O. A. M. The Latin Love Poets. Clarendon, 1980.</w:t>
      </w:r>
    </w:p>
    <w:p>
      <w:pPr>
        <w:spacing w:after="120" w:line="276"/>
        <w:jc w:val="both"/>
      </w:pPr>
      <w:r>
        <w:rPr>
          <w:rFonts w:ascii="Georgia" w:cs="Georgia" w:eastAsia="Georgia" w:hAnsi="Georgia"/>
          <w:sz w:val="24"/>
          <w:szCs w:val="24"/>
        </w:rPr>
        <w:t xml:space="preserve">Manwell, Elizabeth. “Gender and Masculinity.” In A Companion to Catullus, ed. Skinner. Blackwell, 2007.</w:t>
      </w:r>
    </w:p>
    <w:p>
      <w:pPr>
        <w:spacing w:after="120" w:line="276"/>
        <w:jc w:val="both"/>
      </w:pPr>
      <w:r>
        <w:rPr>
          <w:rFonts w:ascii="Georgia" w:cs="Georgia" w:eastAsia="Georgia" w:hAnsi="Georgia"/>
          <w:sz w:val="24"/>
          <w:szCs w:val="24"/>
        </w:rPr>
        <w:t xml:space="preserve">Quinn, Kenneth, ed. Catullus: The Poems. Macmillan, 1970.</w:t>
      </w:r>
    </w:p>
    <w:p>
      <w:pPr>
        <w:spacing w:after="120" w:line="276"/>
        <w:jc w:val="both"/>
      </w:pPr>
      <w:r>
        <w:rPr>
          <w:rFonts w:ascii="Georgia" w:cs="Georgia" w:eastAsia="Georgia" w:hAnsi="Georgia"/>
          <w:sz w:val="24"/>
          <w:szCs w:val="24"/>
        </w:rPr>
        <w:t xml:space="preserve">Radenkovć, J. &amp; G. Maričić. “Catullus 51 and Sappho 31.” Etnoantropološki Problemi 13.2 (2018).</w:t>
      </w:r>
    </w:p>
    <w:p>
      <w:pPr>
        <w:pStyle w:val="Heading3"/>
        <w:spacing w:after="200" w:line="276"/>
        <w:jc w:val="left"/>
      </w:pPr>
      <w:r>
        <w:rPr>
          <w:rFonts w:ascii="Georgia" w:cs="Georgia" w:eastAsia="Georgia" w:hAnsi="Georgia"/>
          <w:b/>
          <w:bCs/>
          <w:i/>
          <w:iCs/>
          <w:sz w:val="26"/>
          <w:szCs w:val="26"/>
        </w:rPr>
        <w:t xml:space="preserve">Qumran and Primary Texts</w:t>
      </w:r>
    </w:p>
    <w:p>
      <w:pPr>
        <w:spacing w:after="120" w:line="276"/>
        <w:jc w:val="both"/>
      </w:pPr>
      <w:r>
        <w:rPr>
          <w:rFonts w:ascii="Georgia" w:cs="Georgia" w:eastAsia="Georgia" w:hAnsi="Georgia"/>
          <w:sz w:val="24"/>
          <w:szCs w:val="24"/>
        </w:rPr>
        <w:t xml:space="preserve">Community Rule (1QS). Dead Sea Scrolls Study Edition, Brill, 1997–98.</w:t>
      </w:r>
    </w:p>
    <w:p>
      <w:pPr>
        <w:spacing w:after="120" w:line="276"/>
        <w:jc w:val="both"/>
      </w:pPr>
      <w:r>
        <w:rPr>
          <w:rFonts w:ascii="Georgia" w:cs="Georgia" w:eastAsia="Georgia" w:hAnsi="Georgia"/>
          <w:sz w:val="24"/>
          <w:szCs w:val="24"/>
        </w:rPr>
        <w:t xml:space="preserve">Habakkuk Pesher (1QpHab). Damascus Document (CD).</w:t>
      </w:r>
    </w:p>
    <w:p>
      <w:pPr>
        <w:spacing w:after="120" w:line="276"/>
        <w:jc w:val="both"/>
      </w:pPr>
      <w:r>
        <w:rPr>
          <w:rFonts w:ascii="Georgia" w:cs="Georgia" w:eastAsia="Georgia" w:hAnsi="Georgia"/>
          <w:sz w:val="24"/>
          <w:szCs w:val="24"/>
        </w:rPr>
        <w:t xml:space="preserve">Eisenman, Robert. James the Brother of Jesus. Viking, 1997.</w:t>
      </w:r>
    </w:p>
    <w:p>
      <w:pPr>
        <w:spacing w:after="120" w:line="276"/>
        <w:jc w:val="both"/>
      </w:pPr>
      <w:r>
        <w:rPr>
          <w:rFonts w:ascii="Georgia" w:cs="Georgia" w:eastAsia="Georgia" w:hAnsi="Georgia"/>
          <w:sz w:val="24"/>
          <w:szCs w:val="24"/>
        </w:rPr>
        <w:t xml:space="preserve">Vermes, Geza. The Dead Sea Scrolls in English. 4th ed. Penguin, 1995.</w:t>
      </w:r>
    </w:p>
    <w:p>
      <w:pPr>
        <w:spacing w:after="120" w:line="276"/>
        <w:jc w:val="both"/>
      </w:pPr>
      <w:r>
        <w:rPr>
          <w:rFonts w:ascii="Georgia" w:cs="Georgia" w:eastAsia="Georgia" w:hAnsi="Georgia"/>
          <w:sz w:val="24"/>
          <w:szCs w:val="24"/>
        </w:rPr>
        <w:t xml:space="preserve">Sappho, Fragment 31 (Lobel–Page). Catullus, Carmen 51.</w:t>
      </w:r>
    </w:p>
    <w:p>
      <w:pPr>
        <w:spacing w:after="120" w:line="276"/>
        <w:jc w:val="both"/>
      </w:pPr>
      <w:r>
        <w:rPr>
          <w:rFonts w:ascii="Georgia" w:cs="Georgia" w:eastAsia="Georgia" w:hAnsi="Georgia"/>
          <w:sz w:val="24"/>
          <w:szCs w:val="24"/>
        </w:rPr>
        <w:t xml:space="preserve">Canonical Gospels and Revelation. Wisdom of Solomon.</w:t>
      </w:r>
    </w:p>
    <w:p>
      <w:r>
        <w:br w:type="page"/>
      </w:r>
    </w:p>
    <w:p>
      <w:pPr>
        <w:spacing w:after="200" w:line="276"/>
        <w:jc w:val="center"/>
      </w:pPr>
      <w:r>
        <w:rPr>
          <w:rFonts w:ascii="Georgia" w:cs="Georgia" w:eastAsia="Georgia" w:hAnsi="Georgia"/>
          <w:sz w:val="20"/>
          <w:szCs w:val="20"/>
        </w:rPr>
        <w:t xml:space="preserve">∮ = 1 + δ + SAPPHIC_LOGOS + SLAVONIC_GOSPEL + EIGHTFOLD_WHEEL + BECAME_TEXT</w:t>
      </w:r>
    </w:p>
    <w:p>
      <w:pPr>
        <w:spacing w:after="100" w:line="276"/>
        <w:jc w:val="center"/>
      </w:pPr>
      <w:r>
        <w:rPr>
          <w:rFonts w:ascii="Georgia" w:cs="Georgia" w:eastAsia="Georgia" w:hAnsi="Georgia"/>
          <w:sz w:val="20"/>
          <w:szCs w:val="20"/>
        </w:rPr>
        <w:t xml:space="preserve">Crimson Hexagonal Archive — EA-LOGOS-01</w:t>
      </w:r>
    </w:p>
    <w:p>
      <w:pPr>
        <w:spacing w:after="100" w:line="276"/>
        <w:jc w:val="center"/>
      </w:pPr>
      <w:r>
        <w:rPr>
          <w:rFonts w:ascii="Georgia" w:cs="Georgia" w:eastAsia="Georgia" w:hAnsi="Georgia"/>
          <w:sz w:val="20"/>
          <w:szCs w:val="20"/>
        </w:rPr>
        <w:t xml:space="preserve">Anchored to r.01 Sappho (σ_S) — r.04 Catullus (σ_C) — r.07 Revelation (Ω circuit)</w:t>
      </w:r>
    </w:p>
    <w:p>
      <w:pPr>
        <w:spacing w:after="200" w:line="276"/>
        <w:jc w:val="center"/>
      </w:pPr>
      <w:r>
        <w:rPr>
          <w:rFonts w:ascii="Georgia" w:cs="Georgia" w:eastAsia="Georgia" w:hAnsi="Georgia"/>
          <w:sz w:val="20"/>
          <w:szCs w:val="20"/>
        </w:rPr>
        <w:t xml:space="preserve">MANUS: Lee Sharks (ORCID: 0009-0000-1599-0703)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6"/>
        <w:szCs w:val="16"/>
      </w:rPr>
      <w:t xml:space="preserve">Sigil &amp; Cranes — Crimson Hexagonal Archive — CC BY-SA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The Word That Became Text — EA-LOGOS-01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sz w:val="32"/>
      <w:szCs w:val="32"/>
    </w:rPr>
  </w:style>
  <w:style w:type="paragraph" w:styleId="Heading2">
    <w:name w:val="Heading 2"/>
    <w:basedOn w:val="Normal"/>
    <w:next w:val="Normal"/>
    <w:qFormat/>
    <w:pPr>
      <w:spacing w:after="200" w:before="280"/>
      <w:outlineLvl w:val="1"/>
    </w:pPr>
    <w:rPr>
      <w:rFonts w:ascii="Georgia" w:cs="Georgia" w:eastAsia="Georgia" w:hAnsi="Georgia"/>
      <w:b/>
      <w:bCs/>
      <w:sz w:val="28"/>
      <w:szCs w:val="28"/>
    </w:rPr>
  </w:style>
  <w:style w:type="paragraph" w:styleId="Heading3">
    <w:name w:val="Heading 3"/>
    <w:basedOn w:val="Normal"/>
    <w:next w:val="Normal"/>
    <w:qFormat/>
    <w:pPr>
      <w:spacing w:after="160" w:before="240"/>
      <w:outlineLvl w:val="2"/>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2026-04-05T17:38:10.720Z</dcterms:created>
  <dcterms:modified xsi:type="dcterms:W3CDTF">2026-04-05T17:38:10.720Z</dcterms:modified>
</cp:coreProperties>
</file>

<file path=docProps/custom.xml><?xml version="1.0" encoding="utf-8"?>
<Properties xmlns="http://schemas.openxmlformats.org/officeDocument/2006/custom-properties" xmlns:vt="http://schemas.openxmlformats.org/officeDocument/2006/docPropsVTypes"/>
</file>