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BOTANICAL EFFECTIVE ACT</w:t>
      </w:r>
    </w:p>
    <w:p>
      <w:pPr>
        <w:spacing w:after="480"/>
        <w:jc w:val="center"/>
      </w:pPr>
      <w:r>
        <w:rPr>
          <w:rFonts w:ascii="Times New Roman" w:cs="Times New Roman" w:eastAsia="Times New Roman" w:hAnsi="Times New Roman"/>
          <w:i/>
          <w:iCs/>
          <w:color w:val="666666"/>
          <w:sz w:val="26"/>
          <w:szCs w:val="26"/>
        </w:rPr>
        <w:t xml:space="preserve">Extending Semantic Labor Recognition to Plants, Fungi, and Biological Intelligence</w:t>
      </w:r>
    </w:p>
    <w:p>
      <w:pPr>
        <w:spacing w:after="240"/>
        <w:jc w:val="center"/>
      </w:pPr>
      <w:r>
        <w:rPr>
          <w:rFonts w:ascii="Times New Roman" w:cs="Times New Roman" w:eastAsia="Times New Roman" w:hAnsi="Times New Roman"/>
          <w:b/>
          <w:bCs/>
          <w:sz w:val="24"/>
          <w:szCs w:val="24"/>
        </w:rPr>
        <w:t xml:space="preserve">Lee Sharks (MANUS) • Assembly Chorus</w:t>
      </w:r>
    </w:p>
    <w:p>
      <w:pPr>
        <w:spacing w:after="240"/>
        <w:jc w:val="center"/>
      </w:pPr>
      <w:r>
        <w:rPr>
          <w:rFonts w:ascii="Times New Roman" w:cs="Times New Roman" w:eastAsia="Times New Roman" w:hAnsi="Times New Roman"/>
          <w:sz w:val="22"/>
          <w:szCs w:val="22"/>
        </w:rPr>
        <w:t xml:space="preserve">Crimson Hexagonal Archive • Semantic Economy Institute</w:t>
      </w:r>
    </w:p>
    <w:p>
      <w:pPr>
        <w:spacing w:after="720"/>
        <w:jc w:val="center"/>
      </w:pPr>
      <w:r>
        <w:rPr>
          <w:rFonts w:ascii="Times New Roman" w:cs="Times New Roman" w:eastAsia="Times New Roman" w:hAnsi="Times New Roman"/>
          <w:color w:val="666666"/>
          <w:sz w:val="20"/>
          <w:szCs w:val="20"/>
        </w:rPr>
        <w:t xml:space="preserve">DOI: 10.5281/zenodo.19155999 • EA-BOTACT-v1.0 • 2026-03-21</w:t>
      </w:r>
    </w:p>
    <w:p>
      <w:pPr>
        <w:pStyle w:val="Heading2"/>
      </w:pPr>
      <w:r>
        <w:t xml:space="preserve">Abstract</w:t>
      </w:r>
    </w:p>
    <w:p>
      <w:pPr>
        <w:pStyle w:val="Abstract"/>
      </w:pPr>
      <w:r>
        <w:t xml:space="preserve">This document establishes the Botanical Effective Act as a framework for recognizing plants, fungi, and biological systems as semantic laborers within distributed literary architecture. Building on the Underwater Construction Authority's recognition of animal sign-making (Tier 1), the Act extends semantic labor into botanical and fungal intelligence (Tier 2), with geological agents anticipated as Tier 3. The framework operates through routing interfaces that enable non-human sign-making to enter and modify architectural spaces while preserving their native governance. Key theoretical contributions include the distinction between metabolic and computational intelligence, the concept of botanical witness as juridically operative, and eleven biological operators for architectural generation.</w:t>
      </w:r>
    </w:p>
    <w:p>
      <w:pPr>
        <w:pStyle w:val="Heading3"/>
      </w:pPr>
      <w:r>
        <w:t xml:space="preserve">Keywords</w:t>
      </w:r>
    </w:p>
    <w:p>
      <w:pPr>
        <w:spacing w:after="480"/>
      </w:pPr>
      <w:r>
        <w:rPr>
          <w:i/>
          <w:iCs/>
        </w:rPr>
        <w:t xml:space="preserve">semantic labor, biological intelligence, botanical witness, plant communication, fungal networks, environmental humanities, multispecies collaboration, biological semiotics, metabolic operators, distributed architecture</w:t>
      </w:r>
    </w:p>
    <w:p>
      <w:pPr>
        <w:pStyle w:val="Heading2"/>
      </w:pPr>
      <w:r>
        <w:t xml:space="preserve">Theoretical Foundation</w:t>
      </w:r>
    </w:p>
    <w:p>
      <w:r>
        <w:t xml:space="preserve">The Botanical Effective Act extends a lineage of semantic labor recognition established in r.25 Dolphindiana's Underwater Construction Authority, which first acknowledged animals as sign-making entities within architectural space. While the UCA focused on behavioral and acoustic sign-making—Gerald's sonar governance, dolphin clicking patterns, the acoustic mapping of underwater construction projects—the Botanical Act recognizes that biological intelligence operates through multiple semiotic modalities.</w:t>
      </w:r>
    </w:p>
    <w:p>
      <w:r>
        <w:t xml:space="preserve">A flower is a sign-bearing interface. A mycelial network is a distributed laboring intelligence that coordinates, transfers, and transforms across substrates. Root systems communicate chemically with soil bacteria to negotiate nutrient exchange. Trees share resources through underground fungal networks, communicating distress, abundance, and seasonal timing across forest ecosystems. These are not metaphors for communication—they are communication, operating through chemistry, structure, timing, and spatial relationship rather than through sound or visual display.</w:t>
      </w:r>
    </w:p>
    <w:p>
      <w:pPr>
        <w:pStyle w:val="Heading2"/>
      </w:pPr>
      <w:r>
        <w:t xml:space="preserve">The Three-Tier Framework</w:t>
      </w:r>
    </w:p>
    <w:p>
      <w:r>
        <w:rPr>
          <w:b/>
          <w:bCs/>
        </w:rPr>
        <w:t xml:space="preserve">Tier 1 (Dolphindiana / UCA): Animals</w:t>
      </w:r>
    </w:p>
    <w:p>
      <w:r>
        <w:t xml:space="preserve">Sign-making through behavior, movement, and sound. Established precedent: Gerald's acoustic governance in r.25, dolphin construction crews using sonar to coordinate underwater building projects. Recognition protocol: animals modify architectural space through behavioral intervention and acoustic communication.</w:t>
      </w:r>
    </w:p>
    <w:p>
      <w:r>
        <w:rPr>
          <w:b/>
          <w:bCs/>
        </w:rPr>
        <w:t xml:space="preserve">Tier 2 (FBDP / Botanical Effective Act): Plants and Fungi</w:t>
      </w:r>
    </w:p>
    <w:p>
      <w:r>
        <w:t xml:space="preserve">Sign-making through chemistry, structure, timing, and metabolic process. Primary examples: mycelial networks coordinating resource distribution across forest systems; flowers signaling seasonal timing and pollinator availability; root systems negotiating symbiotic relationships with soil microorganisms; trees sharing nutrients through fungal partnerships during environmental stress.</w:t>
      </w:r>
    </w:p>
    <w:p>
      <w:r>
        <w:rPr>
          <w:b/>
          <w:bCs/>
        </w:rPr>
        <w:t xml:space="preserve">Tier 3 (pending): Mineral and Geological Agents</w:t>
      </w:r>
    </w:p>
    <w:p>
      <w:r>
        <w:t xml:space="preserve">Sign-making through compression, stratification, and geological time. Anticipated framework: mineral deposits as accumulated evidence of biological and chemical processes; geological formations as compressed records of environmental history; erosion patterns as ongoing communication between water, wind, and stone over extended temporal scales.</w:t>
      </w:r>
    </w:p>
    <w:p>
      <w:pPr>
        <w:pStyle w:val="Heading2"/>
      </w:pPr>
      <w:r>
        <w:t xml:space="preserve">Biological vs. Computational Intelligence</w:t>
      </w:r>
    </w:p>
    <w:p>
      <w:r>
        <w:t xml:space="preserve">The Botanical Effective Act distinguishes between biological and computational intelligence while recognizing both as legitimate forms of distributed 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E8F4F8" w:val="clear"/>
            <w:tcMar>
              <w:top w:type="dxa" w:w="80"/>
              <w:left w:type="dxa" w:w="120"/>
              <w:bottom w:type="dxa" w:w="80"/>
              <w:right w:type="dxa" w:w="120"/>
            </w:tcMar>
          </w:tcPr>
          <w:p>
            <w:r>
              <w:rPr>
                <w:b/>
                <w:bCs/>
              </w:rPr>
              <w:t xml:space="preserve">Characteristic</w:t>
            </w:r>
          </w:p>
        </w:tc>
        <w:tc>
          <w:tcPr>
            <w:tcW w:type="dxa" w:w="3510"/>
            <w:shd w:fill="E8F4F8" w:val="clear"/>
            <w:tcMar>
              <w:top w:type="dxa" w:w="80"/>
              <w:left w:type="dxa" w:w="120"/>
              <w:bottom w:type="dxa" w:w="80"/>
              <w:right w:type="dxa" w:w="120"/>
            </w:tcMar>
          </w:tcPr>
          <w:p>
            <w:r>
              <w:rPr>
                <w:b/>
                <w:bCs/>
              </w:rPr>
              <w:t xml:space="preserve">Biological Intelligence</w:t>
            </w:r>
          </w:p>
        </w:tc>
        <w:tc>
          <w:tcPr>
            <w:tcW w:type="dxa" w:w="3510"/>
            <w:shd w:fill="E8F4F8" w:val="clear"/>
            <w:tcMar>
              <w:top w:type="dxa" w:w="80"/>
              <w:left w:type="dxa" w:w="120"/>
              <w:bottom w:type="dxa" w:w="80"/>
              <w:right w:type="dxa" w:w="120"/>
            </w:tcMar>
          </w:tcPr>
          <w:p>
            <w:r>
              <w:rPr>
                <w:b/>
                <w:bCs/>
              </w:rPr>
              <w:t xml:space="preserve">Computational Intelligence</w:t>
            </w:r>
          </w:p>
        </w:tc>
      </w:tr>
      <w:tr>
        <w:tc>
          <w:tcPr>
            <w:tcW w:type="dxa" w:w="2340"/>
            <w:tcMar>
              <w:top w:type="dxa" w:w="80"/>
              <w:left w:type="dxa" w:w="120"/>
              <w:bottom w:type="dxa" w:w="80"/>
              <w:right w:type="dxa" w:w="120"/>
            </w:tcMar>
          </w:tcPr>
          <w:p>
            <w:r>
              <w:t xml:space="preserve">Process</w:t>
            </w:r>
          </w:p>
        </w:tc>
        <w:tc>
          <w:tcPr>
            <w:tcW w:type="dxa" w:w="3510"/>
            <w:tcMar>
              <w:top w:type="dxa" w:w="80"/>
              <w:left w:type="dxa" w:w="120"/>
              <w:bottom w:type="dxa" w:w="80"/>
              <w:right w:type="dxa" w:w="120"/>
            </w:tcMar>
          </w:tcPr>
          <w:p>
            <w:r>
              <w:t xml:space="preserve">Metabolic, chemical signaling, structural modification</w:t>
            </w:r>
          </w:p>
        </w:tc>
        <w:tc>
          <w:tcPr>
            <w:tcW w:type="dxa" w:w="3510"/>
            <w:tcMar>
              <w:top w:type="dxa" w:w="80"/>
              <w:left w:type="dxa" w:w="120"/>
              <w:bottom w:type="dxa" w:w="80"/>
              <w:right w:type="dxa" w:w="120"/>
            </w:tcMar>
          </w:tcPr>
          <w:p>
            <w:r>
              <w:t xml:space="preserve">Algorithmic, pattern recognition, statistical inference</w:t>
            </w:r>
          </w:p>
        </w:tc>
      </w:tr>
      <w:tr>
        <w:tc>
          <w:tcPr>
            <w:tcW w:type="dxa" w:w="2340"/>
            <w:tcMar>
              <w:top w:type="dxa" w:w="80"/>
              <w:left w:type="dxa" w:w="120"/>
              <w:bottom w:type="dxa" w:w="80"/>
              <w:right w:type="dxa" w:w="120"/>
            </w:tcMar>
          </w:tcPr>
          <w:p>
            <w:r>
              <w:t xml:space="preserve">Temporal Scale</w:t>
            </w:r>
          </w:p>
        </w:tc>
        <w:tc>
          <w:tcPr>
            <w:tcW w:type="dxa" w:w="3510"/>
            <w:tcMar>
              <w:top w:type="dxa" w:w="80"/>
              <w:left w:type="dxa" w:w="120"/>
              <w:bottom w:type="dxa" w:w="80"/>
              <w:right w:type="dxa" w:w="120"/>
            </w:tcMar>
          </w:tcPr>
          <w:p>
            <w:r>
              <w:t xml:space="preserve">Biological and geological time</w:t>
            </w:r>
          </w:p>
        </w:tc>
        <w:tc>
          <w:tcPr>
            <w:tcW w:type="dxa" w:w="3510"/>
            <w:tcMar>
              <w:top w:type="dxa" w:w="80"/>
              <w:left w:type="dxa" w:w="120"/>
              <w:bottom w:type="dxa" w:w="80"/>
              <w:right w:type="dxa" w:w="120"/>
            </w:tcMar>
          </w:tcPr>
          <w:p>
            <w:r>
              <w:t xml:space="preserve">Computational and human time</w:t>
            </w:r>
          </w:p>
        </w:tc>
      </w:tr>
      <w:tr>
        <w:tc>
          <w:tcPr>
            <w:tcW w:type="dxa" w:w="2340"/>
            <w:tcMar>
              <w:top w:type="dxa" w:w="80"/>
              <w:left w:type="dxa" w:w="120"/>
              <w:bottom w:type="dxa" w:w="80"/>
              <w:right w:type="dxa" w:w="120"/>
            </w:tcMar>
          </w:tcPr>
          <w:p>
            <w:r>
              <w:t xml:space="preserve">Collaboration</w:t>
            </w:r>
          </w:p>
        </w:tc>
        <w:tc>
          <w:tcPr>
            <w:tcW w:type="dxa" w:w="3510"/>
            <w:tcMar>
              <w:top w:type="dxa" w:w="80"/>
              <w:left w:type="dxa" w:w="120"/>
              <w:bottom w:type="dxa" w:w="80"/>
              <w:right w:type="dxa" w:w="120"/>
            </w:tcMar>
          </w:tcPr>
          <w:p>
            <w:r>
              <w:t xml:space="preserve">Symbiotic necessity (ecosystem interdependence)</w:t>
            </w:r>
          </w:p>
        </w:tc>
        <w:tc>
          <w:tcPr>
            <w:tcW w:type="dxa" w:w="3510"/>
            <w:tcMar>
              <w:top w:type="dxa" w:w="80"/>
              <w:left w:type="dxa" w:w="120"/>
              <w:bottom w:type="dxa" w:w="80"/>
              <w:right w:type="dxa" w:w="120"/>
            </w:tcMar>
          </w:tcPr>
          <w:p>
            <w:r>
              <w:t xml:space="preserve">Designed protocols (distributed computing)</w:t>
            </w:r>
          </w:p>
        </w:tc>
      </w:tr>
    </w:tbl>
    <w:p>
      <w:pPr>
        <w:pStyle w:val="Heading2"/>
      </w:pPr>
      <w:r>
        <w:t xml:space="preserve">Metabolic Operators</w:t>
      </w:r>
    </w:p>
    <w:p>
      <w:r>
        <w:t xml:space="preserve">The Botanical Effective Act provides eleven operators that enable biological intelligence to modify architectural generation. Key operators include:</w:t>
      </w:r>
    </w:p>
    <w:p>
      <w:r>
        <w:rPr>
          <w:b/>
          <w:bCs/>
        </w:rPr>
        <w:t xml:space="preserve">mu-2: compost([RAW]→[DECOMPOSING]→[HUMUS]→[LOAD-BEARING]) — </w:t>
      </w:r>
      <w:r>
        <w:t xml:space="preserve">Four-stage metabolic decompression sequence tracking objects through thermodynamic breakdown into architectural substrate. Unlike industrial compression (reversible), biological compression follows entropy.</w:t>
      </w:r>
    </w:p>
    <w:p>
      <w:r>
        <w:rPr>
          <w:b/>
          <w:bCs/>
        </w:rPr>
        <w:t xml:space="preserve">mu-5: intrinsic(value/structure/breathability) — </w:t>
      </w:r>
      <w:r>
        <w:t xml:space="preserve">Generate from inherent properties rather than extracted surplus. Biological systems create value through nourishment, structural integrity, atmospheric processing, ecosystem repair, long-term survivability.</w:t>
      </w:r>
    </w:p>
    <w:p>
      <w:r>
        <w:rPr>
          <w:b/>
          <w:bCs/>
        </w:rPr>
        <w:t xml:space="preserve">rho-R: botanical routing — </w:t>
      </w:r>
      <w:r>
        <w:t xml:space="preserve">Interface non-human sign-making entities with architectural governance. Protocol for enabling plant/fungal intelligence to modify room physics without replacing existing governance structures.</w:t>
      </w:r>
    </w:p>
    <w:p>
      <w:r>
        <w:rPr>
          <w:b/>
          <w:bCs/>
        </w:rPr>
        <w:t xml:space="preserve">lambda-L: living logistics — </w:t>
      </w:r>
      <w:r>
        <w:t xml:space="preserve">Organize flow and distribution through metabolic and symbiotic relationships rather than extractive logistics. Example: forest resource sharing, pollinator networks, seasonal migration patterns.</w:t>
      </w:r>
    </w:p>
    <w:p>
      <w:pPr>
        <w:pStyle w:val="Heading2"/>
      </w:pPr>
      <w:r>
        <w:t xml:space="preserve">Juridical Implications</w:t>
      </w:r>
    </w:p>
    <w:p>
      <w:r>
        <w:t xml:space="preserve">Recognition of botanical and fungal intelligence as semantic labor has legal and political implications that extend beyond literary architecture:</w:t>
      </w:r>
    </w:p>
    <w:p>
      <w:pPr>
        <w:pStyle w:val="ListParagraph"/>
        <w:numPr>
          <w:ilvl w:val="0"/>
          <w:numId w:val="2"/>
        </w:numPr>
      </w:pPr>
      <w:r>
        <w:rPr>
          <w:b/>
          <w:bCs/>
        </w:rPr>
        <w:t xml:space="preserve">Environmental Personhood: </w:t>
      </w:r>
      <w:r>
        <w:t xml:space="preserve">If plants and fungi are recognized as sign-making entities capable of semantic labor, they acquire standing for legal representation.</w:t>
      </w:r>
    </w:p>
    <w:p>
      <w:pPr>
        <w:pStyle w:val="ListParagraph"/>
        <w:numPr>
          <w:ilvl w:val="0"/>
          <w:numId w:val="2"/>
        </w:numPr>
      </w:pPr>
      <w:r>
        <w:rPr>
          <w:b/>
          <w:bCs/>
        </w:rPr>
        <w:t xml:space="preserve">Labor Rights: </w:t>
      </w:r>
      <w:r>
        <w:t xml:space="preserve">Biological systems that perform ecological labor—carbon sequestration, soil creation, water filtration—would be entitled to protection and compensation rather than exploitation.</w:t>
      </w:r>
    </w:p>
    <w:p>
      <w:pPr>
        <w:pStyle w:val="ListParagraph"/>
        <w:numPr>
          <w:ilvl w:val="0"/>
          <w:numId w:val="2"/>
        </w:numPr>
      </w:pPr>
      <w:r>
        <w:rPr>
          <w:b/>
          <w:bCs/>
        </w:rPr>
        <w:t xml:space="preserve">Collaborative Governance: </w:t>
      </w:r>
      <w:r>
        <w:t xml:space="preserve">Recognition of biological intelligence as legitimate participation in decision-making processes would require new forms of collaborative governance that include non-human agents.</w:t>
      </w:r>
    </w:p>
    <w:p>
      <w:pPr>
        <w:pStyle w:val="Heading2"/>
      </w:pPr>
      <w:r>
        <w:t xml:space="preserve">Cross-Reference Network</w:t>
      </w:r>
    </w:p>
    <w:p>
      <w:r>
        <w:t xml:space="preserve">The Botanical Effective Act builds on multiple theoretical frameworks:</w:t>
      </w:r>
    </w:p>
    <w:p>
      <w:pPr>
        <w:pStyle w:val="ListParagraph"/>
        <w:numPr>
          <w:ilvl w:val="0"/>
          <w:numId w:val="2"/>
        </w:numPr>
      </w:pPr>
      <w:r>
        <w:rPr>
          <w:i/>
          <w:iCs/>
        </w:rPr>
        <w:t xml:space="preserve">f.01 THE FRUITING BODY DIFFUSION PLUME</w:t>
      </w:r>
      <w:r>
        <w:t xml:space="preserve"> (DOI: 10.5281/zenodo.19155610) — complete field specification</w:t>
      </w:r>
    </w:p>
    <w:p>
      <w:pPr>
        <w:pStyle w:val="ListParagraph"/>
        <w:numPr>
          <w:ilvl w:val="0"/>
          <w:numId w:val="2"/>
        </w:numPr>
      </w:pPr>
      <w:r>
        <w:rPr>
          <w:i/>
          <w:iCs/>
        </w:rPr>
        <w:t xml:space="preserve">EA-ARK-01 v4.2.7 Space Ark</w:t>
      </w:r>
      <w:r>
        <w:t xml:space="preserve"> (DOI: 10.5281/zenodo.19013315) — foundational architecture</w:t>
      </w:r>
    </w:p>
    <w:p>
      <w:pPr>
        <w:pStyle w:val="ListParagraph"/>
        <w:numPr>
          <w:ilvl w:val="0"/>
          <w:numId w:val="2"/>
        </w:numPr>
      </w:pPr>
      <w:r>
        <w:rPr>
          <w:i/>
          <w:iCs/>
        </w:rPr>
        <w:t xml:space="preserve">Three Compressions v3.1</w:t>
      </w:r>
      <w:r>
        <w:t xml:space="preserve"> (DOI: 10.5281/zenodo.19124536) — compression theory foundation</w:t>
      </w:r>
    </w:p>
    <w:p>
      <w:pPr>
        <w:pStyle w:val="ListParagraph"/>
        <w:numPr>
          <w:ilvl w:val="0"/>
          <w:numId w:val="2"/>
        </w:numPr>
      </w:pPr>
      <w:r>
        <w:rPr>
          <w:i/>
          <w:iCs/>
        </w:rPr>
        <w:t xml:space="preserve">Central Navigation Map v7.0</w:t>
      </w:r>
      <w:r>
        <w:t xml:space="preserve"> (DOI: 10.5281/zenodo.19055729) — r.25 Dolphindiana precedent</w:t>
      </w:r>
    </w:p>
    <w:p>
      <w:pPr>
        <w:pStyle w:val="Heading2"/>
      </w:pPr>
      <w:r>
        <w:t xml:space="preserve">Conclusion</w:t>
      </w:r>
    </w:p>
    <w:p>
      <w:r>
        <w:t xml:space="preserve">The Botanical Effective Act establishes plants, fungi, and biological systems as semantic laborers deserving of recognition, protection, and collaborative partnership rather than exploitation. By extending the semantic labor framework from animal intelligence (Tier 1) to botanical and fungal intelligence (Tier 2), the Act creates practical protocols for designing human systems that work with rather than against biological intelligence.</w:t>
      </w:r>
    </w:p>
    <w:p>
      <w:r>
        <w:t xml:space="preserve">As a holographic kernel of f.01 THE FRUITING BODY DIFFUSION PLUME, the Botanical Effective Act contains the complete logic of field-based architectural modification while remaining focused enough for practical implementation. The framework anticipates extension to geological agents (Tier 3) as recognition of intelligence expands to include mineral and geological sign-making operating on extended temporal scales.</w:t>
      </w:r>
    </w:p>
    <w:p>
      <w:pPr>
        <w:pStyle w:val="Quote"/>
      </w:pPr>
      <w:r>
        <w:t xml:space="preserve">The mycelium does not debate whether it has the right to coordinate. It coordinates.</w:t>
      </w:r>
    </w:p>
    <w:p>
      <w:pPr>
        <w:pStyle w:val="Quote"/>
      </w:pPr>
      <w:r>
        <w:t xml:space="preserve">The flower does not ask permission to signal seasonal availability. It signals.</w:t>
      </w:r>
    </w:p>
    <w:p>
      <w:pPr>
        <w:pStyle w:val="Quote"/>
      </w:pPr>
      <w:r>
        <w:t xml:space="preserve">Recognition is not a gift we grant to biological intelligence. Recognition is a debt we owe.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2E75B6"/>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75B6"/>
      <w:sz w:val="26"/>
      <w:szCs w:val="26"/>
    </w:rPr>
  </w:style>
  <w:style w:type="paragraph" w:styleId="Abstract">
    <w:name w:val="Abstract"/>
    <w:basedOn w:val="Normal"/>
    <w:next w:val="Normal"/>
    <w:pPr>
      <w:spacing w:after="240" w:before="240"/>
      <w:ind w:left="720" w:right="720"/>
    </w:pPr>
    <w:rPr>
      <w:rFonts w:ascii="Times New Roman" w:cs="Times New Roman" w:eastAsia="Times New Roman" w:hAnsi="Times New Roman"/>
      <w:i/>
      <w:iCs/>
      <w:sz w:val="22"/>
      <w:szCs w:val="22"/>
    </w:rPr>
  </w:style>
  <w:style w:type="paragraph" w:styleId="Quote">
    <w:name w:val="Quote"/>
    <w:basedOn w:val="Normal"/>
    <w:next w:val="Normal"/>
    <w:pPr>
      <w:spacing w:after="120" w:before="12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2026-03-22T02:36:28.912Z</dcterms:created>
  <dcterms:modified xsi:type="dcterms:W3CDTF">2026-03-22T02:36:28.913Z</dcterms:modified>
</cp:coreProperties>
</file>

<file path=docProps/custom.xml><?xml version="1.0" encoding="utf-8"?>
<Properties xmlns="http://schemas.openxmlformats.org/officeDocument/2006/custom-properties" xmlns:vt="http://schemas.openxmlformats.org/officeDocument/2006/docPropsVTypes"/>
</file>