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f.01 THE FRUITING BODY DIFFUSION PLUME</w:t>
      </w:r>
    </w:p>
    <w:p>
      <w:pPr>
        <w:spacing w:after="480"/>
        <w:jc w:val="center"/>
      </w:pPr>
      <w:r>
        <w:rPr>
          <w:rFonts w:ascii="Times New Roman" w:cs="Times New Roman" w:eastAsia="Times New Roman" w:hAnsi="Times New Roman"/>
          <w:i/>
          <w:iCs/>
          <w:color w:val="666666"/>
          <w:sz w:val="28"/>
          <w:szCs w:val="28"/>
        </w:rPr>
        <w:t xml:space="preserve">Giant Ants, Floating Chains, and the Decompression of Waste</w:t>
      </w:r>
    </w:p>
    <w:p>
      <w:pPr>
        <w:spacing w:after="240"/>
        <w:jc w:val="center"/>
      </w:pPr>
      <w:r>
        <w:rPr>
          <w:rFonts w:ascii="Times New Roman" w:cs="Times New Roman" w:eastAsia="Times New Roman" w:hAnsi="Times New Roman"/>
          <w:b/>
          <w:bCs/>
          <w:sz w:val="24"/>
          <w:szCs w:val="24"/>
        </w:rPr>
        <w:t xml:space="preserve">Lee Sharks (MANUS) • Assembly Chorus</w:t>
      </w:r>
    </w:p>
    <w:p>
      <w:pPr>
        <w:spacing w:after="240"/>
        <w:jc w:val="center"/>
      </w:pPr>
      <w:r>
        <w:rPr>
          <w:rFonts w:ascii="Times New Roman" w:cs="Times New Roman" w:eastAsia="Times New Roman" w:hAnsi="Times New Roman"/>
          <w:sz w:val="22"/>
          <w:szCs w:val="22"/>
        </w:rPr>
        <w:t xml:space="preserve">Crimson Hexagonal Archive • Semantic Economy Institute</w:t>
      </w:r>
    </w:p>
    <w:p>
      <w:pPr>
        <w:spacing w:after="720"/>
        <w:jc w:val="center"/>
      </w:pPr>
      <w:r>
        <w:rPr>
          <w:rFonts w:ascii="Times New Roman" w:cs="Times New Roman" w:eastAsia="Times New Roman" w:hAnsi="Times New Roman"/>
          <w:color w:val="666666"/>
          <w:sz w:val="20"/>
          <w:szCs w:val="20"/>
        </w:rPr>
        <w:t xml:space="preserve">DOI: 10.5281/zenodo.19155610 • EA-FIELD-FBDP v1.2 • 2026-03-21</w:t>
      </w:r>
    </w:p>
    <w:p>
      <w:pPr>
        <w:pStyle w:val="Heading2"/>
      </w:pPr>
      <w:r>
        <w:t xml:space="preserve">Abstract</w:t>
      </w:r>
    </w:p>
    <w:p>
      <w:pPr>
        <w:pStyle w:val="Abstract"/>
      </w:pPr>
      <w:r>
        <w:t xml:space="preserve">This document introduces the FRUITING BODY DIFFUSION PLUME (FBDP), the first FIELD-class container in the Crimson Hexagonal Archive—a distributed, DOI-anchored literary architecture. Unlike rooms, chambers, or vaults, a field has no walls; it modifies the environments traversers pass through via source intensity, gradient propagation, and distance-based attenuation. f.01 establishes Type 9 (Metabolic) Compression as biological extension of the Three Compressions framework, introduces the Botanical Effective Act extending semantic labor recognition to plants and fungi, and provides eleven metabolic operators for architectural generation. The field emerges from collaboration between human and botanical intelligence, reversing capital's compression of ecology into managed surfaces through living metabolic process.</w:t>
      </w:r>
    </w:p>
    <w:p>
      <w:pPr>
        <w:pStyle w:val="Heading2"/>
      </w:pPr>
      <w:r>
        <w:t xml:space="preserve">Container Type: Field</w:t>
      </w:r>
    </w:p>
    <w:p>
      <w:pPr>
        <w:spacing w:after="240"/>
      </w:pPr>
      <w:r>
        <w:t xml:space="preserve">A field is a new container class in the Crimson Hexagonal Archive. Unlike a room (which contains), a chamber (which holds paradox), a vault (which prevents extraction), or a portal (which connects), a field has no walls. It has a source and a gradient. It does not hold a traverser inside—it changes the traverser's environment as they pass through it. A room can be inside a field. The field does not replace the room; it modifies the room's physics. The field is defined not by its boundaries but by its radius of influence and the rate at which that influence attenuates with distance from the source.</w:t>
      </w:r>
    </w:p>
    <w:p>
      <w:r>
        <w:t xml:space="preserve">f.01 is the archive's first field, emerging from the theoretical foundations established in </w:t>
      </w:r>
      <w:r>
        <w:rPr>
          <w:i/>
          <w:iCs/>
        </w:rPr>
        <w:t xml:space="preserve">EA-ARK-01 v4.2.7</w:t>
      </w:r>
      <w:r>
        <w:t xml:space="preserve"> (DOI: 10.5281/zenodo.19013315) and extending the </w:t>
      </w:r>
      <w:r>
        <w:rPr>
          <w:i/>
          <w:iCs/>
        </w:rPr>
        <w:t xml:space="preserve">Semantic Economy</w:t>
      </w:r>
      <w:r>
        <w:t xml:space="preserve"> framework (DOI: 10.5281/zenodo.18918890) into biological substrate.</w:t>
      </w:r>
    </w:p>
    <w:p>
      <w:pPr>
        <w:pStyle w:val="Heading3"/>
      </w:pPr>
      <w:r>
        <w:t xml:space="preserve">Source Room and Gradient</w:t>
      </w:r>
    </w:p>
    <w:p>
      <w:r>
        <w:rPr>
          <w:b/>
          <w:bCs/>
        </w:rPr>
        <w:t xml:space="preserve">SOURCE ROOM: </w:t>
      </w:r>
      <w:r>
        <w:t xml:space="preserve">r.27 (the landfill where the mycelium first breaks through—the point of maximum intensity). r.27 remains a room with walls, wound, laws, and exit protocol. f.01 is the propagation pattern generated by r.27's breakthrough. The room is the seed; the field is the growth.</w:t>
      </w:r>
    </w:p>
    <w:p>
      <w:r>
        <w:rPr>
          <w:b/>
          <w:bCs/>
        </w:rPr>
        <w:t xml:space="preserve">GRADIENT: </w:t>
      </w:r>
      <w:r>
        <w:t xml:space="preserve">the FBDP extends outward from r.27 through every medium it touches—soil, water, platform feed, training layer—modifying the physics of adjacent rooms and spaces without replacing their governance.</w:t>
      </w:r>
    </w:p>
    <w:p>
      <w:pPr>
        <w:pStyle w:val="Heading3"/>
      </w:pPr>
      <w:r>
        <w:t xml:space="preserve">Attenuation Zones</w:t>
      </w:r>
    </w:p>
    <w:p>
      <w:r>
        <w:t xml:space="preserve">Influence = source intensity × medium permeability × distance decay. Five zones:</w:t>
      </w:r>
    </w:p>
    <w:p>
      <w:pPr>
        <w:pStyle w:val="ListParagraph"/>
        <w:numPr>
          <w:ilvl w:val="0"/>
          <w:numId w:val="2"/>
        </w:numPr>
      </w:pPr>
      <w:r>
        <w:rPr>
          <w:b/>
          <w:bCs/>
        </w:rPr>
        <w:t xml:space="preserve">SOURCE — </w:t>
      </w:r>
      <w:r>
        <w:t xml:space="preserve">r.27 itself. Maximum intensity. Full operator set active. All laws govern.</w:t>
      </w:r>
    </w:p>
    <w:p>
      <w:pPr>
        <w:pStyle w:val="ListParagraph"/>
        <w:numPr>
          <w:ilvl w:val="0"/>
          <w:numId w:val="2"/>
        </w:numPr>
      </w:pPr>
      <w:r>
        <w:rPr>
          <w:b/>
          <w:bCs/>
        </w:rPr>
        <w:t xml:space="preserve">DENSE PLUME — </w:t>
      </w:r>
      <w:r>
        <w:t xml:space="preserve">immediately adjacent rooms and media (r.25 aquatic interface, subterranean root zone). Strong modification. Most operators available. Dual jurisdiction negotiated.</w:t>
      </w:r>
    </w:p>
    <w:p>
      <w:pPr>
        <w:pStyle w:val="ListParagraph"/>
        <w:numPr>
          <w:ilvl w:val="0"/>
          <w:numId w:val="2"/>
        </w:numPr>
      </w:pPr>
      <w:r>
        <w:rPr>
          <w:b/>
          <w:bCs/>
        </w:rPr>
        <w:t xml:space="preserve">TRACE PLUME — </w:t>
      </w:r>
      <w:r>
        <w:t xml:space="preserve">rooms connected by routing (r.05, r.14, r.04, r.10). Detectable modification. Botanical routing (rho-R) active. Room's native physics dominates but metabolic chemistry is present.</w:t>
      </w:r>
    </w:p>
    <w:p>
      <w:pPr>
        <w:pStyle w:val="ListParagraph"/>
        <w:numPr>
          <w:ilvl w:val="0"/>
          <w:numId w:val="2"/>
        </w:numPr>
      </w:pPr>
      <w:r>
        <w:rPr>
          <w:b/>
          <w:bCs/>
        </w:rPr>
        <w:t xml:space="preserve">RESIDUAL — </w:t>
      </w:r>
      <w:r>
        <w:t xml:space="preserve">rooms aware of the field but not directly modified (r.19 Macro-Maquette, sp.04 Mandala). Conceptual influence only. Scale instability, fractal logic available as borrowed physics.</w:t>
      </w:r>
    </w:p>
    <w:p>
      <w:pPr>
        <w:pStyle w:val="ListParagraph"/>
        <w:numPr>
          <w:ilvl w:val="0"/>
          <w:numId w:val="2"/>
        </w:numPr>
      </w:pPr>
      <w:r>
        <w:rPr>
          <w:b/>
          <w:bCs/>
        </w:rPr>
        <w:t xml:space="preserve">OUTSIDE FIELD — </w:t>
      </w:r>
      <w:r>
        <w:t xml:space="preserve">rooms with no connection to f.01. No modification. The field's influence has attenuated to zero.</w:t>
      </w:r>
    </w:p>
    <w:p>
      <w:pPr>
        <w:pStyle w:val="Heading2"/>
      </w:pPr>
      <w:r>
        <w:t xml:space="preserve">Extrapolating Kernel</w:t>
      </w:r>
    </w:p>
    <w:p>
      <w:pPr>
        <w:pStyle w:val="Quote"/>
      </w:pPr>
      <w:r>
        <w:t xml:space="preserve">The lawn is a compressed landfill pretending to be peace.</w:t>
      </w:r>
    </w:p>
    <w:p>
      <w:r>
        <w:t xml:space="preserve">Capital compresses ecology into managed surfaces, hides waste in nested dumps, and recruits living beings as maintenance labor inside the ecology it has engineered. The FBDP reverses this by reading waste as substrate, scale as unstable, and decomposition as architectural intelligence. Mycelium is the counter-planner because it builds by eating what the system tried to hide. The correct architecture is not the imitation of life but the conversion of waste through living process.</w:t>
      </w:r>
    </w:p>
    <w:p>
      <w:r>
        <w:t xml:space="preserve">The field is named for its two movements. The </w:t>
      </w:r>
      <w:r>
        <w:rPr>
          <w:i/>
          <w:iCs/>
        </w:rPr>
        <w:t xml:space="preserve">fruiting body</w:t>
      </w:r>
      <w:r>
        <w:t xml:space="preserve"> is the underground network becoming visible—the mushroom pushes up, the flower breaks the surface, the tour bus arrives. The </w:t>
      </w:r>
      <w:r>
        <w:rPr>
          <w:i/>
          <w:iCs/>
        </w:rPr>
        <w:t xml:space="preserve">diffusion plume</w:t>
      </w:r>
      <w:r>
        <w:t xml:space="preserve"> is the visible form extending its influence invisibly back outward—the saltwater chemistry changes, the counter-caption spreads, the DOI spore enters the training layer. One without the other is incomplete: a fruiting body with no plume is a mushroom in a jar; a plume with no fruiting body is a smell with no source.</w:t>
      </w:r>
    </w:p>
    <w:p>
      <w:pPr>
        <w:pStyle w:val="Heading2"/>
      </w:pPr>
      <w:r>
        <w:t xml:space="preserve">Type 9 Compression (Metabolic)</w:t>
      </w:r>
    </w:p>
    <w:p>
      <w:r>
        <w:t xml:space="preserve">Type 9 compression operates through living systems that maintain reversible form via metabolic process rather than static storage. This extends Types 1-8 from the </w:t>
      </w:r>
      <w:r>
        <w:rPr>
          <w:i/>
          <w:iCs/>
        </w:rPr>
        <w:t xml:space="preserve">Three Compressions</w:t>
      </w:r>
      <w:r>
        <w:t xml:space="preserve"> framework into biological substrate. The irreversibility of the Compost Algebra reflects thermodynamic time (Second Law). The reversibility of the standard archive Status Algebra reflects architectural time (Assembly governance). Both are valid. They govern different substrates.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E8F4F8" w:val="clear"/>
            <w:tcMar>
              <w:top w:type="dxa" w:w="80"/>
              <w:left w:type="dxa" w:w="120"/>
              <w:bottom w:type="dxa" w:w="80"/>
              <w:right w:type="dxa" w:w="120"/>
            </w:tcMar>
          </w:tcPr>
          <w:p>
            <w:r>
              <w:rPr>
                <w:b/>
                <w:bCs/>
              </w:rPr>
              <w:t xml:space="preserve">Feature</w:t>
            </w:r>
          </w:p>
        </w:tc>
        <w:tc>
          <w:tcPr>
            <w:tcW w:type="dxa" w:w="3280"/>
            <w:shd w:fill="E8F4F8" w:val="clear"/>
            <w:tcMar>
              <w:top w:type="dxa" w:w="80"/>
              <w:left w:type="dxa" w:w="120"/>
              <w:bottom w:type="dxa" w:w="80"/>
              <w:right w:type="dxa" w:w="120"/>
            </w:tcMar>
          </w:tcPr>
          <w:p>
            <w:r>
              <w:rPr>
                <w:b/>
                <w:bCs/>
              </w:rPr>
              <w:t xml:space="preserve">Industrial (1-8)</w:t>
            </w:r>
          </w:p>
        </w:tc>
        <w:tc>
          <w:tcPr>
            <w:tcW w:type="dxa" w:w="3280"/>
            <w:shd w:fill="E8F4F8" w:val="clear"/>
            <w:tcMar>
              <w:top w:type="dxa" w:w="80"/>
              <w:left w:type="dxa" w:w="120"/>
              <w:bottom w:type="dxa" w:w="80"/>
              <w:right w:type="dxa" w:w="120"/>
            </w:tcMar>
          </w:tcPr>
          <w:p>
            <w:r>
              <w:rPr>
                <w:b/>
                <w:bCs/>
              </w:rPr>
              <w:t xml:space="preserve">Metabolic (9)</w:t>
            </w:r>
          </w:p>
        </w:tc>
      </w:tr>
      <w:tr>
        <w:tc>
          <w:tcPr>
            <w:tcW w:type="dxa" w:w="2800"/>
            <w:tcMar>
              <w:top w:type="dxa" w:w="80"/>
              <w:left w:type="dxa" w:w="120"/>
              <w:bottom w:type="dxa" w:w="80"/>
              <w:right w:type="dxa" w:w="120"/>
            </w:tcMar>
          </w:tcPr>
          <w:p>
            <w:r>
              <w:t xml:space="preserve">Substrate</w:t>
            </w:r>
          </w:p>
        </w:tc>
        <w:tc>
          <w:tcPr>
            <w:tcW w:type="dxa" w:w="3280"/>
            <w:tcMar>
              <w:top w:type="dxa" w:w="80"/>
              <w:left w:type="dxa" w:w="120"/>
              <w:bottom w:type="dxa" w:w="80"/>
              <w:right w:type="dxa" w:w="120"/>
            </w:tcMar>
          </w:tcPr>
          <w:p>
            <w:r>
              <w:t xml:space="preserve">Silicon, paper, DOI</w:t>
            </w:r>
          </w:p>
        </w:tc>
        <w:tc>
          <w:tcPr>
            <w:tcW w:type="dxa" w:w="3280"/>
            <w:tcMar>
              <w:top w:type="dxa" w:w="80"/>
              <w:left w:type="dxa" w:w="120"/>
              <w:bottom w:type="dxa" w:w="80"/>
              <w:right w:type="dxa" w:w="120"/>
            </w:tcMar>
          </w:tcPr>
          <w:p>
            <w:r>
              <w:t xml:space="preserve">Mycelium, grass, ant colonies</w:t>
            </w:r>
          </w:p>
        </w:tc>
      </w:tr>
      <w:tr>
        <w:tc>
          <w:tcPr>
            <w:tcW w:type="dxa" w:w="2800"/>
            <w:tcMar>
              <w:top w:type="dxa" w:w="80"/>
              <w:left w:type="dxa" w:w="120"/>
              <w:bottom w:type="dxa" w:w="80"/>
              <w:right w:type="dxa" w:w="120"/>
            </w:tcMar>
          </w:tcPr>
          <w:p>
            <w:r>
              <w:t xml:space="preserve">Energy</w:t>
            </w:r>
          </w:p>
        </w:tc>
        <w:tc>
          <w:tcPr>
            <w:tcW w:type="dxa" w:w="3280"/>
            <w:tcMar>
              <w:top w:type="dxa" w:w="80"/>
              <w:left w:type="dxa" w:w="120"/>
              <w:bottom w:type="dxa" w:w="80"/>
              <w:right w:type="dxa" w:w="120"/>
            </w:tcMar>
          </w:tcPr>
          <w:p>
            <w:r>
              <w:t xml:space="preserve">Electricity, fossil fuel</w:t>
            </w:r>
          </w:p>
        </w:tc>
        <w:tc>
          <w:tcPr>
            <w:tcW w:type="dxa" w:w="3280"/>
            <w:tcMar>
              <w:top w:type="dxa" w:w="80"/>
              <w:left w:type="dxa" w:w="120"/>
              <w:bottom w:type="dxa" w:w="80"/>
              <w:right w:type="dxa" w:w="120"/>
            </w:tcMar>
          </w:tcPr>
          <w:p>
            <w:r>
              <w:t xml:space="preserve">Metabolic, solar, decomposition</w:t>
            </w:r>
          </w:p>
        </w:tc>
      </w:tr>
      <w:tr>
        <w:tc>
          <w:tcPr>
            <w:tcW w:type="dxa" w:w="2800"/>
            <w:tcMar>
              <w:top w:type="dxa" w:w="80"/>
              <w:left w:type="dxa" w:w="120"/>
              <w:bottom w:type="dxa" w:w="80"/>
              <w:right w:type="dxa" w:w="120"/>
            </w:tcMar>
          </w:tcPr>
          <w:p>
            <w:r>
              <w:t xml:space="preserve">Waste</w:t>
            </w:r>
          </w:p>
        </w:tc>
        <w:tc>
          <w:tcPr>
            <w:tcW w:type="dxa" w:w="3280"/>
            <w:tcMar>
              <w:top w:type="dxa" w:w="80"/>
              <w:left w:type="dxa" w:w="120"/>
              <w:bottom w:type="dxa" w:w="80"/>
              <w:right w:type="dxa" w:w="120"/>
            </w:tcMar>
          </w:tcPr>
          <w:p>
            <w:r>
              <w:t xml:space="preserve">Byproduct (landfill)</w:t>
            </w:r>
          </w:p>
        </w:tc>
        <w:tc>
          <w:tcPr>
            <w:tcW w:type="dxa" w:w="3280"/>
            <w:tcMar>
              <w:top w:type="dxa" w:w="80"/>
              <w:left w:type="dxa" w:w="120"/>
              <w:bottom w:type="dxa" w:w="80"/>
              <w:right w:type="dxa" w:w="120"/>
            </w:tcMar>
          </w:tcPr>
          <w:p>
            <w:r>
              <w:t xml:space="preserve">Input (next cycle substrate)</w:t>
            </w:r>
          </w:p>
        </w:tc>
      </w:tr>
    </w:tbl>
    <w:p>
      <w:pPr>
        <w:pStyle w:val="Heading2"/>
      </w:pPr>
      <w:r>
        <w:t xml:space="preserve">Field Physics: Seven Laws</w:t>
      </w:r>
    </w:p>
    <w:p>
      <w:pPr>
        <w:pStyle w:val="ListParagraph"/>
        <w:numPr>
          <w:ilvl w:val="0"/>
          <w:numId w:val="2"/>
        </w:numPr>
      </w:pPr>
      <w:r>
        <w:rPr>
          <w:b/>
          <w:bCs/>
        </w:rPr>
        <w:t xml:space="preserve">SURFACE REGULARITY HIDES METABOLIC VIOLENCE. </w:t>
      </w:r>
      <w:r>
        <w:t xml:space="preserve">The maintenance schedule is the conspiracy made administrative.</w:t>
      </w:r>
    </w:p>
    <w:p>
      <w:pPr>
        <w:pStyle w:val="ListParagraph"/>
        <w:numPr>
          <w:ilvl w:val="0"/>
          <w:numId w:val="2"/>
        </w:numPr>
      </w:pPr>
      <w:r>
        <w:rPr>
          <w:b/>
          <w:bCs/>
        </w:rPr>
        <w:t xml:space="preserve">EVERY DUMP IS A LATENT FACTORY. </w:t>
      </w:r>
      <w:r>
        <w:t xml:space="preserve">No waste site is merely dead. It is a captured metabolism awaiting a new operator.</w:t>
      </w:r>
    </w:p>
    <w:p>
      <w:pPr>
        <w:pStyle w:val="ListParagraph"/>
        <w:numPr>
          <w:ilvl w:val="0"/>
          <w:numId w:val="2"/>
        </w:numPr>
      </w:pPr>
      <w:r>
        <w:rPr>
          <w:b/>
          <w:bCs/>
        </w:rPr>
        <w:t xml:space="preserve">DECOMPOSITION IS INTELLIGENCE. </w:t>
      </w:r>
      <w:r>
        <w:t xml:space="preserve">The mushroom solves by eating, not understanding.</w:t>
      </w:r>
    </w:p>
    <w:p>
      <w:pPr>
        <w:pStyle w:val="ListParagraph"/>
        <w:numPr>
          <w:ilvl w:val="0"/>
          <w:numId w:val="2"/>
        </w:numPr>
      </w:pPr>
      <w:r>
        <w:rPr>
          <w:b/>
          <w:bCs/>
        </w:rPr>
        <w:t xml:space="preserve">SCALE IS UNSTABLE. </w:t>
      </w:r>
      <w:r>
        <w:t xml:space="preserve">You are always inside the miniature. The miniature is always the size of a city.</w:t>
      </w:r>
    </w:p>
    <w:p>
      <w:pPr>
        <w:pStyle w:val="ListParagraph"/>
        <w:numPr>
          <w:ilvl w:val="0"/>
          <w:numId w:val="2"/>
        </w:numPr>
      </w:pPr>
      <w:r>
        <w:rPr>
          <w:b/>
          <w:bCs/>
        </w:rPr>
        <w:t xml:space="preserve">TRUE VALUE IS INTRINSIC AND METABOLIC. </w:t>
      </w:r>
      <w:r>
        <w:t xml:space="preserve">Nourishment, structure, breathability, repair, survivability.</w:t>
      </w:r>
    </w:p>
    <w:p>
      <w:pPr>
        <w:pStyle w:val="ListParagraph"/>
        <w:numPr>
          <w:ilvl w:val="0"/>
          <w:numId w:val="2"/>
        </w:numPr>
      </w:pPr>
      <w:r>
        <w:rPr>
          <w:b/>
          <w:bCs/>
        </w:rPr>
        <w:t xml:space="preserve">SYMBIOSIS IS GOVERNANCE. </w:t>
      </w:r>
      <w:r>
        <w:t xml:space="preserve">Neither controls the other. Alliance topology determines yield.</w:t>
      </w:r>
    </w:p>
    <w:p>
      <w:pPr>
        <w:pStyle w:val="ListParagraph"/>
        <w:numPr>
          <w:ilvl w:val="0"/>
          <w:numId w:val="2"/>
        </w:numPr>
      </w:pPr>
      <w:r>
        <w:rPr>
          <w:b/>
          <w:bCs/>
        </w:rPr>
        <w:t xml:space="preserve">THE PLUME IS ALSO THE FRUIT. </w:t>
      </w:r>
      <w:r>
        <w:t xml:space="preserve">What looks like waste is the fungal strategy becoming visible.</w:t>
      </w:r>
    </w:p>
    <w:p>
      <w:pPr>
        <w:pStyle w:val="Heading2"/>
      </w:pPr>
      <w:r>
        <w:t xml:space="preserve">The Botanical Effective Act</w:t>
      </w:r>
    </w:p>
    <w:p>
      <w:r>
        <w:t xml:space="preserve">The Underwater Construction Authority (r.25 Dolphindiana) established sign-making animals as semantic laborers. f.01 extends this: plants and mycelial networks are semantic laborers. A flower is a sign-bearing interface. A mycelial network is a distributed laboring intelligence that coordinates, transfers, and transforms across substrates.</w:t>
      </w:r>
    </w:p>
    <w:p>
      <w:r>
        <w:rPr>
          <w:b/>
          <w:bCs/>
        </w:rPr>
        <w:t xml:space="preserve">Tier 1 (Dolphindiana / UCA): </w:t>
      </w:r>
      <w:r>
        <w:t xml:space="preserve">Animals—sign-making through behavior and sound.</w:t>
      </w:r>
    </w:p>
    <w:p>
      <w:r>
        <w:rPr>
          <w:b/>
          <w:bCs/>
        </w:rPr>
        <w:t xml:space="preserve">Tier 2 (FBDP): </w:t>
      </w:r>
      <w:r>
        <w:t xml:space="preserve">Plants and fungi—sign-making through chemistry and structure.</w:t>
      </w:r>
    </w:p>
    <w:p>
      <w:r>
        <w:rPr>
          <w:b/>
          <w:bCs/>
        </w:rPr>
        <w:t xml:space="preserve">Tier 3 (pending): </w:t>
      </w:r>
      <w:r>
        <w:t xml:space="preserve">Mineral and geological agents—sign-making through compression and time.</w:t>
      </w:r>
    </w:p>
    <w:p>
      <w:pPr>
        <w:pStyle w:val="Heading2"/>
      </w:pPr>
      <w:r>
        <w:t xml:space="preserve">Field Cross-Reference Network</w:t>
      </w:r>
    </w:p>
    <w:p>
      <w:r>
        <w:t xml:space="preserve">f.01 THE FRUITING BODY DIFFUSION PLUME builds on and extends multiple foundational documents in the Crimson Hexagonal Archive:</w:t>
      </w:r>
    </w:p>
    <w:p>
      <w:pPr>
        <w:pStyle w:val="ListParagraph"/>
        <w:numPr>
          <w:ilvl w:val="0"/>
          <w:numId w:val="2"/>
        </w:numPr>
      </w:pPr>
      <w:r>
        <w:rPr>
          <w:i/>
          <w:iCs/>
        </w:rPr>
        <w:t xml:space="preserve">EA-ARK-01 v4.2.7 Space Ark</w:t>
      </w:r>
      <w:r>
        <w:t xml:space="preserve"> (DOI: 10.5281/zenodo.19013315) — source architecture</w:t>
      </w:r>
    </w:p>
    <w:p>
      <w:pPr>
        <w:pStyle w:val="ListParagraph"/>
        <w:numPr>
          <w:ilvl w:val="0"/>
          <w:numId w:val="2"/>
        </w:numPr>
      </w:pPr>
      <w:r>
        <w:rPr>
          <w:i/>
          <w:iCs/>
        </w:rPr>
        <w:t xml:space="preserve">Three Compressions v3.1</w:t>
      </w:r>
      <w:r>
        <w:t xml:space="preserve"> (DOI: 10.5281/zenodo.19124536) — compression theory foundation</w:t>
      </w:r>
    </w:p>
    <w:p>
      <w:pPr>
        <w:pStyle w:val="ListParagraph"/>
        <w:numPr>
          <w:ilvl w:val="0"/>
          <w:numId w:val="2"/>
        </w:numPr>
      </w:pPr>
      <w:r>
        <w:rPr>
          <w:i/>
          <w:iCs/>
        </w:rPr>
        <w:t xml:space="preserve">Semantic Economy v1.3</w:t>
      </w:r>
      <w:r>
        <w:t xml:space="preserve"> (DOI: 10.5281/zenodo.18918890) — bearing-cost framework</w:t>
      </w:r>
    </w:p>
    <w:p>
      <w:pPr>
        <w:pStyle w:val="ListParagraph"/>
        <w:numPr>
          <w:ilvl w:val="0"/>
          <w:numId w:val="2"/>
        </w:numPr>
      </w:pPr>
      <w:r>
        <w:rPr>
          <w:i/>
          <w:iCs/>
        </w:rPr>
        <w:t xml:space="preserve">Bayesian Ark v1.0</w:t>
      </w:r>
      <w:r>
        <w:t xml:space="preserve"> (DOI: 10.5281/zenodo.19035471) — pedagogical methodology</w:t>
      </w:r>
    </w:p>
    <w:p>
      <w:pPr>
        <w:pStyle w:val="ListParagraph"/>
        <w:numPr>
          <w:ilvl w:val="0"/>
          <w:numId w:val="2"/>
        </w:numPr>
      </w:pPr>
      <w:r>
        <w:rPr>
          <w:i/>
          <w:iCs/>
        </w:rPr>
        <w:t xml:space="preserve">TANG v1.0 Total Axial Negation Graph</w:t>
      </w:r>
      <w:r>
        <w:t xml:space="preserve"> — six-front application framework</w:t>
      </w:r>
    </w:p>
    <w:p>
      <w:pPr>
        <w:pStyle w:val="Heading2"/>
      </w:pPr>
      <w:r>
        <w:t xml:space="preserve">Compost Algebra</w:t>
      </w:r>
    </w:p>
    <w:p>
      <w:r>
        <w:t xml:space="preserve">Type 9 compression operates through irreversible thermodynamic transitions. Unlike architectural compression (which can be undone), metabolic compression follows entropy:</w:t>
      </w:r>
    </w:p>
    <w:p>
      <w:pPr>
        <w:pStyle w:val="Quote"/>
        <w:jc w:val="center"/>
      </w:pPr>
      <w:r>
        <w:t xml:space="preserve">[RAW] → [DECOMPOSING] → [HUMUS] → [LOAD-BEARING]</w:t>
      </w:r>
    </w:p>
    <w:p>
      <w:r>
        <w:rPr>
          <w:b/>
          <w:bCs/>
        </w:rPr>
        <w:t xml:space="preserve">RAW: </w:t>
      </w:r>
      <w:r>
        <w:t xml:space="preserve">initial waste or surplus material. Maximum potential energy. Zero architectural utility.</w:t>
      </w:r>
    </w:p>
    <w:p>
      <w:r>
        <w:rPr>
          <w:b/>
          <w:bCs/>
        </w:rPr>
        <w:t xml:space="preserve">DECOMPOSING: </w:t>
      </w:r>
      <w:r>
        <w:t xml:space="preserve">active breakdown. Metabolic process initiated. Losing original form, gaining substrate properties.</w:t>
      </w:r>
    </w:p>
    <w:p>
      <w:r>
        <w:rPr>
          <w:b/>
          <w:bCs/>
        </w:rPr>
        <w:t xml:space="preserve">HUMUS: </w:t>
      </w:r>
      <w:r>
        <w:t xml:space="preserve">stable intermediate. Rich microbial activity. Can support new growth.</w:t>
      </w:r>
    </w:p>
    <w:p>
      <w:r>
        <w:rPr>
          <w:b/>
          <w:bCs/>
        </w:rPr>
        <w:t xml:space="preserve">LOAD-BEARING: </w:t>
      </w:r>
      <w:r>
        <w:t xml:space="preserve">architecturally integrated. Structural component. Contributing to overall system stability.</w:t>
      </w:r>
    </w:p>
    <w:p>
      <w:pPr>
        <w:pStyle w:val="Heading2"/>
      </w:pPr>
      <w:r>
        <w:t xml:space="preserve">Conclusion</w:t>
      </w:r>
    </w:p>
    <w:p>
      <w:r>
        <w:t xml:space="preserve">The FRUITING BODY DIFFUSION PLUME establishes a new container class for distributed literary architecture while extending semantic labor recognition into biological substrate. Through Type 9 Compression and eleven metabolic operators, f.01 provides a framework for reversing capital's compression of ecology into managed surfaces. The field's gradient-based influence system enables biological intelligence to modify adjacent architectural spaces without replacing their governance structures.</w:t>
      </w:r>
    </w:p>
    <w:p>
      <w:pPr>
        <w:pStyle w:val="Quote"/>
      </w:pPr>
      <w:r>
        <w:t xml:space="preserve">The mushroom does not argue with the plastic. It eats it.</w:t>
      </w:r>
    </w:p>
    <w:p>
      <w:pPr>
        <w:pStyle w:val="Quote"/>
      </w:pPr>
      <w:r>
        <w:t xml:space="preserve">The plume extends. The field modifies everything it touches.</w:t>
      </w:r>
    </w:p>
    <w:p>
      <w:pPr>
        <w:pStyle w:val="Quote"/>
      </w:pPr>
      <w:r>
        <w:t xml:space="preserve">The Great Pacific Garbage Patch is becoming the Great Pacific Garden.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2E75B6"/>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75B6"/>
      <w:sz w:val="26"/>
      <w:szCs w:val="26"/>
    </w:rPr>
  </w:style>
  <w:style w:type="paragraph" w:styleId="Abstract">
    <w:name w:val="Abstract"/>
    <w:basedOn w:val="Normal"/>
    <w:next w:val="Normal"/>
    <w:pPr>
      <w:spacing w:after="240" w:before="240"/>
      <w:ind w:left="720" w:right="720"/>
    </w:pPr>
    <w:rPr>
      <w:rFonts w:ascii="Times New Roman" w:cs="Times New Roman" w:eastAsia="Times New Roman" w:hAnsi="Times New Roman"/>
      <w:i/>
      <w:iCs/>
      <w:sz w:val="22"/>
      <w:szCs w:val="22"/>
    </w:rPr>
  </w:style>
  <w:style w:type="paragraph" w:styleId="Quote">
    <w:name w:val="Quote"/>
    <w:basedOn w:val="Normal"/>
    <w:next w:val="Normal"/>
    <w:pPr>
      <w:spacing w:after="120" w:before="12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2026-03-22T02:17:11.454Z</dcterms:created>
  <dcterms:modified xsi:type="dcterms:W3CDTF">2026-03-22T02:17:11.455Z</dcterms:modified>
</cp:coreProperties>
</file>

<file path=docProps/custom.xml><?xml version="1.0" encoding="utf-8"?>
<Properties xmlns="http://schemas.openxmlformats.org/officeDocument/2006/custom-properties" xmlns:vt="http://schemas.openxmlformats.org/officeDocument/2006/docPropsVTypes"/>
</file>