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NOF 2024 Staff Survey: Does It Work?</w:t>
      </w:r>
    </w:p>
    <w:p>
      <w:r>
        <w:t>A plain-English summary of the psychometric testing of the proposed National Outcomes Framework standards, March 2025.</w:t>
      </w:r>
    </w:p>
    <w:p>
      <w:pPr>
        <w:pStyle w:val="Heading1"/>
      </w:pPr>
      <w:r>
        <w:t>What we tested</w:t>
      </w:r>
    </w:p>
    <w:p>
      <w:r>
        <w:t>The NOF proposes 10 standards, each measured by one or more questions from the NHS Staff Survey. We tested whether those questions actually hang together — do they measure the thing they claim to measure? The analysis covers 263 NHS organisations.</w:t>
      </w:r>
    </w:p>
    <w:p>
      <w:r>
        <w:t>We ran three main checks:</w:t>
      </w:r>
    </w:p>
    <w:p>
      <w:pPr>
        <w:pStyle w:val="ListBullet"/>
      </w:pPr>
      <w:r>
        <w:t>Factor analysis — do the questions naturally group into the 10 proposed standards, or does the data suggest a different structure?</w:t>
      </w:r>
    </w:p>
    <w:p>
      <w:pPr>
        <w:pStyle w:val="ListBullet"/>
      </w:pPr>
      <w:r>
        <w:t>Reliability testing — within each standard, do the questions agree with each other? (Cronbach's alpha)</w:t>
      </w:r>
    </w:p>
    <w:p>
      <w:pPr>
        <w:pStyle w:val="ListBullet"/>
      </w:pPr>
      <w:r>
        <w:t>Likelihood ratios for Racism — does the BME vs White disparity approach work as intended?</w:t>
      </w:r>
    </w:p>
    <w:p>
      <w:pPr>
        <w:pStyle w:val="Heading1"/>
      </w:pPr>
      <w:r>
        <w:t>The headline: does the final version work?</w:t>
      </w:r>
    </w:p>
    <w:p>
      <w:r>
        <w:t>Yes, broadly. The proposed structure is supported by the data, with one clear fix needed (Appraisal) and a couple of things worth being transparent about. The framework is fit for purpose.</w:t>
      </w:r>
    </w:p>
    <w:p>
      <w:pPr>
        <w:pStyle w:val="Heading1"/>
      </w:pPr>
      <w:r>
        <w:t>Standard-by-standard verdict</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rPr>
              <w:t>Standard</w:t>
            </w:r>
          </w:p>
        </w:tc>
        <w:tc>
          <w:tcPr>
            <w:tcW w:type="dxa" w:w="2880"/>
          </w:tcPr>
          <w:p>
            <w:r>
              <w:rPr>
                <w:b/>
              </w:rPr>
              <w:t>Verdict</w:t>
            </w:r>
          </w:p>
        </w:tc>
        <w:tc>
          <w:tcPr>
            <w:tcW w:type="dxa" w:w="2880"/>
          </w:tcPr>
          <w:p>
            <w:r>
              <w:rPr>
                <w:b/>
              </w:rPr>
              <w:t>Notes</w:t>
            </w:r>
          </w:p>
        </w:tc>
      </w:tr>
      <w:tr>
        <w:tc>
          <w:tcPr>
            <w:tcW w:type="dxa" w:w="2880"/>
          </w:tcPr>
          <w:p>
            <w:r>
              <w:t>Line Management</w:t>
              <w:br/>
              <w:t>(Q9d, Q9f, Q9i)</w:t>
            </w:r>
          </w:p>
        </w:tc>
        <w:tc>
          <w:tcPr>
            <w:tcW w:type="dxa" w:w="2880"/>
          </w:tcPr>
          <w:p>
            <w:r>
              <w:t>Excellent</w:t>
            </w:r>
          </w:p>
        </w:tc>
        <w:tc>
          <w:tcPr>
            <w:tcW w:type="dxa" w:w="2880"/>
          </w:tcPr>
          <w:p>
            <w:r>
              <w:t>Three questions, near-perfect agreement. Rock solid.</w:t>
            </w:r>
          </w:p>
        </w:tc>
      </w:tr>
      <w:tr>
        <w:tc>
          <w:tcPr>
            <w:tcW w:type="dxa" w:w="2880"/>
          </w:tcPr>
          <w:p>
            <w:r>
              <w:t>Flexible Working</w:t>
              <w:br/>
              <w:t>(Q4d, Q6b, Q6d)</w:t>
            </w:r>
          </w:p>
        </w:tc>
        <w:tc>
          <w:tcPr>
            <w:tcW w:type="dxa" w:w="2880"/>
          </w:tcPr>
          <w:p>
            <w:r>
              <w:t>Excellent</w:t>
            </w:r>
          </w:p>
        </w:tc>
        <w:tc>
          <w:tcPr>
            <w:tcW w:type="dxa" w:w="2880"/>
          </w:tcPr>
          <w:p>
            <w:r>
              <w:t>Three questions, very strong agreement. Q6b was the right choice over Q6c.</w:t>
            </w:r>
          </w:p>
        </w:tc>
      </w:tr>
      <w:tr>
        <w:tc>
          <w:tcPr>
            <w:tcW w:type="dxa" w:w="2880"/>
          </w:tcPr>
          <w:p>
            <w:r>
              <w:t>Development</w:t>
              <w:br/>
              <w:t>(Q24d, Q24e)</w:t>
            </w:r>
          </w:p>
        </w:tc>
        <w:tc>
          <w:tcPr>
            <w:tcW w:type="dxa" w:w="2880"/>
          </w:tcPr>
          <w:p>
            <w:r>
              <w:t>Excellent</w:t>
            </w:r>
          </w:p>
        </w:tc>
        <w:tc>
          <w:tcPr>
            <w:tcW w:type="dxa" w:w="2880"/>
          </w:tcPr>
          <w:p>
            <w:r>
              <w:t>Two questions, extremely strong pair.</w:t>
            </w:r>
          </w:p>
        </w:tc>
      </w:tr>
      <w:tr>
        <w:tc>
          <w:tcPr>
            <w:tcW w:type="dxa" w:w="2880"/>
          </w:tcPr>
          <w:p>
            <w:r>
              <w:t>Team Management</w:t>
              <w:br/>
              <w:t>(Q7a, Q7h)</w:t>
            </w:r>
          </w:p>
        </w:tc>
        <w:tc>
          <w:tcPr>
            <w:tcW w:type="dxa" w:w="2880"/>
          </w:tcPr>
          <w:p>
            <w:r>
              <w:t>Good</w:t>
            </w:r>
          </w:p>
        </w:tc>
        <w:tc>
          <w:tcPr>
            <w:tcW w:type="dxa" w:w="2880"/>
          </w:tcPr>
          <w:p>
            <w:r>
              <w:t>Two questions, good agreement.</w:t>
            </w:r>
          </w:p>
        </w:tc>
      </w:tr>
      <w:tr>
        <w:tc>
          <w:tcPr>
            <w:tcW w:type="dxa" w:w="2880"/>
          </w:tcPr>
          <w:p>
            <w:r>
              <w:t>Tackling Racism</w:t>
              <w:br/>
              <w:t>(Q15, Q16a, Q16b, Q21)</w:t>
            </w:r>
          </w:p>
        </w:tc>
        <w:tc>
          <w:tcPr>
            <w:tcW w:type="dxa" w:w="2880"/>
          </w:tcPr>
          <w:p>
            <w:r>
              <w:t>Good</w:t>
            </w:r>
          </w:p>
        </w:tc>
        <w:tc>
          <w:tcPr>
            <w:tcW w:type="dxa" w:w="2880"/>
          </w:tcPr>
          <w:p>
            <w:r>
              <w:t>Four questions form a coherent scale. Works well.</w:t>
            </w:r>
          </w:p>
        </w:tc>
      </w:tr>
      <w:tr>
        <w:tc>
          <w:tcPr>
            <w:tcW w:type="dxa" w:w="2880"/>
          </w:tcPr>
          <w:p>
            <w:r>
              <w:t>Reducing Violence</w:t>
              <w:br/>
              <w:t>(Q13a-c, Q14a-c)</w:t>
            </w:r>
          </w:p>
        </w:tc>
        <w:tc>
          <w:tcPr>
            <w:tcW w:type="dxa" w:w="2880"/>
          </w:tcPr>
          <w:p>
            <w:r>
              <w:t>Acceptable</w:t>
            </w:r>
          </w:p>
        </w:tc>
        <w:tc>
          <w:tcPr>
            <w:tcW w:type="dxa" w:w="2880"/>
          </w:tcPr>
          <w:p>
            <w:r>
              <w:t>Six questions. Different base rates across items but acceptable overall.</w:t>
            </w:r>
          </w:p>
        </w:tc>
      </w:tr>
      <w:tr>
        <w:tc>
          <w:tcPr>
            <w:tcW w:type="dxa" w:w="2880"/>
          </w:tcPr>
          <w:p>
            <w:r>
              <w:t>Sexual Safety</w:t>
              <w:br/>
              <w:t>(Q17a, Q17b)</w:t>
            </w:r>
          </w:p>
        </w:tc>
        <w:tc>
          <w:tcPr>
            <w:tcW w:type="dxa" w:w="2880"/>
          </w:tcPr>
          <w:p>
            <w:r>
              <w:t>Borderline</w:t>
            </w:r>
          </w:p>
        </w:tc>
        <w:tc>
          <w:tcPr>
            <w:tcW w:type="dxa" w:w="2880"/>
          </w:tcPr>
          <w:p>
            <w:r>
              <w:t>Only two items and alpha is below the usual threshold (0.65 vs 0.70). Not a dealbreaker but worth noting.</w:t>
            </w:r>
          </w:p>
        </w:tc>
      </w:tr>
      <w:tr>
        <w:tc>
          <w:tcPr>
            <w:tcW w:type="dxa" w:w="2880"/>
          </w:tcPr>
          <w:p>
            <w:r>
              <w:t>Appraisal</w:t>
              <w:br/>
              <w:t>(Q23a, Q23c, Q23d)</w:t>
            </w:r>
          </w:p>
        </w:tc>
        <w:tc>
          <w:tcPr>
            <w:tcW w:type="dxa" w:w="2880"/>
          </w:tcPr>
          <w:p>
            <w:r>
              <w:t>NEEDS FIXING</w:t>
            </w:r>
          </w:p>
        </w:tc>
        <w:tc>
          <w:tcPr>
            <w:tcW w:type="dxa" w:w="2880"/>
          </w:tcPr>
          <w:p>
            <w:r>
              <w:t>See detail below — Q23a doesn't belong in the composite.</w:t>
            </w:r>
          </w:p>
        </w:tc>
      </w:tr>
      <w:tr>
        <w:tc>
          <w:tcPr>
            <w:tcW w:type="dxa" w:w="2880"/>
          </w:tcPr>
          <w:p>
            <w:r>
              <w:t>Supportive Env – Facilities</w:t>
              <w:br/>
              <w:t>(Q22)</w:t>
            </w:r>
          </w:p>
        </w:tc>
        <w:tc>
          <w:tcPr>
            <w:tcW w:type="dxa" w:w="2880"/>
          </w:tcPr>
          <w:p>
            <w:r>
              <w:t>Single item</w:t>
            </w:r>
          </w:p>
        </w:tc>
        <w:tc>
          <w:tcPr>
            <w:tcW w:type="dxa" w:w="2880"/>
          </w:tcPr>
          <w:p>
            <w:r>
              <w:t>One question only, so reliability can't be assessed. Treat as a standalone indicator.</w:t>
            </w:r>
          </w:p>
        </w:tc>
      </w:tr>
      <w:tr>
        <w:tc>
          <w:tcPr>
            <w:tcW w:type="dxa" w:w="2880"/>
          </w:tcPr>
          <w:p>
            <w:r>
              <w:t>Supportive Env – Wellbeing</w:t>
              <w:br/>
              <w:t>(Q11a)</w:t>
            </w:r>
          </w:p>
        </w:tc>
        <w:tc>
          <w:tcPr>
            <w:tcW w:type="dxa" w:w="2880"/>
          </w:tcPr>
          <w:p>
            <w:r>
              <w:t>Single item</w:t>
            </w:r>
          </w:p>
        </w:tc>
        <w:tc>
          <w:tcPr>
            <w:tcW w:type="dxa" w:w="2880"/>
          </w:tcPr>
          <w:p>
            <w:r>
              <w:t>Same — one question, standalone indicator.</w:t>
            </w:r>
          </w:p>
        </w:tc>
      </w:tr>
    </w:tbl>
    <w:p>
      <w:pPr>
        <w:pStyle w:val="Heading1"/>
      </w:pPr>
      <w:r>
        <w:t>The one thing that needs fixing: Appraisal</w:t>
      </w:r>
    </w:p>
    <w:p>
      <w:r>
        <w:t>The Appraisal standard currently includes three questions:</w:t>
      </w:r>
    </w:p>
    <w:p>
      <w:pPr>
        <w:pStyle w:val="ListBullet"/>
      </w:pPr>
      <w:r>
        <w:t>Q23a — "Have you had an appraisal in the last 12 months?" (yes/no access question)</w:t>
      </w:r>
    </w:p>
    <w:p>
      <w:pPr>
        <w:pStyle w:val="ListBullet"/>
      </w:pPr>
      <w:r>
        <w:t>Q23c — "Did it help agree clear objectives?"</w:t>
      </w:r>
    </w:p>
    <w:p>
      <w:pPr>
        <w:pStyle w:val="ListBullet"/>
      </w:pPr>
      <w:r>
        <w:t>Q23d — "Did it leave you feeling valued?"</w:t>
      </w:r>
    </w:p>
    <w:p>
      <w:r>
        <w:t>The problem is that Q23a (did you have one?) is a completely different type of question to Q23c and Q23d (was it any good?). Statistically, Q23a has almost zero correlation with the other two items. Including it drags the reliability score down to 0.43, which is well below any acceptable threshold.</w:t>
      </w:r>
    </w:p>
    <w:p>
      <w:r>
        <w:rPr>
          <w:b/>
        </w:rPr>
        <w:t xml:space="preserve">Recommendation: </w:t>
      </w:r>
      <w:r>
        <w:t>Either remove Q23a from the composite score (which immediately lifts reliability to 0.91 — excellent), or report it separately as an access indicator. This is the single clearest action from the testing.</w:t>
      </w:r>
    </w:p>
    <w:p>
      <w:pPr>
        <w:pStyle w:val="Heading1"/>
      </w:pPr>
      <w:r>
        <w:t>Things worth being transparent about</w:t>
      </w:r>
    </w:p>
    <w:p>
      <w:pPr>
        <w:pStyle w:val="Heading2"/>
      </w:pPr>
      <w:r>
        <w:t>Flexible Working and Line Management move together</w:t>
      </w:r>
    </w:p>
    <w:p>
      <w:r>
        <w:t>These two standards correlate at 0.92 — which is extremely high. In plain terms, trusts that score well on Line Management almost always score well on Flexible Working, and vice versa. Statistically, they behave as one construct ("good management").</w:t>
      </w:r>
    </w:p>
    <w:p>
      <w:r>
        <w:t>This doesn't mean you should merge them — they serve different policy purposes and prompt different improvement actions. But if someone asks "are these really measuring two different things?", the honest answer is: at organisation level, they're very closely linked.</w:t>
      </w:r>
    </w:p>
    <w:p>
      <w:pPr>
        <w:pStyle w:val="Heading2"/>
      </w:pPr>
      <w:r>
        <w:t>Sexual Safety is thin</w:t>
      </w:r>
    </w:p>
    <w:p>
      <w:r>
        <w:t>With only two questions and a reliability of 0.65, Sexual Safety is the weakest standard statistically. It's not far off the threshold (0.70), and the two questions do correlate well with each other — it's really just that two items isn't a lot to build a standard on. If there's ever scope to add a third question, that would strengthen it. For now, it's usable but worth flagging.</w:t>
      </w:r>
    </w:p>
    <w:p>
      <w:pPr>
        <w:pStyle w:val="Heading2"/>
      </w:pPr>
      <w:r>
        <w:t>Single-item standards can't be reliability-tested</w:t>
      </w:r>
    </w:p>
    <w:p>
      <w:r>
        <w:t>Q22 (nutritious food) and Q11a (positive action on wellbeing) are single questions acting as whole standards. That's fine as long as everyone understands they're standalone indicators, not multi-item scales. You can't assess their internal consistency — you're trusting that single question to do the job.</w:t>
      </w:r>
    </w:p>
    <w:p>
      <w:pPr>
        <w:pStyle w:val="Heading1"/>
      </w:pPr>
      <w:r>
        <w:t>The factor analysis: what it shows</w:t>
      </w:r>
    </w:p>
    <w:p>
      <w:r>
        <w:t>We asked the data: if you ignore our proposed groupings, how do these 30 questions naturally cluster? The answer is broadly consistent with the proposed 10 standards, with some important nuances:</w:t>
      </w:r>
    </w:p>
    <w:p>
      <w:pPr>
        <w:pStyle w:val="ListBullet"/>
      </w:pPr>
      <w:r>
        <w:t>Flexible Working and Line Management load onto the same factor. This is the statistical evidence behind the "they move together" finding above.</w:t>
      </w:r>
    </w:p>
    <w:p>
      <w:pPr>
        <w:pStyle w:val="ListBullet"/>
      </w:pPr>
      <w:r>
        <w:t>Violence and Sexual Safety questions group together into a "violence/harassment from patients" factor. This is logical — they share a common theme of harmful experiences from service users.</w:t>
      </w:r>
    </w:p>
    <w:p>
      <w:pPr>
        <w:pStyle w:val="ListBullet"/>
      </w:pPr>
      <w:r>
        <w:t>Violence/harassment from managers and colleagues splits off as a separate factor from patient-facing violence. This makes sense — the drivers and solutions are different.</w:t>
      </w:r>
    </w:p>
    <w:p>
      <w:pPr>
        <w:pStyle w:val="ListBullet"/>
      </w:pPr>
      <w:r>
        <w:t>Tackling Racism, Development, and Team Management questions cluster together on a "positive organisational culture" factor. They're distinct enough to justify separate standards, but they're related.</w:t>
      </w:r>
    </w:p>
    <w:p>
      <w:pPr>
        <w:pStyle w:val="ListBullet"/>
      </w:pPr>
      <w:r>
        <w:t>Appraisal quality questions (Q23c, Q23d) form their own factor — confirming they're a coherent pair.</w:t>
      </w:r>
    </w:p>
    <w:p>
      <w:r>
        <w:t>Overall, the data supports a structure of about 6 underlying factors, which map reasonably onto the 10 proposed standards. The 10-standard framework is a justifiable policy interpretation of the underlying statistical structure.</w:t>
      </w:r>
    </w:p>
    <w:p>
      <w:pPr>
        <w:pStyle w:val="Heading1"/>
      </w:pPr>
      <w:r>
        <w:t>The Racism approach: likelihood ratios vs other standards</w:t>
      </w:r>
    </w:p>
    <w:p>
      <w:r>
        <w:t>This is worth flagging because the Racism questions are assessed differently to everything else in the framework.</w:t>
      </w:r>
    </w:p>
    <w:p>
      <w:pPr>
        <w:pStyle w:val="Heading2"/>
      </w:pPr>
      <w:r>
        <w:t>How most standards are scored</w:t>
      </w:r>
    </w:p>
    <w:p>
      <w:r>
        <w:t>For most standards, the score is simply the trust-level average: what proportion of staff report a positive experience (or don't report a negative one)? Straightforward.</w:t>
      </w:r>
    </w:p>
    <w:p>
      <w:pPr>
        <w:pStyle w:val="Heading2"/>
      </w:pPr>
      <w:r>
        <w:t>How the Racism standard uses likelihood ratios</w:t>
      </w:r>
    </w:p>
    <w:p>
      <w:r>
        <w:t>For racism-related questions, the framework uses a likelihood ratio (LR) — specifically, how much more likely is a BME member of staff to experience discrimination compared to a White member of staff at the same trust? This is calculated per trust using demographic breakdowns.</w:t>
      </w:r>
    </w:p>
    <w:p>
      <w:r>
        <w:rPr>
          <w:b/>
        </w:rPr>
        <w:t xml:space="preserve">Why this is better for racism: </w:t>
      </w:r>
      <w:r>
        <w:t>A trust with a high proportion of BME staff will naturally have more discrimination reports in raw numbers. The LR adjusts for this — it measures disparity, not prevalence. A trust where BME and White staff report similar experiences would score an LR of 1.0, regardless of workforce composition.</w:t>
      </w:r>
    </w:p>
    <w:p>
      <w:pPr>
        <w:pStyle w:val="Heading2"/>
      </w:pPr>
      <w:r>
        <w:t>What the likelihood ratios show</w:t>
      </w:r>
    </w:p>
    <w:tbl>
      <w:tblPr>
        <w:tblStyle w:val="LightShading-Accent1"/>
        <w:tblW w:type="auto" w:w="0"/>
        <w:jc w:val="left"/>
        <w:tblLook w:firstColumn="1" w:firstRow="1" w:lastColumn="0" w:lastRow="0" w:noHBand="0" w:noVBand="1" w:val="04A0"/>
      </w:tblPr>
      <w:tblGrid>
        <w:gridCol w:w="2880"/>
        <w:gridCol w:w="2880"/>
        <w:gridCol w:w="2880"/>
      </w:tblGrid>
      <w:tr>
        <w:tc>
          <w:tcPr>
            <w:tcW w:type="dxa" w:w="2880"/>
          </w:tcPr>
          <w:p>
            <w:r>
              <w:rPr>
                <w:b/>
              </w:rPr>
              <w:t>Measure</w:t>
            </w:r>
          </w:p>
        </w:tc>
        <w:tc>
          <w:tcPr>
            <w:tcW w:type="dxa" w:w="2880"/>
          </w:tcPr>
          <w:p>
            <w:r>
              <w:rPr>
                <w:b/>
              </w:rPr>
              <w:t>Typical ratio</w:t>
            </w:r>
          </w:p>
        </w:tc>
        <w:tc>
          <w:tcPr>
            <w:tcW w:type="dxa" w:w="2880"/>
          </w:tcPr>
          <w:p>
            <w:r>
              <w:rPr>
                <w:b/>
              </w:rPr>
              <w:t>What it means</w:t>
            </w:r>
          </w:p>
        </w:tc>
      </w:tr>
      <w:tr>
        <w:tc>
          <w:tcPr>
            <w:tcW w:type="dxa" w:w="2880"/>
          </w:tcPr>
          <w:p>
            <w:r>
              <w:t>Discrimination from managers/</w:t>
              <w:br/>
              <w:t>colleagues (Q16b)</w:t>
            </w:r>
          </w:p>
        </w:tc>
        <w:tc>
          <w:tcPr>
            <w:tcW w:type="dxa" w:w="2880"/>
          </w:tcPr>
          <w:p>
            <w:r>
              <w:t>2.3x</w:t>
            </w:r>
          </w:p>
        </w:tc>
        <w:tc>
          <w:tcPr>
            <w:tcW w:type="dxa" w:w="2880"/>
          </w:tcPr>
          <w:p>
            <w:r>
              <w:t>BME staff are 2.3 times more likely to report this. Ranges from 1.2x to nearly 5x across trusts — huge variation.</w:t>
            </w:r>
          </w:p>
        </w:tc>
      </w:tr>
      <w:tr>
        <w:tc>
          <w:tcPr>
            <w:tcW w:type="dxa" w:w="2880"/>
          </w:tcPr>
          <w:p>
            <w:r>
              <w:t>Fair career progression (Q15)</w:t>
            </w:r>
          </w:p>
        </w:tc>
        <w:tc>
          <w:tcPr>
            <w:tcW w:type="dxa" w:w="2880"/>
          </w:tcPr>
          <w:p>
            <w:r>
              <w:t>0.85x</w:t>
            </w:r>
          </w:p>
        </w:tc>
        <w:tc>
          <w:tcPr>
            <w:tcW w:type="dxa" w:w="2880"/>
          </w:tcPr>
          <w:p>
            <w:r>
              <w:t>BME staff are about 15% less likely to report that their organisation acts fairly on career progression.</w:t>
            </w:r>
          </w:p>
        </w:tc>
      </w:tr>
      <w:tr>
        <w:tc>
          <w:tcPr>
            <w:tcW w:type="dxa" w:w="2880"/>
          </w:tcPr>
          <w:p>
            <w:r>
              <w:t>Harassment from patients</w:t>
              <w:br/>
              <w:t>(by ethnicity)</w:t>
            </w:r>
          </w:p>
        </w:tc>
        <w:tc>
          <w:tcPr>
            <w:tcW w:type="dxa" w:w="2880"/>
          </w:tcPr>
          <w:p>
            <w:r>
              <w:t>1.2x</w:t>
            </w:r>
          </w:p>
        </w:tc>
        <w:tc>
          <w:tcPr>
            <w:tcW w:type="dxa" w:w="2880"/>
          </w:tcPr>
          <w:p>
            <w:r>
              <w:t>BME staff slightly more likely to report. Smaller disparity.</w:t>
            </w:r>
          </w:p>
        </w:tc>
      </w:tr>
      <w:tr>
        <w:tc>
          <w:tcPr>
            <w:tcW w:type="dxa" w:w="2880"/>
          </w:tcPr>
          <w:p>
            <w:r>
              <w:t>Harassment from staff</w:t>
              <w:br/>
              <w:t>(by ethnicity)</w:t>
            </w:r>
          </w:p>
        </w:tc>
        <w:tc>
          <w:tcPr>
            <w:tcW w:type="dxa" w:w="2880"/>
          </w:tcPr>
          <w:p>
            <w:r>
              <w:t>1.2x</w:t>
            </w:r>
          </w:p>
        </w:tc>
        <w:tc>
          <w:tcPr>
            <w:tcW w:type="dxa" w:w="2880"/>
          </w:tcPr>
          <w:p>
            <w:r>
              <w:t>Similar — modest disparity.</w:t>
            </w:r>
          </w:p>
        </w:tc>
      </w:tr>
    </w:tbl>
    <w:p/>
    <w:p>
      <w:r>
        <w:rPr>
          <w:b/>
        </w:rPr>
        <w:t xml:space="preserve">Key finding: </w:t>
      </w:r>
      <w:r>
        <w:t>The biggest disparity is in Q16b (discrimination from managers/colleagues), where some trusts show BME staff nearly 5 times more likely to report discrimination than White colleagues. This wide variation across trusts suggests the LR approach will be genuinely useful for identifying outliers and driving improvement.</w:t>
      </w:r>
    </w:p>
    <w:p>
      <w:pPr>
        <w:pStyle w:val="Heading2"/>
      </w:pPr>
      <w:r>
        <w:t>Is the LR approach sound?</w:t>
      </w:r>
    </w:p>
    <w:p>
      <w:r>
        <w:t>Conceptually, yes — it's arguably the most sophisticated part of the framework. It measures what actually matters (disparity in experience) rather than raw prevalence.</w:t>
      </w:r>
    </w:p>
    <w:p>
      <w:r>
        <w:t>One limitation to note: the LRs are calculated from trust-level demographic breakdowns (the kind of data available through WRES), not from individual-level survey responses linked to ethnicity. This is the best available approach given the data, and the results are meaningful, but it's worth being upfront about the data source if challenged.</w:t>
      </w:r>
    </w:p>
    <w:p>
      <w:pPr>
        <w:pStyle w:val="Heading1"/>
      </w:pPr>
      <w:r>
        <w:t>Summary of recommendations</w:t>
      </w:r>
    </w:p>
    <w:p>
      <w:r>
        <w:rPr>
          <w:b/>
        </w:rPr>
        <w:t xml:space="preserve">1. Fix Appraisal. </w:t>
      </w:r>
      <w:r>
        <w:t>Remove Q23a from the composite score, or report it separately. This is the only standard that currently fails reliability testing.</w:t>
      </w:r>
    </w:p>
    <w:p>
      <w:r>
        <w:rPr>
          <w:b/>
        </w:rPr>
        <w:t xml:space="preserve">2. Keep Q6b for Flexible Working. </w:t>
      </w:r>
      <w:r>
        <w:t>Confirmed as the better choice over Q6c. Marginal difference but Q6b has slightly better statistical properties and stronger conceptual fit.</w:t>
      </w:r>
    </w:p>
    <w:p>
      <w:r>
        <w:rPr>
          <w:b/>
        </w:rPr>
        <w:t xml:space="preserve">3. Note the Flexible Working / Line Management overlap. </w:t>
      </w:r>
      <w:r>
        <w:t>These standards move almost in lockstep. Keep them separate for policy purposes, but be prepared to explain the overlap if questioned.</w:t>
      </w:r>
    </w:p>
    <w:p>
      <w:r>
        <w:rPr>
          <w:b/>
        </w:rPr>
        <w:t xml:space="preserve">4. Accept Sexual Safety as-is, with a caveat. </w:t>
      </w:r>
      <w:r>
        <w:t>It's usable but below the usual reliability threshold. If there's ever a chance to add a third question, take it.</w:t>
      </w:r>
    </w:p>
    <w:p>
      <w:r>
        <w:rPr>
          <w:b/>
        </w:rPr>
        <w:t xml:space="preserve">5. Treat single-item standards as indicators. </w:t>
      </w:r>
      <w:r>
        <w:t>Q22 and Q11a can't be reliability-tested. Present them as standalone indicators, not multi-item scales.</w:t>
      </w:r>
    </w:p>
    <w:p>
      <w:r>
        <w:rPr>
          <w:b/>
        </w:rPr>
        <w:t xml:space="preserve">6. The Racism LR approach is defensible. </w:t>
      </w:r>
      <w:r>
        <w:t>It's methodologically sound and produces meaningful variation across trusts. The Q16b disparity (up to 5x) shows it has genuine discriminatory power.</w:t>
      </w:r>
    </w:p>
    <w:p>
      <w:pPr>
        <w:pStyle w:val="Heading1"/>
      </w:pPr>
      <w:r>
        <w:t>Technical detail (for reference)</w:t>
      </w:r>
    </w:p>
    <w:p>
      <w:r>
        <w:t>The full technical outputs — factor loadings, communalities, inter-standard correlations, item-total correlations, and per-trust likelihood ratios — are available in the accompanying CSV files and the detailed Word report. This summary is intended to support policy decision-making without requiring engagement with the full statistical output.</w:t>
      </w:r>
    </w:p>
    <w:p/>
    <w:p>
      <w:r>
        <w:rPr>
          <w:i/>
        </w:rPr>
        <w:t xml:space="preserve">Analysis based on 263 NHS organisations, 2024 Staff Survey data. </w:t>
      </w:r>
      <w:r>
        <w:rPr>
          <w:i/>
        </w:rPr>
        <w:t>Factor analysis: Maximum Likelihood with Promax rotation. Reliability: Cronbach's alpha. Likelihood ratios: per-trust BME vs White staff comparisons (N=159 trusts with sufficient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