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84" w:lineRule="auto"/>
        <w:ind w:left="0" w:right="0" w:firstLine="0"/>
        <w:jc w:val="center"/>
      </w:pPr>
      <w:r>
        <w:rPr>
          <w:rFonts w:ascii="한양신명조" w:hAnsi="한양신명조" w:eastAsia="한양신명조"/>
          <w:b w:val="0"/>
          <w:i w:val="0"/>
          <w:sz w:val="20"/>
          <w:u w:val="none"/>
          <w:color w:val="000000"/>
          <w:spacing w:val="-10"/>
        </w:rPr>
      </w:r>
    </w:p>
    <w:p>
      <w:pPr>
        <w:spacing w:before="0" w:after="0" w:line="384" w:lineRule="auto"/>
        <w:ind w:left="0" w:right="0" w:firstLine="0"/>
        <w:jc w:val="center"/>
      </w:pPr>
    </w:p>
    <w:p>
      <w:pPr>
        <w:spacing w:before="0" w:after="0" w:line="384" w:lineRule="auto"/>
        <w:ind w:left="0" w:right="0" w:firstLine="0"/>
        <w:jc w:val="center"/>
      </w:pPr>
    </w:p>
    <w:p>
      <w:pPr>
        <w:spacing w:before="0" w:after="0" w:line="384" w:lineRule="auto"/>
        <w:ind w:left="0" w:right="0" w:firstLine="0"/>
        <w:jc w:val="center"/>
      </w:pPr>
    </w:p>
    <w:p>
      <w:pPr>
        <w:spacing w:before="0" w:after="0" w:line="384" w:lineRule="auto"/>
        <w:ind w:left="0" w:right="0" w:firstLine="0"/>
        <w:jc w:val="center"/>
      </w:pPr>
    </w:p>
    <w:p>
      <w:pPr>
        <w:spacing w:before="0" w:after="0" w:line="384" w:lineRule="auto"/>
        <w:ind w:left="0" w:right="0" w:firstLine="0"/>
        <w:jc w:val="center"/>
      </w:pPr>
      <w:r>
        <w:rPr>
          <w:rFonts w:ascii="한양신명조" w:hAnsi="한양신명조" w:eastAsia="한양신명조"/>
          <w:b w:val="0"/>
          <w:i w:val="0"/>
          <w:sz w:val="20"/>
          <w:u w:val="none"/>
          <w:color w:val="000000"/>
          <w:spacing w:val="-10"/>
        </w:rPr>
      </w:r>
    </w:p>
    <w:p>
      <w:pPr>
        <w:spacing w:before="0" w:after="0" w:line="384" w:lineRule="auto"/>
        <w:ind w:left="0" w:right="0" w:firstLine="0"/>
        <w:jc w:val="center"/>
      </w:pPr>
      <w:r>
        <w:rPr>
          <w:rFonts w:ascii="신명 태명조" w:hAnsi="신명 태명조" w:eastAsia="신명 태명조"/>
          <w:b/>
          <w:i w:val="0"/>
          <w:color w:val="000000"/>
          <w:sz w:val="36"/>
          <w:u w:val="none"/>
        </w:rPr>
        <w:t xml:space="preserve">생성형 AI 학습을 위한 무단 데이터 크롤링과 부정경쟁방지법상의 규율에 관한 해석론적 연구 </w:t>
      </w:r>
    </w:p>
    <w:p>
      <w:pPr>
        <w:spacing w:before="0" w:after="0" w:line="384" w:lineRule="auto"/>
        <w:ind w:left="0" w:right="0" w:firstLine="0"/>
        <w:jc w:val="center"/>
      </w:pPr>
    </w:p>
    <w:p>
      <w:pPr>
        <w:spacing w:before="0" w:after="0" w:line="384" w:lineRule="auto"/>
        <w:ind w:left="0" w:right="0" w:firstLine="0"/>
        <w:jc w:val="center"/>
      </w:pPr>
      <w:r>
        <w:rPr>
          <w:rFonts w:ascii="한양신명조" w:hAnsi="한양신명조" w:eastAsia="한양신명조"/>
          <w:b/>
          <w:i w:val="0"/>
          <w:color w:val="000000"/>
          <w:sz w:val="26"/>
          <w:u w:val="none"/>
        </w:rPr>
        <w:t>- 성과도용 일반조항 (파)목을 중심으로-</w:t>
      </w:r>
    </w:p>
    <w:p>
      <w:pPr>
        <w:spacing w:before="0" w:after="0" w:line="384" w:lineRule="auto"/>
        <w:ind w:left="0" w:right="0" w:firstLine="0"/>
        <w:jc w:val="center"/>
      </w:pPr>
    </w:p>
    <w:p>
      <w:pPr>
        <w:spacing w:before="0" w:after="0" w:line="384" w:lineRule="auto"/>
        <w:ind w:left="0" w:right="0" w:firstLine="0"/>
        <w:jc w:val="center"/>
      </w:pPr>
    </w:p>
    <w:p>
      <w:pPr>
        <w:spacing w:before="0" w:after="0" w:line="384" w:lineRule="auto"/>
        <w:ind w:left="0" w:right="0" w:firstLine="0"/>
        <w:jc w:val="center"/>
      </w:pPr>
      <w:r>
        <w:rPr>
          <w:rFonts w:ascii="한양신명조" w:hAnsi="한양신명조" w:eastAsia="한양신명조"/>
          <w:b w:val="0"/>
          <w:i w:val="0"/>
          <w:sz w:val="20"/>
          <w:u w:val="none"/>
          <w:color w:val="000000"/>
          <w:spacing w:val="-10"/>
        </w:rPr>
      </w:r>
    </w:p>
    <w:tbl>
      <w:tblPr>
        <w:tblW w:type="auto" w:w="0"/>
        <w:jc w:val="center"/>
        <w:tblLayout w:type="fixed"/>
        <w:tblLook w:firstColumn="1" w:firstRow="1" w:lastColumn="0" w:lastRow="0" w:noHBand="0" w:noVBand="1" w:val="04A0"/>
        <w:tblBorders>
          <w:left w:val="single" w:color="000000" w:sz="3"/>
          <w:right w:val="single" w:color="000000" w:sz="3"/>
          <w:top w:val="single" w:color="000000" w:sz="3"/>
          <w:bottom w:val="single" w:color="000000" w:sz="3"/>
        </w:tblBorders>
      </w:tblPr>
      <w:tblGrid>
        <w:gridCol w:w="795"/>
        <w:gridCol w:w="793"/>
        <w:gridCol w:w="793"/>
        <w:gridCol w:w="793"/>
        <w:gridCol w:w="211"/>
        <w:gridCol w:w="483"/>
        <w:gridCol w:w="117"/>
        <w:gridCol w:w="449"/>
        <w:gridCol w:w="211"/>
        <w:gridCol w:w="793"/>
        <w:gridCol w:w="793"/>
        <w:gridCol w:w="793"/>
        <w:gridCol w:w="792"/>
      </w:tblGrid>
      <w:tr>
        <w:tc>
          <w:tcPr>
            <w:tcW w:type="dxa" w:w="795"/>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211"/>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1049"/>
            <w:gridSpan w:val="3"/>
            <w:vMerge w:val="restart"/>
            <w:vAlign w:val="center"/>
            <w:tcBorders>
              <w:left w:val="nil" w:color="auto" w:sz="2"/>
              <w:right w:val="nil" w:color="auto" w:sz="2"/>
              <w:top w:val="nil" w:color="auto" w:sz="2"/>
              <w:bottom w:val="nil" w:color="auto" w:sz="2"/>
            </w:tcBorders>
            <w:tcMar>
              <w:top w:w="28" w:type="dxa"/>
              <w:left w:w="28" w:type="dxa"/>
              <w:bottom w:w="28" w:type="dxa"/>
              <w:right w:w="28" w:type="dxa"/>
            </w:tcMar>
          </w:tcPr>
          <w:p>
            <w:pPr>
              <w:spacing w:before="0" w:after="0" w:line="384" w:lineRule="auto"/>
              <w:ind w:left="0" w:right="0" w:firstLine="0"/>
            </w:pPr>
            <w:r>
              <w:rPr>
                <w:rFonts w:ascii="한양신명조" w:hAnsi="한양신명조" w:eastAsia="한양신명조"/>
                <w:b w:val="0"/>
                <w:i w:val="0"/>
                <w:sz w:val="20"/>
                <w:u w:val="none"/>
                <w:color w:val="000000"/>
                <w:spacing w:val="-10"/>
              </w:rPr>
              <w:t>▶목 차◀</w:t>
            </w:r>
          </w:p>
        </w:tc>
        <w:tc>
          <w:tcPr>
            <w:tcW w:type="dxa" w:w="211"/>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792"/>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r>
      <w:tr>
        <w:tc>
          <w:tcPr>
            <w:tcW w:type="dxa" w:w="795"/>
            <w:vAlign w:val="center"/>
            <w:tcBorders>
              <w:left w:val="single" w:color="000000" w:sz="3"/>
              <w:right w:val="nil" w:color="auto" w:sz="2"/>
              <w:top w:val="single" w:color="000000" w:sz="3"/>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single" w:color="000000" w:sz="3"/>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single" w:color="000000" w:sz="3"/>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single" w:color="000000" w:sz="3"/>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211"/>
            <w:vAlign w:val="center"/>
            <w:tcBorders>
              <w:left w:val="nil" w:color="auto" w:sz="2"/>
              <w:right w:val="nil" w:color="auto" w:sz="2"/>
              <w:top w:val="single" w:color="000000" w:sz="3"/>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2016"/>
            <w:gridSpan w:val="3"/>
            <w:vMerge/>
          </w:tcPr>
          <w:p/>
        </w:tc>
        <w:tc>
          <w:tcPr>
            <w:tcW w:type="dxa" w:w="211"/>
            <w:vAlign w:val="center"/>
            <w:tcBorders>
              <w:left w:val="nil" w:color="auto" w:sz="2"/>
              <w:right w:val="nil" w:color="auto" w:sz="2"/>
              <w:top w:val="single" w:color="000000" w:sz="3"/>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single" w:color="000000" w:sz="3"/>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single" w:color="000000" w:sz="3"/>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single" w:color="000000" w:sz="3"/>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792"/>
            <w:vAlign w:val="center"/>
            <w:tcBorders>
              <w:left w:val="nil" w:color="auto" w:sz="2"/>
              <w:right w:val="single" w:color="000000" w:sz="3"/>
              <w:top w:val="single" w:color="000000" w:sz="3"/>
              <w:bottom w:val="nil" w:color="auto" w:sz="2"/>
            </w:tcBorders>
            <w:tcMar>
              <w:top w:w="28" w:type="dxa"/>
              <w:left w:w="28" w:type="dxa"/>
              <w:bottom w:w="28" w:type="dxa"/>
              <w:right w:w="28" w:type="dxa"/>
            </w:tcMar>
          </w:tcPr>
          <w:p>
            <w:pPr>
              <w:spacing w:before="0" w:after="0" w:line="384" w:lineRule="auto"/>
              <w:ind w:left="0" w:right="0" w:firstLine="0"/>
              <w:jc w:val="both"/>
            </w:pPr>
          </w:p>
        </w:tc>
      </w:tr>
      <w:tr>
        <w:tc>
          <w:tcPr>
            <w:tcW w:type="dxa" w:w="795"/>
            <w:vAlign w:val="center"/>
            <w:tcBorders>
              <w:left w:val="single" w:color="000000" w:sz="3"/>
              <w:right w:val="nil" w:color="auto" w:sz="2"/>
              <w:top w:val="nil" w:color="auto" w:sz="2"/>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211"/>
            <w:vAlign w:val="center"/>
            <w:tcBorders>
              <w:left w:val="nil" w:color="auto" w:sz="2"/>
              <w:right w:val="nil" w:color="auto" w:sz="2"/>
              <w:top w:val="nil" w:color="auto" w:sz="2"/>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1049"/>
            <w:gridSpan w:val="3"/>
            <w:vAlign w:val="center"/>
            <w:tcBorders>
              <w:left w:val="nil" w:color="auto" w:sz="2"/>
              <w:right w:val="nil" w:color="auto" w:sz="2"/>
              <w:top w:val="nil" w:color="auto" w:sz="2"/>
              <w:bottom w:val="nil" w:color="auto" w:sz="2"/>
            </w:tcBorders>
            <w:tcMar>
              <w:top w:w="28" w:type="dxa"/>
              <w:left w:w="28" w:type="dxa"/>
              <w:bottom w:w="28" w:type="dxa"/>
              <w:right w:w="28" w:type="dxa"/>
            </w:tcMar>
          </w:tcPr>
          <w:p>
            <w:pPr>
              <w:spacing w:before="0" w:after="0" w:line="384" w:lineRule="auto"/>
              <w:ind w:left="0" w:right="0" w:firstLine="0"/>
              <w:jc w:val="center"/>
            </w:pPr>
          </w:p>
        </w:tc>
        <w:tc>
          <w:tcPr>
            <w:tcW w:type="dxa" w:w="211"/>
            <w:vAlign w:val="center"/>
            <w:tcBorders>
              <w:left w:val="nil" w:color="auto" w:sz="2"/>
              <w:right w:val="nil" w:color="auto" w:sz="2"/>
              <w:top w:val="nil" w:color="auto" w:sz="2"/>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nil" w:color="auto" w:sz="2"/>
            </w:tcBorders>
            <w:tcMar>
              <w:top w:w="28" w:type="dxa"/>
              <w:left w:w="28" w:type="dxa"/>
              <w:bottom w:w="28" w:type="dxa"/>
              <w:right w:w="28" w:type="dxa"/>
            </w:tcMar>
          </w:tcPr>
          <w:p>
            <w:pPr>
              <w:spacing w:before="0" w:after="0" w:line="384" w:lineRule="auto"/>
              <w:ind w:left="0" w:right="0" w:firstLine="0"/>
              <w:jc w:val="both"/>
            </w:pPr>
          </w:p>
        </w:tc>
        <w:tc>
          <w:tcPr>
            <w:tcW w:type="dxa" w:w="792"/>
            <w:vAlign w:val="center"/>
            <w:tcBorders>
              <w:left w:val="nil" w:color="auto" w:sz="2"/>
              <w:right w:val="single" w:color="000000" w:sz="3"/>
              <w:top w:val="nil" w:color="auto" w:sz="2"/>
              <w:bottom w:val="nil" w:color="auto" w:sz="2"/>
            </w:tcBorders>
            <w:tcMar>
              <w:top w:w="28" w:type="dxa"/>
              <w:left w:w="28" w:type="dxa"/>
              <w:bottom w:w="28" w:type="dxa"/>
              <w:right w:w="28" w:type="dxa"/>
            </w:tcMar>
          </w:tcPr>
          <w:p>
            <w:pPr>
              <w:spacing w:before="0" w:after="0" w:line="384" w:lineRule="auto"/>
              <w:ind w:left="0" w:right="0" w:firstLine="0"/>
              <w:jc w:val="both"/>
            </w:pPr>
          </w:p>
        </w:tc>
      </w:tr>
      <w:tr>
        <w:tc>
          <w:tcPr>
            <w:tcW w:type="dxa" w:w="3868"/>
            <w:gridSpan w:val="6"/>
            <w:vAlign w:val="top"/>
            <w:tcBorders>
              <w:left w:val="single" w:color="000000" w:sz="3"/>
              <w:right w:val="nil" w:color="auto" w:sz="2"/>
              <w:top w:val="nil" w:color="auto" w:sz="2"/>
              <w:bottom w:val="nil" w:color="auto" w:sz="2"/>
            </w:tcBorders>
            <w:tcMar>
              <w:top w:w="57" w:type="dxa"/>
              <w:left w:w="0" w:type="dxa"/>
              <w:bottom w:w="57" w:type="dxa"/>
              <w:right w:w="0" w:type="dxa"/>
            </w:tcMar>
          </w:tcPr>
          <w:p>
            <w:pPr>
              <w:spacing w:before="0" w:after="0" w:line="384" w:lineRule="auto"/>
              <w:ind w:left="100" w:right="100" w:hanging="280"/>
              <w:jc w:val="both"/>
            </w:pPr>
            <w:r>
              <w:rPr>
                <w:rFonts w:ascii="한양신명조" w:hAnsi="한양신명조" w:eastAsia="한양신명조"/>
                <w:b w:val="0"/>
                <w:i w:val="0"/>
                <w:color w:val="000000"/>
                <w:sz w:val="20"/>
                <w:u w:val="none"/>
              </w:rPr>
              <w:t>I. 서론</w:t>
            </w:r>
          </w:p>
          <w:p>
            <w:pPr>
              <w:spacing w:before="0" w:after="0" w:line="384" w:lineRule="auto"/>
              <w:ind w:left="100" w:right="100" w:hanging="280"/>
              <w:jc w:val="both"/>
            </w:pPr>
            <w:r>
              <w:rPr>
                <w:rFonts w:ascii="한양신명조" w:hAnsi="한양신명조" w:eastAsia="한양신명조"/>
                <w:b w:val="0"/>
                <w:i w:val="0"/>
                <w:color w:val="000000"/>
                <w:sz w:val="20"/>
                <w:u w:val="none"/>
              </w:rPr>
              <w:t xml:space="preserve">II. </w:t>
            </w:r>
            <w:r>
              <w:rPr>
                <w:rFonts w:ascii="한양신명조" w:hAnsi="한양신명조" w:eastAsia="한양신명조"/>
                <w:b w:val="0"/>
                <w:i w:val="0"/>
                <w:sz w:val="20"/>
                <w:u w:val="none"/>
                <w:color w:val="000000"/>
                <w:spacing w:val="-10"/>
              </w:rPr>
              <w:t>웹 크롤링과 생성형 인공지능 학습을 위한 웹 크롤링의 개념</w:t>
            </w:r>
          </w:p>
          <w:p>
            <w:pPr>
              <w:spacing w:before="0" w:after="0" w:line="384" w:lineRule="auto"/>
              <w:ind w:left="120" w:right="120" w:hanging="240"/>
              <w:jc w:val="both"/>
            </w:pPr>
            <w:r>
              <w:rPr>
                <w:rFonts w:ascii="한양신명조" w:hAnsi="한양신명조" w:eastAsia="한양신명조"/>
                <w:b w:val="0"/>
                <w:i w:val="0"/>
                <w:color w:val="000000"/>
                <w:sz w:val="20"/>
                <w:u w:val="none"/>
              </w:rPr>
              <w:t xml:space="preserve"> 1. 웹 크롤링의 정의와 기술적 메커니즘</w:t>
            </w:r>
          </w:p>
          <w:p>
            <w:pPr>
              <w:spacing w:before="0" w:after="0" w:line="384" w:lineRule="auto"/>
              <w:ind w:left="120" w:right="120" w:hanging="240"/>
              <w:jc w:val="both"/>
            </w:pPr>
            <w:r>
              <w:rPr>
                <w:rFonts w:ascii="한양신명조" w:hAnsi="한양신명조" w:eastAsia="한양신명조"/>
                <w:b w:val="0"/>
                <w:i w:val="0"/>
                <w:color w:val="000000"/>
                <w:sz w:val="20"/>
                <w:u w:val="none"/>
              </w:rPr>
              <w:t xml:space="preserve"> 2. </w:t>
            </w:r>
            <w:r>
              <w:rPr>
                <w:rFonts w:ascii="한양신명조" w:hAnsi="한양신명조" w:eastAsia="한양신명조"/>
                <w:b w:val="0"/>
                <w:i w:val="0"/>
                <w:sz w:val="20"/>
                <w:u w:val="none"/>
                <w:color w:val="000000"/>
                <w:spacing w:val="-10"/>
              </w:rPr>
              <w:t>생성형 인공지능 학습을 위한 웹 크롤링</w:t>
            </w:r>
          </w:p>
          <w:p>
            <w:pPr>
              <w:spacing w:before="0" w:after="0" w:line="384" w:lineRule="auto"/>
              <w:ind w:left="100" w:right="100" w:hanging="280"/>
              <w:jc w:val="both"/>
            </w:pPr>
            <w:r>
              <w:rPr>
                <w:rFonts w:ascii="한양신명조" w:hAnsi="한양신명조" w:eastAsia="한양신명조"/>
                <w:b w:val="0"/>
                <w:i w:val="0"/>
                <w:color w:val="000000"/>
                <w:sz w:val="20"/>
                <w:u w:val="none"/>
              </w:rPr>
              <w:t xml:space="preserve">Ⅲ. </w:t>
            </w:r>
            <w:r>
              <w:rPr>
                <w:rFonts w:ascii="한양신명조" w:hAnsi="한양신명조" w:eastAsia="한양신명조"/>
                <w:b w:val="0"/>
                <w:i w:val="0"/>
                <w:sz w:val="20"/>
                <w:u w:val="none"/>
                <w:color w:val="000000"/>
                <w:spacing w:val="-10"/>
              </w:rPr>
              <w:t>생성형 인공지능 학습 데이터에 대한 「부정경쟁방지 및 영업비밀보호에 관한 법률」의 적용 범위와 한계</w:t>
            </w:r>
          </w:p>
          <w:p>
            <w:pPr>
              <w:spacing w:before="0" w:after="0" w:line="384" w:lineRule="auto"/>
              <w:ind w:left="120" w:right="120" w:hanging="240"/>
              <w:jc w:val="both"/>
            </w:pPr>
            <w:r>
              <w:rPr>
                <w:rFonts w:ascii="한양신명조" w:hAnsi="한양신명조" w:eastAsia="한양신명조"/>
                <w:b w:val="0"/>
                <w:i w:val="0"/>
                <w:color w:val="000000"/>
                <w:sz w:val="20"/>
                <w:u w:val="none"/>
              </w:rPr>
              <w:t xml:space="preserve"> 1. 오픈 웹 데이터 보호의 필요성과 부정경쟁방지법적 접근의 유용성</w:t>
            </w:r>
          </w:p>
          <w:p>
            <w:pPr>
              <w:spacing w:before="0" w:after="0" w:line="384" w:lineRule="auto"/>
              <w:ind w:left="120" w:right="120" w:hanging="240"/>
              <w:jc w:val="both"/>
            </w:pPr>
            <w:r>
              <w:rPr>
                <w:rFonts w:ascii="한양신명조" w:hAnsi="한양신명조" w:eastAsia="한양신명조"/>
                <w:b w:val="0"/>
                <w:i w:val="0"/>
                <w:color w:val="000000"/>
                <w:sz w:val="20"/>
                <w:u w:val="none"/>
              </w:rPr>
              <w:t xml:space="preserve"> 2. </w:t>
            </w:r>
            <w:r>
              <w:rPr>
                <w:rFonts w:ascii="한양신명조" w:hAnsi="한양신명조" w:eastAsia="한양신명조"/>
                <w:b w:val="0"/>
                <w:i w:val="0"/>
                <w:sz w:val="20"/>
                <w:u w:val="none"/>
                <w:color w:val="000000"/>
                <w:spacing w:val="-10"/>
              </w:rPr>
              <w:t>데이터 부정사용행위 (카)목의 법리와 적용 기준</w:t>
            </w:r>
          </w:p>
          <w:p>
            <w:pPr>
              <w:spacing w:before="0" w:after="0" w:line="384" w:lineRule="auto"/>
              <w:ind w:left="120" w:right="120" w:hanging="240"/>
              <w:jc w:val="both"/>
            </w:pPr>
            <w:r>
              <w:rPr>
                <w:rFonts w:ascii="한양신명조" w:hAnsi="한양신명조" w:eastAsia="한양신명조"/>
                <w:b w:val="0"/>
                <w:i w:val="0"/>
                <w:color w:val="000000"/>
                <w:sz w:val="20"/>
                <w:u w:val="none"/>
              </w:rPr>
              <w:t xml:space="preserve"> 3. </w:t>
            </w:r>
            <w:r>
              <w:rPr>
                <w:rFonts w:ascii="한양신명조" w:hAnsi="한양신명조" w:eastAsia="한양신명조"/>
                <w:b w:val="0"/>
                <w:i w:val="0"/>
                <w:sz w:val="20"/>
                <w:u w:val="none"/>
                <w:color w:val="000000"/>
                <w:spacing w:val="-10"/>
              </w:rPr>
              <w:t>성과도용 일반조항 (파)목의 법리와 적용 기준 및 카목과의 보충적 관계</w:t>
            </w:r>
          </w:p>
          <w:p>
            <w:pPr>
              <w:spacing w:before="0" w:after="0" w:line="384" w:lineRule="auto"/>
              <w:ind w:left="120" w:right="120" w:hanging="240"/>
              <w:jc w:val="both"/>
            </w:pPr>
            <w:r>
              <w:rPr>
                <w:rFonts w:ascii="한양신명조" w:hAnsi="한양신명조" w:eastAsia="한양신명조"/>
                <w:b w:val="0"/>
                <w:i w:val="0"/>
                <w:sz w:val="20"/>
                <w:u w:val="none"/>
                <w:color w:val="000000"/>
                <w:spacing w:val="-10"/>
              </w:rPr>
              <w:t xml:space="preserve"> </w:t>
            </w:r>
          </w:p>
        </w:tc>
        <w:tc>
          <w:tcPr>
            <w:tcW w:type="dxa" w:w="117"/>
            <w:vAlign w:val="top"/>
            <w:tcBorders>
              <w:left w:val="nil" w:color="auto" w:sz="2"/>
              <w:right w:val="nil" w:color="auto" w:sz="2"/>
              <w:top w:val="nil" w:color="auto" w:sz="2"/>
              <w:bottom w:val="nil" w:color="auto" w:sz="2"/>
            </w:tcBorders>
            <w:tcMar>
              <w:top w:w="57" w:type="dxa"/>
              <w:left w:w="0" w:type="dxa"/>
              <w:bottom w:w="57" w:type="dxa"/>
              <w:right w:w="0" w:type="dxa"/>
            </w:tcMar>
          </w:tcPr>
          <w:p>
            <w:pPr>
              <w:spacing w:before="0" w:after="0" w:line="329" w:lineRule="auto"/>
              <w:ind w:left="200" w:right="200" w:firstLine="0"/>
              <w:jc w:val="both"/>
            </w:pPr>
          </w:p>
        </w:tc>
        <w:tc>
          <w:tcPr>
            <w:tcW w:type="dxa" w:w="3831"/>
            <w:gridSpan w:val="6"/>
            <w:vAlign w:val="top"/>
            <w:tcBorders>
              <w:left w:val="nil" w:color="auto" w:sz="2"/>
              <w:right w:val="single" w:color="000000" w:sz="3"/>
              <w:top w:val="nil" w:color="auto" w:sz="2"/>
              <w:bottom w:val="nil" w:color="auto" w:sz="2"/>
            </w:tcBorders>
            <w:tcMar>
              <w:top w:w="57" w:type="dxa"/>
              <w:left w:w="0" w:type="dxa"/>
              <w:bottom w:w="57" w:type="dxa"/>
              <w:right w:w="0" w:type="dxa"/>
            </w:tcMar>
          </w:tcPr>
          <w:p>
            <w:pPr>
              <w:spacing w:before="0" w:after="0" w:line="384" w:lineRule="auto"/>
              <w:ind w:left="120" w:right="120" w:hanging="240"/>
              <w:jc w:val="both"/>
            </w:pPr>
            <w:r>
              <w:rPr>
                <w:rFonts w:ascii="한양신명조" w:hAnsi="한양신명조" w:eastAsia="한양신명조"/>
                <w:b w:val="0"/>
                <w:i w:val="0"/>
                <w:color w:val="000000"/>
                <w:sz w:val="20"/>
                <w:u w:val="none"/>
              </w:rPr>
              <w:t xml:space="preserve">IV. 웹 크롤링에 대한 </w:t>
            </w:r>
            <w:r>
              <w:rPr>
                <w:rFonts w:ascii="한양신명조" w:hAnsi="한양신명조" w:eastAsia="한양신명조"/>
                <w:b w:val="0"/>
                <w:i w:val="0"/>
                <w:sz w:val="20"/>
                <w:u w:val="none"/>
                <w:color w:val="000000"/>
                <w:spacing w:val="-10"/>
              </w:rPr>
              <w:t>「부정경쟁방지 및 영업비밀보호에 관한 법률」</w:t>
            </w:r>
            <w:r>
              <w:rPr>
                <w:rFonts w:ascii="한양신명조" w:hAnsi="한양신명조" w:eastAsia="한양신명조"/>
                <w:b w:val="0"/>
                <w:i w:val="0"/>
                <w:color w:val="000000"/>
                <w:sz w:val="20"/>
                <w:u w:val="none"/>
              </w:rPr>
              <w:t>상 성과도용 일반조항 (파)목 적용 관련 학설과 판례 검토</w:t>
            </w:r>
          </w:p>
          <w:p>
            <w:pPr>
              <w:spacing w:before="0" w:after="0" w:line="384" w:lineRule="auto"/>
              <w:ind w:left="120" w:right="120" w:hanging="240"/>
              <w:jc w:val="both"/>
            </w:pPr>
            <w:r>
              <w:rPr>
                <w:rFonts w:ascii="한양신명조" w:hAnsi="한양신명조" w:eastAsia="한양신명조"/>
                <w:b w:val="0"/>
                <w:i w:val="0"/>
                <w:sz w:val="20"/>
                <w:u w:val="none"/>
                <w:color w:val="000000"/>
                <w:spacing w:val="-10"/>
              </w:rPr>
              <w:t xml:space="preserve"> 1.  (파)목 적용 범위에 관한 학설의 대립</w:t>
            </w:r>
          </w:p>
          <w:p>
            <w:pPr>
              <w:spacing w:before="0" w:after="0" w:line="384" w:lineRule="auto"/>
              <w:ind w:left="120" w:right="120" w:hanging="240"/>
              <w:jc w:val="both"/>
            </w:pPr>
            <w:r>
              <w:rPr>
                <w:rFonts w:ascii="한양신명조" w:hAnsi="한양신명조" w:eastAsia="한양신명조"/>
                <w:b w:val="0"/>
                <w:i w:val="0"/>
                <w:sz w:val="20"/>
                <w:u w:val="none"/>
                <w:color w:val="000000"/>
                <w:spacing w:val="-10"/>
              </w:rPr>
              <w:t xml:space="preserve"> 2. 선행 웹 크롤링 판례 법리 분석</w:t>
            </w:r>
          </w:p>
          <w:p>
            <w:pPr>
              <w:spacing w:before="0" w:after="0" w:line="384" w:lineRule="auto"/>
              <w:ind w:left="120" w:right="120" w:hanging="240"/>
              <w:jc w:val="both"/>
            </w:pPr>
            <w:r>
              <w:rPr>
                <w:rFonts w:ascii="한양신명조" w:hAnsi="한양신명조" w:eastAsia="한양신명조"/>
                <w:b w:val="0"/>
                <w:i w:val="0"/>
                <w:sz w:val="20"/>
                <w:u w:val="none"/>
                <w:color w:val="000000"/>
                <w:spacing w:val="-10"/>
              </w:rPr>
              <w:t xml:space="preserve"> 3. </w:t>
            </w:r>
            <w:r>
              <w:rPr>
                <w:rFonts w:ascii="한양신명조" w:hAnsi="한양신명조" w:eastAsia="한양신명조"/>
                <w:b w:val="0"/>
                <w:i w:val="0"/>
                <w:sz w:val="20"/>
                <w:u w:val="none"/>
                <w:color w:val="000000"/>
                <w:spacing w:val="-10"/>
              </w:rPr>
              <w:t>기존 성과중심론과 오픈 데이터 보호에 대한 사법적 이해의 구조적 한계</w:t>
            </w:r>
          </w:p>
          <w:p>
            <w:pPr>
              <w:spacing w:before="0" w:after="0" w:line="384" w:lineRule="auto"/>
              <w:ind w:left="120" w:right="120" w:hanging="240"/>
              <w:jc w:val="both"/>
            </w:pPr>
            <w:r>
              <w:rPr>
                <w:rFonts w:ascii="한양신명조" w:hAnsi="한양신명조" w:eastAsia="한양신명조"/>
                <w:b w:val="0"/>
                <w:i w:val="0"/>
                <w:sz w:val="20"/>
                <w:u w:val="none"/>
                <w:color w:val="000000"/>
                <w:spacing w:val="-10"/>
              </w:rPr>
              <w:t>V.「부정경쟁방지 및 영업비밀보호에 관한 법률」 제2조 제1호 (파)목의 행위 중심 위법성 판단에 대한 해석론적 접근</w:t>
            </w:r>
          </w:p>
          <w:p>
            <w:pPr>
              <w:spacing w:before="0" w:after="0" w:line="384" w:lineRule="auto"/>
              <w:ind w:left="120" w:right="120" w:hanging="240"/>
              <w:jc w:val="both"/>
            </w:pPr>
            <w:r>
              <w:rPr>
                <w:rFonts w:ascii="한양신명조" w:hAnsi="한양신명조" w:eastAsia="한양신명조"/>
                <w:b w:val="0"/>
                <w:i w:val="0"/>
                <w:color w:val="000000"/>
                <w:sz w:val="20"/>
                <w:u w:val="none"/>
              </w:rPr>
              <w:t xml:space="preserve">  </w:t>
            </w:r>
            <w:r>
              <w:rPr>
                <w:rFonts w:ascii="한양신명조" w:hAnsi="한양신명조" w:eastAsia="한양신명조"/>
                <w:b w:val="0"/>
                <w:i w:val="0"/>
                <w:sz w:val="20"/>
                <w:u w:val="none"/>
                <w:color w:val="000000"/>
                <w:spacing w:val="-10"/>
              </w:rPr>
              <w:t xml:space="preserve">1.  성과도용 일반조항 (파)목상 행위 중심적 위법성 판단 해석 </w:t>
            </w:r>
          </w:p>
          <w:p>
            <w:pPr>
              <w:spacing w:before="0" w:after="0" w:line="384" w:lineRule="auto"/>
              <w:ind w:left="120" w:right="120" w:hanging="240"/>
              <w:jc w:val="both"/>
            </w:pPr>
            <w:r>
              <w:rPr>
                <w:rFonts w:ascii="한양신명조" w:hAnsi="한양신명조" w:eastAsia="한양신명조"/>
                <w:b w:val="0"/>
                <w:i w:val="0"/>
                <w:sz w:val="20"/>
                <w:u w:val="none"/>
                <w:color w:val="000000"/>
                <w:spacing w:val="-10"/>
              </w:rPr>
              <w:t xml:space="preserve">  2. 기술적 통제 우회와 라이선싱 시장 침해를 통한 성과도용 일반조항 (파)목의 해석</w:t>
            </w:r>
          </w:p>
          <w:p>
            <w:pPr>
              <w:spacing w:before="0" w:after="0" w:line="384" w:lineRule="auto"/>
              <w:ind w:left="120" w:right="120" w:hanging="240"/>
              <w:jc w:val="both"/>
            </w:pPr>
            <w:r>
              <w:rPr>
                <w:rFonts w:ascii="한양신명조" w:hAnsi="한양신명조" w:eastAsia="한양신명조"/>
                <w:b w:val="0"/>
                <w:i w:val="0"/>
                <w:color w:val="000000"/>
                <w:sz w:val="20"/>
                <w:u w:val="none"/>
              </w:rPr>
              <w:t xml:space="preserve"> 3. </w:t>
            </w:r>
            <w:r>
              <w:rPr>
                <w:rFonts w:ascii="한양신명조" w:hAnsi="한양신명조" w:eastAsia="한양신명조"/>
                <w:b w:val="0"/>
                <w:i w:val="0"/>
                <w:sz w:val="20"/>
                <w:u w:val="none"/>
                <w:color w:val="000000"/>
                <w:spacing w:val="-10"/>
              </w:rPr>
              <w:t>미국 ROSS Intelligence 판례와 잠재적 라이선싱 시장 침해 법리의 재해석</w:t>
            </w:r>
          </w:p>
          <w:p>
            <w:pPr>
              <w:spacing w:before="0" w:after="0" w:line="384" w:lineRule="auto"/>
              <w:ind w:left="120" w:right="120" w:hanging="240"/>
              <w:jc w:val="both"/>
            </w:pPr>
            <w:r>
              <w:rPr>
                <w:rFonts w:ascii="한양신명조" w:hAnsi="한양신명조" w:eastAsia="한양신명조"/>
                <w:b w:val="0"/>
                <w:i w:val="0"/>
                <w:color w:val="000000"/>
                <w:sz w:val="20"/>
                <w:u w:val="none"/>
              </w:rPr>
              <w:t xml:space="preserve"> 4. 소결</w:t>
            </w:r>
          </w:p>
          <w:p>
            <w:pPr>
              <w:spacing w:before="0" w:after="0" w:line="384" w:lineRule="auto"/>
              <w:ind w:left="200" w:right="200" w:hanging="280"/>
              <w:jc w:val="both"/>
            </w:pPr>
            <w:r>
              <w:rPr>
                <w:rFonts w:ascii="한양신명조" w:hAnsi="한양신명조" w:eastAsia="한양신명조"/>
                <w:b w:val="0"/>
                <w:i w:val="0"/>
                <w:color w:val="000000"/>
                <w:sz w:val="20"/>
                <w:u w:val="none"/>
              </w:rPr>
              <w:t>VI. 결론</w:t>
            </w:r>
          </w:p>
        </w:tc>
      </w:tr>
      <w:tr>
        <w:tc>
          <w:tcPr>
            <w:tcW w:type="dxa" w:w="795"/>
            <w:vAlign w:val="center"/>
            <w:tcBorders>
              <w:left w:val="single" w:color="000000" w:sz="3"/>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211"/>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483"/>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pPr>
          </w:p>
        </w:tc>
        <w:tc>
          <w:tcPr>
            <w:tcW w:type="dxa" w:w="117"/>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pPr>
          </w:p>
        </w:tc>
        <w:tc>
          <w:tcPr>
            <w:tcW w:type="dxa" w:w="449"/>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pPr>
          </w:p>
        </w:tc>
        <w:tc>
          <w:tcPr>
            <w:tcW w:type="dxa" w:w="211"/>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793"/>
            <w:vAlign w:val="center"/>
            <w:tcBorders>
              <w:left w:val="nil" w:color="auto" w:sz="2"/>
              <w:right w:val="nil" w:color="auto" w:sz="2"/>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c>
          <w:tcPr>
            <w:tcW w:type="dxa" w:w="792"/>
            <w:vAlign w:val="center"/>
            <w:tcBorders>
              <w:left w:val="nil" w:color="auto" w:sz="2"/>
              <w:right w:val="single" w:color="000000" w:sz="3"/>
              <w:top w:val="nil" w:color="auto" w:sz="2"/>
              <w:bottom w:val="single" w:color="000000" w:sz="3"/>
            </w:tcBorders>
            <w:tcMar>
              <w:top w:w="28" w:type="dxa"/>
              <w:left w:w="28" w:type="dxa"/>
              <w:bottom w:w="28" w:type="dxa"/>
              <w:right w:w="28" w:type="dxa"/>
            </w:tcMar>
          </w:tcPr>
          <w:p>
            <w:pPr>
              <w:spacing w:before="0" w:after="0" w:line="384" w:lineRule="auto"/>
              <w:ind w:left="0" w:right="0" w:firstLine="0"/>
              <w:jc w:val="both"/>
            </w:pPr>
          </w:p>
        </w:tc>
      </w:tr>
    </w:tbl>
    <w:p>
      <w:pPr>
        <w:pageBreakBefore/>
        <w:spacing w:before="0" w:after="0" w:line="480" w:lineRule="auto"/>
        <w:ind w:left="0" w:right="0" w:firstLine="0"/>
        <w:jc w:val="both"/>
      </w:pPr>
      <w:r>
        <w:rPr>
          <w:rFonts w:ascii="한양신명조" w:hAnsi="한양신명조" w:eastAsia="한양신명조"/>
          <w:b/>
          <w:i w:val="0"/>
          <w:color w:val="000000"/>
          <w:sz w:val="24"/>
          <w:u w:val="none"/>
        </w:rPr>
        <w:t>Ⅰ. 서론</w:t>
      </w:r>
    </w:p>
    <w:p>
      <w:pPr>
        <w:spacing w:before="0" w:after="0" w:line="480" w:lineRule="auto"/>
        <w:ind w:left="0" w:right="0" w:firstLine="0"/>
        <w:jc w:val="both"/>
      </w:pP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생성형 인공지능 학습용 웹 크롤링은 웹 정보를 자동으로 수집하므로 일반 웹 크롤링과 기본적인 기술 구조를 공유한다. 다만 두 크롤링은 수집 규모와 목적, 정보를 처리하고 활용하는 방식에서 차이를 보인다. 검색엔진은 수집한 정보를 색인하여 이용자를 원문 페이지로 연결하지만, 생성형 인공지능의 학습 과정에서는 원문 데이터에서 추출된 통계적 패턴이 모델 성능에 반영될 수 있으며, 통상적인 출력에서 원문이 직접 제시되지 않는 경우에도 수집 데이터가 모델의 경제적 가치 형성에 기여할 수 있다. 이 때문에 대규모 공개정보를 수집하는 행위를 기존 법리로 어떻게 평가할 것인가는 새로운 규범적 과제이다. 생성형 인공지능 학습을 두고 저작권법상 텍스트 및 데이터 마이닝(TDM) 면책 규정이나 공정이용 법리 적용 가능성이 활발히 논의되고 있으나, 본고는 저작권법상 쟁점을 직접 다루기보다 공개정보를 대규모로 수집하고 활용하는 행위를 「부정경쟁방지 및 영업비밀보호에 관한 법률」로 규율하는 방안을 중심으로 논의한다.</w:t>
      </w:r>
      <w:r>
        <w:rPr>
          <w:rStyle w:val="FootnoteReference"/>
        </w:rPr>
        <w:footnoteReference w:id="1"/>
        <w:t>)</w:t>
      </w:r>
      <w:r>
        <w:rPr>
          <w:rFonts w:ascii="한양신명조" w:hAnsi="한양신명조" w:eastAsia="한양신명조"/>
          <w:b w:val="0"/>
          <w:i w:val="0"/>
          <w:sz w:val="20"/>
          <w:u w:val="none"/>
          <w:color w:val="000000"/>
          <w:spacing w:val="-10"/>
        </w:rPr>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이에 본고의 핵심 연구 질문은, 오픈 웹에 공개된 데이터라는 이유만으로 자유로운 수집·이용을 무제한 허용하거나 반대로 상당한 투자로 구축된 성과라는 이유만으로 그 이용을 일률적으로 금지하는 양극단의 입장을 지양하고, 어떠한 구체적 행위 양태와 거래 정황이 인정될 때 부정경쟁방지법 제2조 제1호 (파)목의 부정경쟁행위로 평가할 수 있는가이다. 아울러 본고에서 검토 대상으로 삼는 ‘무단 이용’은 단순히 사전 허락을 받지 않았다는 사실만을 뜻하기보다, 데이터 수집·학습 과정에서 데이터 보유자가 표시·구축한 객관적 통제 의사에 대한 수집자의 인식 및 우회 여부, 그리고 형성된 유상 거래 기회에 미친 실질적 영향을 중심으로 살펴본다.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부정경쟁방지법 제2조 제1호 (카)목은 데이터를 ‘업으로서 특정인 또는 특정 다수에게 제공되는 것’으로 정의하므로 오픈 웹 데이터에 직접 적용하기 어렵다. 이에 학설과 크롤링 관련 민사판례에서는 상당한 투자나 노력으로 형성된 성과를 공정한 상거래 관행이나 경쟁질서에 반하는 방법으로 이용하여 경제적 이익을 침해한 경우, 동조 제1호 (파)목을 보충적으로 적용할 가능성이 논의되어 왔다. 다만 (파)목의 적용이 공개정보에 대한 사실상의 독점권 부여로 이어지지 않도록, 데이터의 보호대상 적격성과 별도로 수집·이용 방법의 부당성 및 그로 인한 경제적 이익 침해를 엄격히 심리하여야 한다.</w:t>
      </w:r>
      <w:r>
        <w:rPr>
          <w:rStyle w:val="FootnoteReference"/>
        </w:rPr>
        <w:footnoteReference w:id="2"/>
        <w:t>)</w:t>
      </w:r>
      <w:r>
        <w:rPr>
          <w:rFonts w:ascii="한양신명조" w:hAnsi="한양신명조" w:eastAsia="한양신명조"/>
          <w:b w:val="0"/>
          <w:i w:val="0"/>
          <w:sz w:val="20"/>
          <w:u w:val="none"/>
          <w:color w:val="000000"/>
          <w:spacing w:val="-10"/>
        </w:rPr>
        <w:t xml:space="preserve"> 그러나, 종전 판례와 다수 논의는 성과의 보호대상 적격성이나 정보의 공개성 유무에 주로 집중하여, 비표현적 생성형 AI 학습 이용 환경에서 행위의 부당성과 경제적 이익 침해를 어떠한 객관적 사실관계로 심리하고 증명할 것인지에 대해서는 아직 구체화된 기준을 충분히 제시하지 못하였다. 특히 robots.txt 접근 지침 위반, 기술적 차단조치의 우회, 라이선스 협상 경과 및 관련 거래시장의 존부가 각각 어떠한 법적 의미와 증명력을 갖는지 구별하여 검토할 필요가 있다. </w:t>
      </w:r>
      <w:r>
        <w:rPr>
          <w:rStyle w:val="FootnoteReference"/>
        </w:rPr>
        <w:footnoteReference w:id="3"/>
        <w:t>)</w:t>
      </w:r>
      <w:r>
        <w:rPr>
          <w:rFonts w:ascii="한양신명조" w:hAnsi="한양신명조" w:eastAsia="한양신명조"/>
          <w:b w:val="0"/>
          <w:i w:val="0"/>
          <w:sz w:val="20"/>
          <w:u w:val="none"/>
          <w:color w:val="000000"/>
          <w:spacing w:val="-10"/>
        </w:rPr>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이를 체계적으로 살펴보기 위하여, 본고는 Ⅱ장에서 웹 크롤링의 기술적 메커니즘을 분석하고, Ⅲ장에서 부정경쟁방지법 (카)목의 한계와 (파)목의 보충적 적용 관계를 검토하며, Ⅳ장에서 기존 판례와 성과 중심 접근의 한계를 짚어본다. 이어 Ⅴ장에서는 기술적 통제 우회와 라이선싱 시장 침해를 중심으로 (파)목상 행위의 부당성과 경제적 이익 침해를 판단하는 행위 중심 해석 기준을 제시하고, 미국 ROSS Intelligence 사건 판결 법리의 재해석을 통해 사법 실무상 증명책임과 심리 구조를 재편하는 실무적 적용 모델을 도출한다.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본고의 핵심적인 기여는 공개 데이터의 자유로운 이용 원칙을 보존하면서도, ‘기술적 통제의 기망적 우회’와 ‘객관적으로 확인 가능한 라이선싱 기회의 침해’를 (파)목의 개별 법정 요건에 대응하는 주요 판단 표지로 정립한 점에 있다. 본고는 보충성의 원칙상 요구되는 이들 구체적 정황을 개별 요건의 심리를 구체화하는 핵심 지표이자 위법성의 유무와 정도를 가름하는 종합판단요소로 포섭함으로써, 접근통제의 태양과 거래관행 및 시장 대체성을 종합적으로 고려하여 관련 법익을 균형 있게 형량할 수 있는 예측 가능한 판단 기준을 제시하고자 한다.</w:t>
      </w:r>
    </w:p>
    <w:p>
      <w:pPr>
        <w:spacing w:before="0" w:after="0" w:line="384" w:lineRule="auto"/>
        <w:ind w:left="0" w:right="0" w:firstLine="40"/>
        <w:jc w:val="both"/>
      </w:pPr>
    </w:p>
    <w:p>
      <w:pPr>
        <w:spacing w:before="0" w:after="0" w:line="384" w:lineRule="auto"/>
        <w:ind w:left="0" w:right="0" w:firstLine="40"/>
        <w:jc w:val="both"/>
      </w:pPr>
      <w:r>
        <w:rPr>
          <w:rFonts w:ascii="신명 태명조" w:hAnsi="신명 태명조" w:eastAsia="신명 태명조"/>
          <w:b/>
          <w:i w:val="0"/>
          <w:color w:val="000000"/>
          <w:sz w:val="24"/>
          <w:u w:val="none"/>
        </w:rPr>
        <w:t>Ⅱ. 웹 크롤링과 생성형 인공지능 학습을 위한 웹 크롤링의 개념</w:t>
      </w:r>
    </w:p>
    <w:p>
      <w:pPr>
        <w:spacing w:before="0" w:after="0" w:line="384" w:lineRule="auto"/>
        <w:ind w:left="0" w:right="0" w:firstLine="40"/>
        <w:jc w:val="both"/>
      </w:pPr>
    </w:p>
    <w:p>
      <w:pPr>
        <w:spacing w:before="0" w:after="140" w:line="384" w:lineRule="auto"/>
        <w:ind w:left="0" w:right="0" w:firstLine="200"/>
        <w:jc w:val="left"/>
      </w:pPr>
      <w:r>
        <w:rPr>
          <w:rFonts w:ascii="돋움체" w:hAnsi="돋움체" w:eastAsia="돋움체"/>
          <w:b w:val="0"/>
          <w:i w:val="0"/>
          <w:color w:val="000000"/>
          <w:sz w:val="22"/>
          <w:u w:val="none"/>
        </w:rPr>
        <w:t>1. 웹 크롤링</w:t>
      </w:r>
      <w:r>
        <w:rPr>
          <w:rFonts w:ascii="돋움체" w:hAnsi="돋움체" w:eastAsia="돋움체"/>
          <w:b w:val="0"/>
          <w:i w:val="0"/>
          <w:color w:val="000000"/>
          <w:sz w:val="22"/>
          <w:u w:val="none"/>
        </w:rPr>
        <w:t>의 정의와 기술적 메커니즘</w:t>
      </w:r>
    </w:p>
    <w:p>
      <w:pPr>
        <w:spacing w:before="0" w:after="0" w:line="384" w:lineRule="auto"/>
        <w:ind w:left="0" w:right="0" w:firstLine="40"/>
        <w:jc w:val="both"/>
      </w:pPr>
      <w:r>
        <w:rPr>
          <w:rFonts w:ascii="#신명조" w:hAnsi="#신명조" w:eastAsia="#신명조"/>
          <w:b w:val="0"/>
          <w:i w:val="0"/>
          <w:color w:val="000000"/>
          <w:sz w:val="20"/>
          <w:u w:val="none"/>
        </w:rPr>
        <w:t>웹 크롤링은 자동화된 프로그램이 웹페이지를 탐색하여 관련 정보를 체계적으로 수집하는 일련의 절차이다. 크롤러는 방문할 웹 주소 목록을 순차적으로 관리하는 대기열에서 주소를 선택하여 웹서버에 HTTP 통신으로 페이지 전송을 요청하고 응답 콘텐츠를 수신한다. 크롤러의 설계와 목적에 따라 단순 텍스트 수신에 그치지 않고 자바스크립트 등 웹 코드를 실행하여 이용자 화면에 표시되는 내용을 구성하는 렌더링 과정을 거치기도 하며, 수집된 페이지의 본문 추출, 중복 배제 및 서로 다른 문서 형식이나 문자 표현을 일관된 형태로 정돈하는 정규화 방식 또한 구현에 따라 상이할 수 있다. 후속 방문 대상 대기열의 관리 및 요청 간격 설정 등 운영 규칙의 준수 여부는 모든 크롤러에 일률적으로 적용되는 것은 아니지만, 대상 서버에 대한 부담과 침해 행위의 구체적 태양을 평가하는 사실적 기초로 기능할 수 있다.</w:t>
      </w:r>
      <w:r>
        <w:rPr>
          <w:rStyle w:val="FootnoteReference"/>
        </w:rPr>
        <w:footnoteReference w:id="4"/>
        <w:t>)</w:t>
      </w:r>
      <w:r>
        <w:rPr>
          <w:rFonts w:ascii="#신명조" w:hAnsi="#신명조" w:eastAsia="#신명조"/>
          <w:b w:val="0"/>
          <w:i w:val="0"/>
          <w:color w:val="000000"/>
          <w:sz w:val="20"/>
          <w:u w:val="none"/>
        </w:rPr>
      </w:r>
    </w:p>
    <w:p>
      <w:pPr>
        <w:spacing w:before="0" w:after="0" w:line="384" w:lineRule="auto"/>
        <w:ind w:left="0" w:right="0" w:firstLine="40"/>
        <w:jc w:val="both"/>
      </w:pPr>
      <w:r>
        <w:rPr>
          <w:rFonts w:ascii="#신명조" w:hAnsi="#신명조" w:eastAsia="#신명조"/>
          <w:b w:val="0"/>
          <w:i w:val="0"/>
          <w:color w:val="000000"/>
          <w:sz w:val="20"/>
          <w:u w:val="none"/>
        </w:rPr>
        <w:t>이와 관련하여 robots.txt는 크롤러가 준수할 접근 경로를 제시하는 프로토콜상의 지침이지만, 접근 권한을 부여하는 인증 수단은 아니며 유효한 보안 조치를 대체하지도 않는다. 따라서 robots.txt에 표시된 접근 제한과 로그인 인증, IP 주소 차단, 요청 빈도 제한 및 CAPTCHA 등 실제 접근을 차단하거나 제한하는 기술적 조치는 구별할 필요가 있다. 전자는 자동화된 클라이언트에 대한 접근 지침을 제시하는 반면, 후자는 서버 차원에서 접근 가능 여부나 요청량을 통제한다. 이러한 기술적 차이는 크롤러가 운영자의 의사표시를 따르지 않은 경우와 실제 접근통제를 우회한 경우를 구분하여 평가하기 위한 사실적 전제가 된다. 즉, 단순히 지침을 준수하지 않는 행위와 서버가 설정한 실제 접근통제 조치를 우회하는 행위는 서로 다른 사실관계에 해당하므로 향후 법적 평가에서 행위자의 주관적 인식이나 수집 방법의 부당성을 심리할 때 구별하여 살펴볼 필요가 있다.</w:t>
      </w:r>
      <w:r>
        <w:rPr>
          <w:rStyle w:val="FootnoteReference"/>
        </w:rPr>
        <w:footnoteReference w:id="5"/>
        <w:t>)</w:t>
      </w:r>
      <w:r>
        <w:rPr>
          <w:rFonts w:ascii="#신명조" w:hAnsi="#신명조" w:eastAsia="#신명조"/>
          <w:b w:val="0"/>
          <w:i w:val="0"/>
          <w:color w:val="000000"/>
          <w:sz w:val="20"/>
          <w:u w:val="none"/>
        </w:rPr>
      </w:r>
    </w:p>
    <w:p>
      <w:pPr>
        <w:spacing w:before="0" w:after="0" w:line="384" w:lineRule="auto"/>
        <w:ind w:left="0" w:right="0" w:firstLine="40"/>
        <w:jc w:val="both"/>
      </w:pPr>
      <w:r>
        <w:rPr>
          <w:rFonts w:ascii="#신명조" w:hAnsi="#신명조" w:eastAsia="#신명조"/>
          <w:b w:val="0"/>
          <w:i w:val="0"/>
          <w:color w:val="000000"/>
          <w:sz w:val="20"/>
          <w:u w:val="none"/>
        </w:rPr>
        <w:t>대규모 크롤링에서 설정되는 동시 요청 수, 요청 간격, 재시도 빈도, 그리고 크롤러 프로그램의 종류와 속성을 서버에 알리는 식별정보(User-Agent)의 제공 방식 등 구체적인 운영 설정값은 실제 전송되는 요청량과 대상 서버의 수용 용량에 따라 시스템 부하에 미치는 영향이 달라질 수 있다. 이러한 운영 방식의 적정성은 향후 법적 평가에서 크롤러가 통상적인 공개 웹 접근의 범위를 넘어 대상 시스템의 안정적 운영을 교란하거나 비정상적인 방식으로 정보를 취득하였는지를 심리하기 위한 보조적 사실관계로 기능할 수 있다.</w:t>
      </w:r>
    </w:p>
    <w:p>
      <w:pPr>
        <w:spacing w:before="0" w:after="0" w:line="384" w:lineRule="auto"/>
        <w:ind w:left="0" w:right="0" w:firstLine="40"/>
        <w:jc w:val="both"/>
      </w:pPr>
    </w:p>
    <w:p>
      <w:pPr>
        <w:spacing w:before="0" w:after="140" w:line="384" w:lineRule="auto"/>
        <w:ind w:left="0" w:right="0" w:firstLine="200"/>
        <w:jc w:val="left"/>
      </w:pPr>
      <w:r>
        <w:rPr>
          <w:rFonts w:ascii="돋움체" w:hAnsi="돋움체" w:eastAsia="돋움체"/>
          <w:b w:val="0"/>
          <w:i w:val="0"/>
          <w:color w:val="000000"/>
          <w:sz w:val="22"/>
          <w:u w:val="none"/>
        </w:rPr>
        <w:t>2. 생성형 인공지능 학습을 위한 웹 크롤링</w:t>
      </w:r>
    </w:p>
    <w:p>
      <w:pPr>
        <w:spacing w:before="0" w:after="140" w:line="384" w:lineRule="auto"/>
        <w:ind w:left="220" w:right="0" w:firstLine="200"/>
        <w:jc w:val="left"/>
      </w:pPr>
      <w:r>
        <w:rPr>
          <w:rFonts w:ascii="돋움체" w:hAnsi="돋움체" w:eastAsia="돋움체"/>
          <w:b w:val="0"/>
          <w:i w:val="0"/>
          <w:color w:val="000000"/>
          <w:sz w:val="22"/>
          <w:u w:val="none"/>
        </w:rPr>
        <w:t>(1) 생성형 인공지능 학습을 위한 웹 크롤링의 정의와 특징</w:t>
      </w:r>
    </w:p>
    <w:p>
      <w:pPr>
        <w:spacing w:before="0" w:after="0" w:line="384" w:lineRule="auto"/>
        <w:ind w:left="0" w:right="0" w:firstLine="40"/>
        <w:jc w:val="both"/>
      </w:pPr>
      <w:r>
        <w:rPr>
          <w:rFonts w:ascii="#신명조" w:hAnsi="#신명조" w:eastAsia="#신명조"/>
          <w:b w:val="0"/>
          <w:i w:val="0"/>
          <w:color w:val="000000"/>
          <w:sz w:val="20"/>
          <w:u w:val="none"/>
        </w:rPr>
        <w:t>생성형 인공지능(이하 ‘AI’) 모델은 통상 웹 크롤링으로 수집한 웹페이지를 원형 그대로 학습하기보다, 정제, 중복 제거, 저품질 콘텐츠 필터링 등 일련의 전처리 과정을 거쳐 선별된 학습용 데이터셋을 구축한다. 이 과정에서 대량의 데이터로부터 언어적·시각적 패턴과 통계적 규칙을 추출하는 텍스트 및 데이터 마이닝(TDM) 기술이 활용되며, 텍스트 모델은 문장을 단어 또는 단어의 일부에 해당하는 처리 단위인 토큰으로 분할하여 학습 과정에서 조정되는 모델 내부의 수치값인 매개변수를 갱신한다. 원문 데이터가 최종적으로 수치화된 통계적 표상으로 변환되어 모델 내부의 가중치에 반영된다는 기술적 특성은 데이터 이용의 법적 성격을 규명하는 전제가 되며, 구체적인 데이터셋 포함 여부와 출력물과의 관계는 모델 구조와 개발 주체의 구현 방식에 따라 달라질 수 있다.</w:t>
      </w:r>
      <w:r>
        <w:rPr>
          <w:rStyle w:val="FootnoteReference"/>
        </w:rPr>
        <w:footnoteReference w:id="6"/>
        <w:t>)</w:t>
      </w:r>
      <w:r>
        <w:rPr>
          <w:rFonts w:ascii="#신명조" w:hAnsi="#신명조" w:eastAsia="#신명조"/>
          <w:b w:val="0"/>
          <w:i w:val="0"/>
          <w:color w:val="000000"/>
          <w:sz w:val="20"/>
          <w:u w:val="none"/>
        </w:rPr>
      </w:r>
    </w:p>
    <w:p>
      <w:pPr>
        <w:spacing w:before="0" w:after="0" w:line="384" w:lineRule="auto"/>
        <w:ind w:left="0" w:right="0" w:firstLine="40"/>
        <w:jc w:val="both"/>
      </w:pPr>
      <w:r>
        <w:rPr>
          <w:rFonts w:ascii="#신명조" w:hAnsi="#신명조" w:eastAsia="#신명조"/>
          <w:b w:val="0"/>
          <w:i w:val="0"/>
          <w:color w:val="000000"/>
          <w:sz w:val="20"/>
          <w:u w:val="none"/>
        </w:rPr>
        <w:t>이러한 과정을 구체적으로 살펴보면, 웹 크롤링을 통한 데이터 수집과 생성형 AI의 모델 학습은 하나의 행위가 아니라 서로 구별되는 기술적 단계로 이루어진다. 먼저 크롤러가 웹페이지를 수집하면 본문과 메타데이터를 추출하고 문서 형식을 정규화하며, 목적에 따라 중복 제거와 품질 필터링을 수행하여 학습용 데이터셋을 구성한다. 텍스트 데이터는 이후 모델이 처리할 수 있도록 토큰 단위로 변환되고 수치화된다. 모델 학습 단계에서는 이러한 입력에 대한 예측 오차를 계산하고 그 결과에 따라 다수의 매개변수를 반복적으로 갱신한다. 따라서 크롤링, 데이터셋 구축, 토큰화 및 모델 학습은 각각 구별하여 이해하여야 하며, 구체적인 전처리 방식과 수집 자료의 실제 학습 포함 여부는 모델과 개발 주체에 따라 달라질 수 있다. 이와 같은 단계적 분리는 수집 과정의 행위 태양과 수집 이후에 이루어지는 모델 학습의 실제 이용 정황을 법적으로 구별하여 심리하기 위한 사실적 기초가 된다.</w:t>
      </w:r>
      <w:r>
        <w:rPr>
          <w:rStyle w:val="FootnoteReference"/>
        </w:rPr>
        <w:footnoteReference w:id="7"/>
        <w:t>)</w:t>
      </w:r>
      <w:r>
        <w:rPr>
          <w:rFonts w:ascii="#신명조" w:hAnsi="#신명조" w:eastAsia="#신명조"/>
          <w:b w:val="0"/>
          <w:i w:val="0"/>
          <w:color w:val="000000"/>
          <w:sz w:val="20"/>
          <w:u w:val="none"/>
        </w:rPr>
      </w:r>
    </w:p>
    <w:p>
      <w:pPr>
        <w:spacing w:before="0" w:after="0" w:line="384" w:lineRule="auto"/>
        <w:ind w:left="0" w:right="0" w:firstLine="40"/>
        <w:jc w:val="both"/>
      </w:pPr>
      <w:r>
        <w:rPr>
          <w:rFonts w:ascii="#신명조" w:hAnsi="#신명조" w:eastAsia="#신명조"/>
          <w:b w:val="0"/>
          <w:i w:val="0"/>
          <w:color w:val="000000"/>
          <w:sz w:val="20"/>
          <w:u w:val="none"/>
        </w:rPr>
        <w:t>생성형 AI 학습에 이용되는 데이터의 범위는 통상적인 웹페이지 본문에 국한되지 않는다. 인터넷에 공개된 뉴스 기사, 블로그, 학술자료, 법률정보, 이미지와 캡션, 소스코드, 댓글, 논문 등 광범위한 형태의 자료를 포괄적으로 수집해 활용한다. 이러한 수집 데이터는 상호 배타적으로 분리되기보다, 창작성 있는 표현물, 상당한 투자로 구축된 데이터베이스형 자료, 단순 사실 및 비정형 데이터, 그리고 접근 제한이나 계약 조건이 부가된 데이터 등 여러 법적 속성이 중첩되어 나타날 수 있다. 동일한 크롤링 과정을 거치더라도 수집 대상에 포함된 법적 속성에 따라 문제 되는 보호법익과 적용 규범이 달라지므로, 이러한 사실적 성격에 대한 구별은 책임 구조를 파악하기 위한 법적 검토의 출발점을 형성한다.</w:t>
      </w:r>
      <w:r>
        <w:rPr>
          <w:rStyle w:val="FootnoteReference"/>
        </w:rPr>
        <w:footnoteReference w:id="8"/>
        <w:t>)</w:t>
      </w:r>
      <w:r>
        <w:rPr>
          <w:rFonts w:ascii="#신명조" w:hAnsi="#신명조" w:eastAsia="#신명조"/>
          <w:b w:val="0"/>
          <w:i w:val="0"/>
          <w:color w:val="000000"/>
          <w:sz w:val="20"/>
          <w:u w:val="none"/>
        </w:rPr>
      </w:r>
    </w:p>
    <w:p>
      <w:pPr>
        <w:spacing w:before="0" w:after="0" w:line="384" w:lineRule="auto"/>
        <w:ind w:left="0" w:right="0" w:firstLine="40"/>
        <w:jc w:val="both"/>
      </w:pPr>
    </w:p>
    <w:p>
      <w:pPr>
        <w:spacing w:before="0" w:after="140" w:line="384" w:lineRule="auto"/>
        <w:ind w:left="220" w:right="0" w:firstLine="200"/>
        <w:jc w:val="left"/>
      </w:pPr>
      <w:r>
        <w:rPr>
          <w:rFonts w:ascii="돋움체" w:hAnsi="돋움체" w:eastAsia="돋움체"/>
          <w:b w:val="0"/>
          <w:i w:val="0"/>
          <w:color w:val="000000"/>
          <w:sz w:val="22"/>
          <w:u w:val="none"/>
        </w:rPr>
        <w:t>(2) 생성형 AI 학습용 웹 크롤링의 증가와 국내외 입법동향</w:t>
      </w:r>
    </w:p>
    <w:p>
      <w:pPr>
        <w:spacing w:before="0" w:after="0" w:line="384" w:lineRule="auto"/>
        <w:ind w:left="0" w:right="0" w:firstLine="40"/>
        <w:jc w:val="both"/>
      </w:pPr>
      <w:r>
        <w:rPr>
          <w:rFonts w:ascii="#신명조" w:hAnsi="#신명조" w:eastAsia="#신명조"/>
          <w:b w:val="0"/>
          <w:i w:val="0"/>
          <w:color w:val="000000"/>
          <w:sz w:val="20"/>
          <w:u w:val="none"/>
        </w:rPr>
        <w:t>Cloudflare가 식별·분류한 AI 크롤링 트래픽을 분석한 결과, 학습 목적의 비중은 2024년 7월 72%에서 2025년 7월 79%로 증가한 반면 검색 목적의 비중은 26%에서 17%로 감소하였다. 이 통계는 전체 웹 트래픽이 아니라 식별된 AI 크롤링 트래픽에서 검색 색인보다 AI 모델 학습용 데이터 확보의 비중이 커지는 경향을 보여준다.</w:t>
      </w:r>
    </w:p>
    <w:p>
      <w:pPr>
        <w:spacing w:before="0" w:after="0" w:line="384" w:lineRule="auto"/>
        <w:ind w:left="0" w:right="0" w:firstLine="40"/>
        <w:jc w:val="both"/>
      </w:pPr>
    </w:p>
    <w:p>
      <w:pPr>
        <w:spacing w:before="0" w:after="0" w:line="384" w:lineRule="auto"/>
        <w:ind w:left="0" w:right="0" w:firstLine="40"/>
        <w:jc w:val="both"/>
      </w:pPr>
    </w:p>
    <w:p>
      <w:pPr>
        <w:spacing w:before="0" w:after="0" w:line="384" w:lineRule="auto"/>
        <w:ind w:left="0" w:right="0" w:firstLine="40"/>
        <w:jc w:val="center"/>
      </w:pPr>
      <w:r>
        <w:rPr>
          <w:rFonts w:ascii="돋움체" w:hAnsi="돋움체" w:eastAsia="돋움체"/>
          <w:b w:val="0"/>
          <w:i w:val="0"/>
          <w:sz w:val="20"/>
          <w:u w:val="none"/>
          <w:color w:val="000000"/>
          <w:spacing w:val="-10"/>
        </w:rPr>
        <w:t>[그림 1] Cloudflare가 식별한 AI 크롤러 트래픽의 목적별 비중 비교(2024년 7월·2025년 7월)</w:t>
      </w:r>
      <w:r>
        <w:rPr>
          <w:rStyle w:val="FootnoteReference"/>
        </w:rPr>
        <w:footnoteReference w:id="9"/>
        <w:t>)</w:t>
      </w:r>
      <w:r>
        <w:rPr>
          <w:rFonts w:ascii="돋움체" w:hAnsi="돋움체" w:eastAsia="돋움체"/>
          <w:b w:val="0"/>
          <w:i w:val="0"/>
          <w:sz w:val="20"/>
          <w:u w:val="none"/>
          <w:color w:val="000000"/>
          <w:spacing w:val="-10"/>
        </w:rPr>
      </w:r>
    </w:p>
    <w:p>
      <w:pPr>
        <w:spacing w:before="0" w:after="0" w:line="384" w:lineRule="auto"/>
        <w:ind w:left="0" w:right="0" w:firstLine="40"/>
        <w:jc w:val="center"/>
      </w:pPr>
      <w:r>
        <w:drawing>
          <wp:inline xmlns:a="http://schemas.openxmlformats.org/drawingml/2006/main" xmlns:pic="http://schemas.openxmlformats.org/drawingml/2006/picture">
            <wp:extent cx="3904741" cy="1545627"/>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904741" cy="1545627"/>
                    </a:xfrm>
                    <a:prstGeom prst="rect"/>
                  </pic:spPr>
                </pic:pic>
              </a:graphicData>
            </a:graphic>
          </wp:inline>
        </w:drawing>
      </w:r>
      <w:r>
        <w:rPr>
          <w:rFonts w:ascii="돋움체" w:hAnsi="돋움체" w:eastAsia="돋움체"/>
          <w:b w:val="0"/>
          <w:i w:val="0"/>
          <w:sz w:val="20"/>
          <w:u w:val="none"/>
          <w:color w:val="000000"/>
          <w:spacing w:val="-10"/>
        </w:rPr>
      </w:r>
    </w:p>
    <w:p>
      <w:pPr>
        <w:spacing w:before="0" w:after="0" w:line="384" w:lineRule="auto"/>
        <w:ind w:left="0" w:right="0" w:firstLine="40"/>
        <w:jc w:val="both"/>
      </w:pPr>
      <w:r>
        <w:rPr>
          <w:rFonts w:ascii="한양신명조" w:hAnsi="한양신명조" w:eastAsia="한양신명조"/>
          <w:b w:val="0"/>
          <w:i w:val="0"/>
          <w:color w:val="000000"/>
          <w:sz w:val="20"/>
          <w:u w:val="none"/>
        </w:rPr>
        <w:t>이와 같이 데이터 수집 목적이 변화하고 학습 과정의 법적 불확실성이 대두됨에 따라, 국내에서도 국회입법조사처와 한국저작권위원회를 중심으로 생성형 AI 학습과 관련한 텍스트 및 데이터 마이닝(TDM) 면책의 한계 및 공정이용 판단 기준에 관한 논의를 구체화하고 있다. 더 나아가 학계에서는 단순한 TDM 면책 도입을 넘어, 저작권자의 권리 보호와 AI 산업 발전 간의 균형을 도모하기 위해 옵트아웃(opt-out) 제도 및 조건부 보상 시스템 등 제도적 보완 논의도 전개되고 있는 상황이다.</w:t>
      </w:r>
      <w:r>
        <w:rPr>
          <w:rStyle w:val="FootnoteReference"/>
        </w:rPr>
        <w:footnoteReference w:id="10"/>
        <w:t>)</w:t>
      </w:r>
      <w:r>
        <w:rPr>
          <w:rFonts w:ascii="한양신명조" w:hAnsi="한양신명조" w:eastAsia="한양신명조"/>
          <w:b w:val="0"/>
          <w:i w:val="0"/>
          <w:color w:val="000000"/>
          <w:sz w:val="20"/>
          <w:u w:val="none"/>
        </w:rPr>
      </w:r>
    </w:p>
    <w:p>
      <w:pPr>
        <w:spacing w:before="0" w:after="140" w:line="384" w:lineRule="auto"/>
        <w:ind w:left="220" w:right="0" w:firstLine="200"/>
        <w:jc w:val="left"/>
      </w:pPr>
      <w:r>
        <w:rPr>
          <w:rFonts w:ascii="돋움체" w:hAnsi="돋움체" w:eastAsia="돋움체"/>
          <w:b w:val="0"/>
          <w:i w:val="0"/>
          <w:color w:val="000000"/>
          <w:sz w:val="22"/>
          <w:u w:val="none"/>
        </w:rPr>
        <w:t>(3) 검색 목적 웹 크롤링과 학습 목적 웹 크롤링의 구조적 차이</w:t>
      </w:r>
    </w:p>
    <w:p>
      <w:pPr>
        <w:spacing w:before="0" w:after="0" w:line="384" w:lineRule="auto"/>
        <w:ind w:left="0" w:right="0" w:firstLine="40"/>
        <w:jc w:val="both"/>
      </w:pPr>
      <w:r>
        <w:rPr>
          <w:rFonts w:ascii="#신명조" w:hAnsi="#신명조" w:eastAsia="#신명조"/>
          <w:b w:val="0"/>
          <w:i w:val="0"/>
          <w:color w:val="000000"/>
          <w:sz w:val="20"/>
          <w:u w:val="none"/>
        </w:rPr>
        <w:t>기존 검색엔진 크롤링은 검색 결과가 원본 사이트 유입으로 이어지는 상호작용 구조를 전제로 색인을 구축한다. 반면 생성형 AI 학습용 크롤링은 자체적인 결과물 생성을 위해 수집·정제된 데이터를 모델 학습에 활용하며 이용자를 원본 사이트로 직접 연결하지 않을 수 있다. 개별 기사나 게시물이 그대로 노출되지 않더라도 데이터에서 추출된 통계적 패턴과 규칙이 모델의 출력 품질에 기여할 수 있으며, 이처럼 대규모 데이터가 기술적 변환을 통해 모델 가치로 전환되는 특성은 기존의 크롤링 법리를 그대로 적용하기 어렵게 만든다. OpenAI 등 업계에서는 검색용 크롤러와 학습용 크롤러를 구분하고 있으며, 웹사이트 운영자가 robots.txt를 통해 각 크롤러의 접근 범위를 설정할 수 있다고 공식적으로 안내하고 있다. 다만 학습 목적 크롤링이 원본 사이트의 방문 감소를 항상 초래한다고 단정할 수는 없으며, 실제 영향은 AI 서비스의 구현 방식, 출력 형태 및 이용자 행태에 따라 달라질 수 있다. 또한 목적별 크롤러가 구분되어 있더라도 개발사의 운영 방식에 따라 하나의 수집 결과가 복수의 용도로 활용될 가능성이 있으므로, 크롤러의 명칭뿐 아니라 수집 이후의 실제 이용 과정도 함께 살펴볼 필요가 있다.</w:t>
      </w:r>
      <w:r>
        <w:rPr>
          <w:rStyle w:val="FootnoteReference"/>
        </w:rPr>
        <w:footnoteReference w:id="11"/>
        <w:t>)</w:t>
      </w:r>
      <w:r>
        <w:rPr>
          <w:rFonts w:ascii="#신명조" w:hAnsi="#신명조" w:eastAsia="#신명조"/>
          <w:b w:val="0"/>
          <w:i w:val="0"/>
          <w:color w:val="000000"/>
          <w:sz w:val="20"/>
          <w:u w:val="none"/>
        </w:rPr>
      </w:r>
    </w:p>
    <w:p>
      <w:pPr>
        <w:spacing w:before="0" w:after="0" w:line="384" w:lineRule="auto"/>
        <w:ind w:left="0" w:right="0" w:firstLine="40"/>
        <w:jc w:val="both"/>
      </w:pPr>
      <w:r>
        <w:rPr>
          <w:rFonts w:ascii="#신명조" w:hAnsi="#신명조" w:eastAsia="#신명조"/>
          <w:b w:val="0"/>
          <w:i w:val="0"/>
          <w:color w:val="000000"/>
          <w:sz w:val="20"/>
          <w:u w:val="none"/>
        </w:rPr>
        <w:t>결국 검색 목적과 생성형 인공지능 학습 목적의 크롤링은 웹 데이터를 자동으로 수집한다는 기술적 기초를 공유하지만, 수집 이후의 전처리 및 비표현적 가공 과정, 그리고 원본 사이트 트래픽이나 잠재적 데이터 거래 기회에 미칠 수 있는 영향의 양태에서 차이를 보일 수 있다. 따라서 단순히 크롤러의 명칭이나 학습 목적이라는 사실 자체만으로 위법성을 단정할 수는 없으며, 수집과 실제 학습 사이의 단계적 관계, 운영자가 표시한 거부 의사, 인증·IP 차단·요청 제한 등 접근통제의 우회 여부, 그리고 수집 행위가 관련 시장의 유상 거래 기회에 미친 실질적 영향을 종합적으로 살펴보아야 한다. 이러한 기술적 사실관계는 후속 장에서 부정경쟁방지법 제2조 제1호 (카)목의 적용 한계를 짚고, 동호 (파)목상 행위의 부당성과 경제적 이익 침해 여부를 판단하는 기초가 된다.</w:t>
      </w:r>
    </w:p>
    <w:p>
      <w:pPr>
        <w:spacing w:before="0" w:after="0" w:line="384" w:lineRule="auto"/>
        <w:ind w:left="0" w:right="0" w:firstLine="40"/>
        <w:jc w:val="both"/>
      </w:pPr>
    </w:p>
    <w:p>
      <w:pPr>
        <w:spacing w:before="0" w:after="0" w:line="504" w:lineRule="auto"/>
        <w:ind w:left="0" w:right="0" w:firstLine="40"/>
        <w:jc w:val="both"/>
      </w:pPr>
      <w:r>
        <w:rPr>
          <w:rFonts w:ascii="신명 태명조" w:hAnsi="신명 태명조" w:eastAsia="신명 태명조"/>
          <w:b/>
          <w:i w:val="0"/>
          <w:color w:val="000000"/>
          <w:sz w:val="24"/>
          <w:u w:val="none"/>
        </w:rPr>
        <w:t xml:space="preserve">III. 생성형 인공지능 학습 데이터에 대한 </w:t>
      </w:r>
      <w:r>
        <w:rPr>
          <w:rFonts w:ascii="신명 태명조" w:hAnsi="신명 태명조" w:eastAsia="신명 태명조"/>
          <w:b/>
          <w:i w:val="0"/>
          <w:color w:val="000000"/>
          <w:sz w:val="24"/>
          <w:u w:val="none"/>
        </w:rPr>
        <w:t>「부정경쟁방지 및 영업비밀보호에 관한 법률」</w:t>
      </w:r>
      <w:r>
        <w:rPr>
          <w:rFonts w:ascii="신명 태명조" w:hAnsi="신명 태명조" w:eastAsia="신명 태명조"/>
          <w:b/>
          <w:i w:val="0"/>
          <w:color w:val="000000"/>
          <w:sz w:val="24"/>
          <w:u w:val="none"/>
        </w:rPr>
        <w:t>의 적용 범위와 한계</w:t>
      </w:r>
    </w:p>
    <w:p>
      <w:pPr>
        <w:spacing w:before="0" w:after="0" w:line="384" w:lineRule="auto"/>
        <w:ind w:left="0" w:right="0" w:firstLine="40"/>
        <w:jc w:val="both"/>
      </w:pPr>
    </w:p>
    <w:p>
      <w:pPr>
        <w:spacing w:before="0" w:after="140" w:line="384" w:lineRule="auto"/>
        <w:ind w:left="0" w:right="0" w:firstLine="200"/>
        <w:jc w:val="left"/>
      </w:pPr>
      <w:r>
        <w:rPr>
          <w:rFonts w:ascii="돋움체" w:hAnsi="돋움체" w:eastAsia="돋움체"/>
          <w:b w:val="0"/>
          <w:i w:val="0"/>
          <w:color w:val="000000"/>
          <w:sz w:val="22"/>
          <w:u w:val="none"/>
        </w:rPr>
        <w:t xml:space="preserve">1. </w:t>
      </w:r>
      <w:r>
        <w:rPr>
          <w:rFonts w:ascii="돋움체" w:hAnsi="돋움체" w:eastAsia="돋움체"/>
          <w:b w:val="0"/>
          <w:i w:val="0"/>
          <w:color w:val="000000"/>
          <w:sz w:val="22"/>
          <w:u w:val="none"/>
        </w:rPr>
        <w:t>오픈 웹 데이터 보호의 필요성과 부정경쟁방지법적 접근의 유용성</w:t>
      </w:r>
    </w:p>
    <w:p>
      <w:pPr>
        <w:spacing w:before="0" w:after="0" w:line="384" w:lineRule="auto"/>
        <w:ind w:left="0" w:right="0" w:firstLine="40"/>
        <w:jc w:val="both"/>
      </w:pPr>
      <w:r>
        <w:rPr>
          <w:rFonts w:ascii="한양신명조" w:hAnsi="한양신명조" w:eastAsia="한양신명조"/>
          <w:b w:val="0"/>
          <w:i w:val="0"/>
          <w:color w:val="000000"/>
          <w:sz w:val="20"/>
          <w:u w:val="none"/>
        </w:rPr>
        <w:t>생성형 AI 학습을 위한 데이터셋은 단순한 원시 데이터의 일반적 가공물이 아닌, 수집, 정제, 전처리를 거쳐 구축된 상당한 투자와 노력의 산물이다.</w:t>
      </w:r>
      <w:r>
        <w:rPr>
          <w:rFonts w:ascii="한양신명조" w:hAnsi="한양신명조" w:eastAsia="한양신명조"/>
          <w:b w:val="0"/>
          <w:i w:val="0"/>
          <w:color w:val="000000"/>
          <w:sz w:val="20"/>
          <w:u w:val="none"/>
        </w:rPr>
        <w:t xml:space="preserve"> </w:t>
      </w:r>
      <w:r>
        <w:rPr>
          <w:rFonts w:ascii="한양신명조" w:hAnsi="한양신명조" w:eastAsia="한양신명조"/>
          <w:b w:val="0"/>
          <w:i w:val="0"/>
          <w:color w:val="000000"/>
          <w:sz w:val="20"/>
          <w:u w:val="none"/>
        </w:rPr>
        <w:t>이러한 데이터셋은 비록 저작물성 요건을 충족하지 못하더라도 법적으로 보호받을 가치가 있는 '상당한 성과'에 해당한다는 것이 다. 그럼에도 불구하고 전통적인 지식재산권법, 특히 저작권법을 통해 이러한 오픈 웹 데이터를 규율하는 데에는 한계가 명확하다. 저작권법상 편집저작물로 인정받기 위해서는 소재의 선택 및 배열에 창작성</w:t>
      </w:r>
      <w:r>
        <w:rPr>
          <w:rStyle w:val="FootnoteReference"/>
        </w:rPr>
        <w:footnoteReference w:id="12"/>
        <w:t>)</w:t>
      </w:r>
      <w:r>
        <w:rPr>
          <w:rFonts w:ascii="한양신명조" w:hAnsi="한양신명조" w:eastAsia="한양신명조"/>
          <w:b w:val="0"/>
          <w:i w:val="0"/>
          <w:color w:val="000000"/>
          <w:sz w:val="20"/>
          <w:u w:val="none"/>
        </w:rPr>
        <w:t>이 인정되어야 하나, 웹 크롤링의 대상이 되는 일반 데이터는 정형화된 패턴이나 단순 사실의 나열에 불과한 경우가 많아 권리성 입증이 용이하지 않다. 또한, 배타적 지배권에 기초한 전통적인 지식재산권법 체계는 행위 발생 이후의 사후적 금지 청구에 주로 의존하므로, 실시간, 대규모로 일어나는 웹 크롤링 기술의 특성에 기민하게 대응하기 어렵다.</w:t>
      </w:r>
      <w:r>
        <w:rPr>
          <w:rFonts w:ascii="한양신명조" w:hAnsi="한양신명조" w:eastAsia="한양신명조"/>
          <w:b w:val="0"/>
          <w:i w:val="0"/>
          <w:color w:val="000000"/>
          <w:sz w:val="20"/>
          <w:u w:val="none"/>
        </w:rPr>
        <w:br/>
      </w:r>
      <w:r>
        <w:rPr>
          <w:rFonts w:ascii="한양신명조" w:hAnsi="한양신명조" w:eastAsia="한양신명조"/>
          <w:b w:val="0"/>
          <w:i w:val="0"/>
          <w:color w:val="000000"/>
          <w:sz w:val="20"/>
          <w:u w:val="none"/>
        </w:rPr>
        <w:t xml:space="preserve">이러한 지식재산권법상의 사각지대를 보완하는 유용한 대안으로 「부정경쟁방지 및 영업비밀보호에 관한 법률」(이하 ‘부정경쟁방지법’)이 제시된다. </w:t>
      </w:r>
      <w:r>
        <w:rPr>
          <w:rFonts w:ascii="한양신명조" w:hAnsi="한양신명조" w:eastAsia="한양신명조"/>
          <w:b w:val="0"/>
          <w:i w:val="0"/>
          <w:sz w:val="20"/>
          <w:u w:val="none"/>
          <w:color w:val="000000"/>
          <w:spacing w:val="-10"/>
        </w:rPr>
        <w:t>부정경쟁방지법은 타인의 상표·상호 부정사용이나 영업비밀 침해를 방지하여 건전한 거래 질서를 유지함을 목적으로 한다.</w:t>
      </w:r>
      <w:r>
        <w:rPr>
          <w:rStyle w:val="FootnoteReference"/>
        </w:rPr>
        <w:footnoteReference w:id="13"/>
        <w:t>)</w:t>
      </w:r>
      <w:r>
        <w:rPr>
          <w:rFonts w:ascii="한양신명조" w:hAnsi="한양신명조" w:eastAsia="한양신명조"/>
          <w:b w:val="0"/>
          <w:i w:val="0"/>
          <w:sz w:val="20"/>
          <w:u w:val="none"/>
          <w:color w:val="000000"/>
          <w:spacing w:val="-10"/>
        </w:rPr>
        <w:t xml:space="preserve"> 요건을 갖춘 대상에 배타적 권리를 주는 전통적 지식재산권법의 ‘권리부여방식’과 달리, 부정경쟁방지법은 불공정 행위를 직접 금지하는 ‘행위규제방식’을 취한다. 이러한 특성 덕분에 부정경쟁방지법은 엄격한 요건을 충족하지 못해 법정 권리로 포섭되지 못한 무형적 성과물이라도, 경쟁 질서 관점에서 이에 부당하게 편승하는 행위를 독자적으로 규제할 수 있는 정당성을 지닌다.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 이러한 부정경쟁방지법 고유의 행위규제적 특성은 최근 생성형 AI 학습을 위한 웹 크롤링을 중심으로 벌어지는 중대한 법리적 논쟁에서 시사점을 제공한다. 정제와 라벨링 등 막대한 투자가 수반된 기계 학습용 데이터셋, 즉 웹크롤링 행위의 대상이 되는 데이터는 부정경쟁방지법상 보호 대상인 ‘성과’에 해당할 여지가 충분함에도 불구하고, 이를 저작권법이나 영업비밀 법제만으로 보호하기에는 개방형 데이터 특성상 권리성 입증 등 구조적 한계가 존재하기 때문이다.</w:t>
      </w:r>
      <w:r>
        <w:rPr>
          <w:rStyle w:val="FootnoteReference"/>
        </w:rPr>
        <w:footnoteReference w:id="14"/>
        <w:t>)</w:t>
      </w:r>
      <w:r>
        <w:rPr>
          <w:rFonts w:ascii="한양신명조" w:hAnsi="한양신명조" w:eastAsia="한양신명조"/>
          <w:b w:val="0"/>
          <w:i w:val="0"/>
          <w:sz w:val="20"/>
          <w:u w:val="none"/>
          <w:color w:val="000000"/>
          <w:spacing w:val="-10"/>
        </w:rPr>
      </w:r>
    </w:p>
    <w:p>
      <w:pPr>
        <w:spacing w:before="0" w:after="0" w:line="384" w:lineRule="auto"/>
        <w:ind w:left="0" w:right="0" w:firstLine="40"/>
        <w:jc w:val="both"/>
      </w:pPr>
    </w:p>
    <w:p>
      <w:pPr>
        <w:spacing w:before="0" w:after="140" w:line="384" w:lineRule="auto"/>
        <w:ind w:left="0" w:right="0" w:firstLine="200"/>
        <w:jc w:val="left"/>
      </w:pPr>
      <w:r>
        <w:rPr>
          <w:rFonts w:ascii="돋움체" w:hAnsi="돋움체" w:eastAsia="돋움체"/>
          <w:b w:val="0"/>
          <w:i w:val="0"/>
          <w:color w:val="000000"/>
          <w:sz w:val="22"/>
          <w:u w:val="none"/>
        </w:rPr>
        <w:t xml:space="preserve">2. 데이터 부정사용행위 (카)목의 법리와 적용 기준 </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  2021년 개정 및 2022년 시행을 거쳐 신설된 부정경쟁방지법 제2조 제1호 (카)목(이하 ‘카목’)은 상당한 노력과 투자의 산물이나 비밀성이 없어 영업비밀로 보호받지 못하는 데이터 자산을 독자적으로 규율·보호한다. 본 조항의 보호 대상은 “업으로서 특정인 또는 특정 다수에게 제공되는 것”이자 전자적 방법으로 상당량 축적·관리되는 기술상·영업상 정보(비비밀성 정보에 한함)를 지칭한다.</w:t>
      </w:r>
      <w:r>
        <w:rPr>
          <w:rStyle w:val="FootnoteReference"/>
        </w:rPr>
        <w:footnoteReference w:id="15"/>
        <w:t>)</w:t>
      </w:r>
      <w:r>
        <w:rPr>
          <w:rFonts w:ascii="한양신명조" w:hAnsi="한양신명조" w:eastAsia="한양신명조"/>
          <w:b w:val="0"/>
          <w:i w:val="0"/>
          <w:sz w:val="20"/>
          <w:u w:val="none"/>
          <w:color w:val="000000"/>
          <w:spacing w:val="-10"/>
        </w:rPr>
        <w:t xml:space="preserve"> 카목이 금지하는 부정사용행위는 ① 권한 없는 자의 부정한 취득·사용·공개, ② 정당한 권한권자의 부정한 목적의 유통, ③ 기술적 보호조치 무력화 기술 제공 등 4가지 유형으로 구분된다.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부정경쟁방지법 제2조 제1호 카목의 핵심 구성요건인 ‘업으로서’와 ‘제공대상 한정성’의 구체적 판단 기준은 다음과 같다. 먼저 ‘업으로서’의 제공이란 주체의 행위가 사회통념상 지속성과 영업성을 구비하여 사업 수행의 일환으로 평가될 수 있는 상태를 의미하므로, 사업적 목적과 데이터 제공 의사가 인정되어야 한다.</w:t>
      </w:r>
      <w:r>
        <w:rPr>
          <w:rStyle w:val="FootnoteReference"/>
        </w:rPr>
        <w:footnoteReference w:id="16"/>
        <w:t>)</w:t>
      </w:r>
      <w:r>
        <w:rPr>
          <w:rFonts w:ascii="한양신명조" w:hAnsi="한양신명조" w:eastAsia="한양신명조"/>
          <w:b w:val="0"/>
          <w:i w:val="0"/>
          <w:sz w:val="20"/>
          <w:u w:val="none"/>
          <w:color w:val="000000"/>
          <w:spacing w:val="-10"/>
        </w:rPr>
        <w:t xml:space="preserve"> 다음으로 ‘특정인 또는 특정 다수’라는 요건은 제공 대상의 한정성을 요구하는바, 이는 회원 자격이나 비용 지불 등 기술적·계약적 제약 하에 차별적으로 제공되는 데이터에 국한된다. </w:t>
      </w:r>
      <w:r>
        <w:rPr>
          <w:rFonts w:ascii="한양신명조" w:hAnsi="한양신명조" w:eastAsia="한양신명조"/>
          <w:b w:val="0"/>
          <w:i w:val="0"/>
          <w:sz w:val="20"/>
          <w:u w:val="none"/>
          <w:color w:val="000000"/>
          <w:spacing w:val="-10"/>
        </w:rPr>
        <w:t>결과적으로 아무런 제한 없이 누구나 무상으로 접근하여 이용할 수 있는 개방형 오픈 웹 데이터는 이러한 제공 대상의 한정성을 충족하지 못하여 카목의 보호 범위에서 제외되는 구조적 한계를 갖는다.</w:t>
      </w:r>
    </w:p>
    <w:p>
      <w:pPr>
        <w:spacing w:before="0" w:after="0" w:line="384" w:lineRule="auto"/>
        <w:ind w:left="0" w:right="0" w:firstLine="40"/>
        <w:jc w:val="both"/>
      </w:pPr>
    </w:p>
    <w:p>
      <w:pPr>
        <w:spacing w:before="0" w:after="140" w:line="384" w:lineRule="auto"/>
        <w:ind w:left="0" w:right="0" w:firstLine="200"/>
        <w:jc w:val="left"/>
      </w:pPr>
      <w:r>
        <w:rPr>
          <w:rFonts w:ascii="돋움체" w:hAnsi="돋움체" w:eastAsia="돋움체"/>
          <w:b w:val="0"/>
          <w:i w:val="0"/>
          <w:color w:val="000000"/>
          <w:sz w:val="22"/>
          <w:u w:val="none"/>
        </w:rPr>
        <w:t>3. 성과도용 일반조항 (파)목의 법리와 적용 기준 및 카목과의 보충적 관계</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 부정경쟁방지법 제2조 제1호 (파)목(이하 ‘파목’)은 “그 밖에 타인의 상당한 투자나 노력으로 만들어진 성과 등을 공정한 상거래 관행이나 경쟁 질서에 반하는 방법으로 자신의 영업을 위하여 무단으로 사용함으로써 타인의 경제적 이익을 침해하는 행위”를 규율한다. 2013년 개정 당시 구 (차)목으로 입법된 본 조항은 개별 열거 조항만으로 규제하기 어려운 불공정 편승 행위를 적시에 차단하기 위해 도입된 포괄적 일반조항이자 보충적 구제 수단이다.</w:t>
      </w:r>
      <w:r>
        <w:rPr>
          <w:rStyle w:val="FootnoteReference"/>
        </w:rPr>
        <w:footnoteReference w:id="17"/>
        <w:t>)</w:t>
      </w:r>
      <w:r>
        <w:rPr>
          <w:rFonts w:ascii="한양신명조" w:hAnsi="한양신명조" w:eastAsia="한양신명조"/>
          <w:b w:val="0"/>
          <w:i w:val="0"/>
          <w:sz w:val="20"/>
          <w:u w:val="none"/>
          <w:color w:val="000000"/>
          <w:spacing w:val="-10"/>
        </w:rPr>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 대법원은 파목의 성립 여부를 판단하기 위한 여러 요소를 제시한다. 본고는 이러한 판례의 판단요소와 법문을 분석의 편의상 다음 세 단계로 나누어 살펴본다. 첫째, 인적·물적 자원이 투입되어 가치를 지닌 ‘타인의 상당한 투자나 노력으로 만들어진 성과’가 존재해야 한다. 둘째, 정당한 대가 없이 편승하여 신의성실의 원칙을 위배한 ‘공정한 상거래 관행이나 경쟁질서에 반하는 방법으로 무단 사용’하는 행위 태양이 인정되어야 한다.</w:t>
      </w:r>
      <w:r>
        <w:rPr>
          <w:rStyle w:val="FootnoteReference"/>
        </w:rPr>
        <w:footnoteReference w:id="18"/>
        <w:t>)</w:t>
      </w:r>
      <w:r>
        <w:rPr>
          <w:rFonts w:ascii="한양신명조" w:hAnsi="한양신명조" w:eastAsia="한양신명조"/>
          <w:b w:val="0"/>
          <w:i w:val="0"/>
          <w:sz w:val="20"/>
          <w:u w:val="none"/>
          <w:color w:val="000000"/>
          <w:spacing w:val="-10"/>
        </w:rPr>
        <w:t xml:space="preserve"> 셋째, 그 결과로 원 소유자의 선점 효과 상실이나 기대 수익 차단 등 구체적인 ‘타인의 경제적 이익 침해’가 발생해야 한다.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 이처럼 파목이 지닌 포괄성과 보충적 구제 수단으로서의 성격은 앞서 살펴본 카목의 한계를 보완하는 과정에서 유기적인 상호 관계를 형성한다. 카목은 보호 대상을 ‘특정인 또는 특정 다수 제공’으로 제한하여, 공개된 오픈 웹 데이터에 대해서는 규율 한계를 가진다. 바로 이 지점에서 파목의 보충적 기능이 적용된다. 비록 개방형 데이터여서 카목의 한정성 요건을 채우지 못했더라도, 원 보유자의 상당한 자본과 노력이 투입된 결과물이라면 파목상 ‘성과’로 인정받을 수 있다.</w:t>
      </w:r>
      <w:r>
        <w:rPr>
          <w:rStyle w:val="FootnoteReference"/>
        </w:rPr>
        <w:footnoteReference w:id="19"/>
        <w:t>)</w:t>
      </w:r>
      <w:r>
        <w:rPr>
          <w:rFonts w:ascii="한양신명조" w:hAnsi="한양신명조" w:eastAsia="한양신명조"/>
          <w:b w:val="0"/>
          <w:i w:val="0"/>
          <w:sz w:val="20"/>
          <w:u w:val="none"/>
          <w:color w:val="000000"/>
          <w:spacing w:val="-10"/>
        </w:rPr>
        <w:t xml:space="preserve"> 즉, 데이터 형식이 개방되어 카목의 적용을 피해 가더라도, 경쟁사의 투자와 노력을 부당하게 흡수하는 행위는 파목을 통해 독자적으로 규제할 수 있다.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결국 파목은 ‘보호 대상(객체)이 어떠한 성격인가’를 따지던 방식에서 ‘데이터를 </w:t>
      </w:r>
      <w:r>
        <w:rPr>
          <w:rFonts w:ascii="한양신명조" w:hAnsi="한양신명조" w:eastAsia="한양신명조"/>
          <w:b w:val="0"/>
          <w:i w:val="0"/>
          <w:sz w:val="20"/>
          <w:u w:val="none"/>
          <w:color w:val="000000"/>
          <w:spacing w:val="-10"/>
        </w:rPr>
        <w:t>수집·활용하는 방식이 공정한 상거래 관행에 반하는가’를 규율하는 행위 중심적 패러다임으로의 이행을 의미한다. 이를 통해 데이터 형식이 개방되어 카목의 적용을 피하더라도, 경쟁사의 투자와 노력을 부당하게 흡수하는 불공정 행위는 파목을 통해 독자적으로 차단할 수 있게 된다.</w:t>
      </w:r>
    </w:p>
    <w:p>
      <w:pPr>
        <w:spacing w:before="0" w:after="0" w:line="384" w:lineRule="auto"/>
        <w:ind w:left="0" w:right="0" w:firstLine="40"/>
        <w:jc w:val="both"/>
      </w:pPr>
    </w:p>
    <w:p>
      <w:pPr>
        <w:spacing w:before="0" w:after="0" w:line="480" w:lineRule="auto"/>
        <w:ind w:left="0" w:right="0" w:firstLine="40"/>
        <w:jc w:val="both"/>
      </w:pPr>
      <w:r>
        <w:rPr>
          <w:rFonts w:ascii="신명 태명조" w:hAnsi="신명 태명조" w:eastAsia="신명 태명조"/>
          <w:b/>
          <w:i w:val="0"/>
          <w:color w:val="000000"/>
          <w:sz w:val="24"/>
          <w:u w:val="none"/>
        </w:rPr>
        <w:t xml:space="preserve">IV. </w:t>
      </w:r>
      <w:r>
        <w:rPr>
          <w:rFonts w:ascii="신명 태명조" w:hAnsi="신명 태명조" w:eastAsia="신명 태명조"/>
          <w:b/>
          <w:i w:val="0"/>
          <w:color w:val="000000"/>
          <w:sz w:val="24"/>
          <w:u w:val="none"/>
        </w:rPr>
        <w:t>웹 크롤링에 대한 「부정경쟁방지 및 영업비밀보호에 관한 법률」상 성과도용 일반조항 (파)목 적용 관련 학설과 판례 검토</w:t>
      </w:r>
    </w:p>
    <w:p>
      <w:pPr>
        <w:spacing w:before="0" w:after="0" w:line="384" w:lineRule="auto"/>
        <w:ind w:left="0" w:right="0" w:firstLine="40"/>
        <w:jc w:val="both"/>
      </w:pPr>
    </w:p>
    <w:p>
      <w:pPr>
        <w:spacing w:before="0" w:after="140" w:line="384" w:lineRule="auto"/>
        <w:ind w:left="0" w:right="0" w:firstLine="200"/>
        <w:jc w:val="left"/>
      </w:pPr>
      <w:r>
        <w:rPr>
          <w:rFonts w:ascii="돋움체" w:hAnsi="돋움체" w:eastAsia="돋움체"/>
          <w:b w:val="0"/>
          <w:i w:val="0"/>
          <w:color w:val="000000"/>
          <w:sz w:val="22"/>
          <w:u w:val="none"/>
        </w:rPr>
        <w:t>1. 파목 적용 범위에 관한 학설의 대립</w:t>
      </w:r>
    </w:p>
    <w:p>
      <w:pPr>
        <w:spacing w:before="0" w:after="140" w:line="384" w:lineRule="auto"/>
        <w:ind w:left="0" w:right="0" w:firstLine="200"/>
        <w:jc w:val="left"/>
      </w:pPr>
      <w:r>
        <w:rPr>
          <w:rFonts w:ascii="돋움체" w:hAnsi="돋움체" w:eastAsia="돋움체"/>
          <w:b w:val="0"/>
          <w:i w:val="0"/>
          <w:color w:val="000000"/>
          <w:sz w:val="22"/>
          <w:u w:val="none"/>
        </w:rPr>
        <w:t>(1) 확장적용론</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성과도용 일반조항 파목의 적용 가능 범위에 대한 학설 중 현존 판례</w:t>
      </w:r>
      <w:r>
        <w:rPr>
          <w:rStyle w:val="FootnoteReference"/>
        </w:rPr>
        <w:footnoteReference w:id="20"/>
        <w:t>)</w:t>
      </w:r>
      <w:r>
        <w:rPr>
          <w:rFonts w:ascii="한양신명조" w:hAnsi="한양신명조" w:eastAsia="한양신명조"/>
          <w:b w:val="0"/>
          <w:i w:val="0"/>
          <w:sz w:val="20"/>
          <w:u w:val="none"/>
          <w:color w:val="000000"/>
          <w:spacing w:val="-10"/>
        </w:rPr>
        <w:t xml:space="preserve"> 등을 통해 가장 두터운 지지를 받고 있는 입장은 바로 본 조항을 적극적으로 확장 적용하여 전통적 지재권으로 포섭되지 않는 다양한 형태의 무형적 성과물을 보호해야 한다는 '확장적용론'이다. 이는 본고에서 다루는 생성형 AI 학습 목적의 웹 크롤링과 같이 기술 발전에 따라 등장하는 새로운 형태의 불공정 행위에 대한 포괄적인 보호를 위함이다. 특히 파목은 타인의 노력을 가로채는 ‘행위’ 자체에 초점을 맞추는 행위규제적 특성을 가짐에 따라 보다 효과적인 보호를 이끌어낼 수 있다는 점이 강조된다.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파목에 대한 확장적용의 가능성은 본 조항의 입법 취지에서 잘 드러난다. 전통적인 지식재산권법의 경우 그를 통한 보호 대상이 되기 위해서는 창작성, 신규성과 같은 엄격한 요건을 충족해야만 하므로 경제적 가치가 충분함에도 불구하고 파목은 이러한 법적 공백을 메우기 위해 만들어진 보충적 일반 조항이다. 즉, 저작권물이나 특허와 같이 배타적 권리의 성립 요건을 완전하게 갖추지 못한 형태의 요소이더라도 타인의 노력 및 그에 따른 성과를 가로채는 행위가 사회적으로 용인되는 선에서 벗어나는 수준이라면 이를 ‘부정경쟁행위’로 규율함으로써 시장 질서를 유지할 수 있도록 하는 것이다.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기술과 산업의 급격한 발전에 따른 비즈니스 환경의 빠른 변화 속도</w:t>
      </w:r>
      <w:r>
        <w:rPr>
          <w:rStyle w:val="FootnoteReference"/>
        </w:rPr>
        <w:footnoteReference w:id="21"/>
        <w:t>)</w:t>
      </w:r>
      <w:r>
        <w:rPr>
          <w:rFonts w:ascii="한양신명조" w:hAnsi="한양신명조" w:eastAsia="한양신명조"/>
          <w:b w:val="0"/>
          <w:i w:val="0"/>
          <w:sz w:val="20"/>
          <w:u w:val="none"/>
          <w:color w:val="000000"/>
          <w:spacing w:val="-10"/>
        </w:rPr>
        <w:t xml:space="preserve"> 또한 파목을 확장하여 적용해야 할 근거로서 작용한다. 본고의 주요 요소인 AI 학습을 위한 웹크롤링 또한 급격한 기술 발전으로 최근 나타난 행위 유형이며, 이와 같이 새로운 형태의 침해 행위가 발생할 때마다 그에 맞는 조건을 가진 개별 법안의 입법을 시도하는 것은 사실상 불가능에 가깝다. 이러한 상황 속 파목은 행위를 중심으로 포괄적인 위법성 판단 근거를 마련함으로써 판례를 통해 새로운 형태의 부정경쟁행위에 신속하고 탄력적으로 대응할 수 있도록 하는 ‘열린 조항’으로써 기능한다.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결국 확장적용론은 과도한 권리 독점은 경계하되, 급변하는 기술 환경 속에서 타인의 상당한 투자와 노력으로 만들어진 성과가 무단으로 침탈당하는 것을 방지하기 위해, 공정한 경쟁 질서의 틀 내에서 파목을 가능한 범위까지 유연하게 확장 적용할 것을 주장한다. 다만, 이러한 파목의 포괄적 적용은 지식재산 법제의 엄격한 요건을 우회하고 공공영역을 위축시킬 수 있다는 우려를 낳게 되며, 이는 후술할 '보충성엄격론'의 핵심적인 반론 근거로 작용한다.</w:t>
      </w:r>
    </w:p>
    <w:p>
      <w:pPr>
        <w:spacing w:before="0" w:after="0" w:line="384" w:lineRule="auto"/>
        <w:ind w:left="0" w:right="0" w:firstLine="0"/>
        <w:jc w:val="both"/>
      </w:pPr>
    </w:p>
    <w:p>
      <w:pPr>
        <w:spacing w:before="0" w:after="140" w:line="384" w:lineRule="auto"/>
        <w:ind w:left="0" w:right="0" w:firstLine="200"/>
        <w:jc w:val="left"/>
      </w:pPr>
      <w:r>
        <w:rPr>
          <w:rFonts w:ascii="돋움체" w:hAnsi="돋움체" w:eastAsia="돋움체"/>
          <w:b w:val="0"/>
          <w:i w:val="0"/>
          <w:color w:val="000000"/>
          <w:sz w:val="22"/>
          <w:u w:val="none"/>
        </w:rPr>
        <w:t>(2) 보충성엄격론</w:t>
      </w:r>
    </w:p>
    <w:p>
      <w:pPr>
        <w:spacing w:before="0" w:after="0" w:line="384" w:lineRule="auto"/>
        <w:ind w:left="0" w:right="0" w:firstLine="200"/>
        <w:jc w:val="both"/>
      </w:pPr>
      <w:r>
        <w:rPr>
          <w:rFonts w:ascii="한양신명조" w:hAnsi="한양신명조" w:eastAsia="한양신명조"/>
          <w:b w:val="0"/>
          <w:i w:val="0"/>
          <w:color w:val="000000"/>
          <w:sz w:val="20"/>
          <w:u w:val="none"/>
        </w:rPr>
        <w:t>확장적용론이 기술 변화에 대한 탄력적 구제를 강조하는 것과 달리, 학계 일각에서는 부정경쟁방지법 파목 일반조항의 무분별한 확대 적용이 기존 지식재산 법체계의 균형점을 무너뜨릴 수 있음을 경계하며, 그 적용 범위를 엄격하고 제한적으로 해석해야 한다는 ‘보충성엄격론(한정적용론)’을 주장한다.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 보충성엄격론이 제시하는 첫 번째 핵심 논거는 기존 지식재산권 법제와의 정합성 및 공공영역의 보호이다. 전통적인 지식재산권 법제는 엄격한 성립 요건에 따라 예외적인 독점 배타권을 부여함과 동시에 요건을 충족하지 못하는 성과물은 누구나 자유롭게 이용할 수 있도록 ‘공공영역’으로 남겨둔다. 만약 저작물성이나 영업비밀 요건을 갖추지 못해 공공영역에 속하게 된 개방형 웹 데이터까지 단지 </w:t>
      </w:r>
      <w:r>
        <w:rPr>
          <w:rFonts w:ascii="한양신명조" w:hAnsi="한양신명조" w:eastAsia="한양신명조"/>
          <w:b w:val="0"/>
          <w:i w:val="0"/>
          <w:sz w:val="20"/>
          <w:u w:val="none"/>
          <w:color w:val="000000"/>
          <w:spacing w:val="-10"/>
        </w:rPr>
        <w:t>무단 수집·사용되었다는 이유만으로 파목을 통해 일괄 위법화한다면, 이는 지식재산권법의 내재적 한계를 무너끄리고 파목을 지식재산권법 상위에 위치하는 ‘최상위 조항’으로 오용하는 법체계적 모순을 초래하게 된다.</w:t>
      </w:r>
      <w:r>
        <w:rPr>
          <w:rStyle w:val="FootnoteReference"/>
        </w:rPr>
        <w:footnoteReference w:id="22"/>
        <w:t>)</w:t>
      </w:r>
      <w:r>
        <w:rPr>
          <w:rFonts w:ascii="한양신명조" w:hAnsi="한양신명조" w:eastAsia="한양신명조"/>
          <w:b w:val="0"/>
          <w:i w:val="0"/>
          <w:sz w:val="20"/>
          <w:u w:val="none"/>
          <w:color w:val="000000"/>
          <w:spacing w:val="-10"/>
        </w:rPr>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둘째, 사법부 재량의 과대한 확대에 따른 수범자의 법적 예측 가능성 저해이다. 파목상 ‘공정한 상거래 관행이나 경쟁 질서 위배’라는 요건은 매우 추상적이고 포괄적이다. 법원이 구체적인 불공정 행위 태양(절취, 기망, 적극적 기술 무력화 등)에 대한 고도의 위법성 정황을 입증하지 않은 채, 단순한 ‘허락 없는 무단 사용’이나 무임승차 정황만으로 성급히 위법성을 인정한다면 사후적이고 주관적인 판단에 전적으로 의존하게 될 것이다.</w:t>
      </w:r>
      <w:r>
        <w:rPr>
          <w:rStyle w:val="FootnoteReference"/>
        </w:rPr>
        <w:footnoteReference w:id="23"/>
        <w:t>)</w:t>
      </w:r>
      <w:r>
        <w:rPr>
          <w:rFonts w:ascii="한양신명조" w:hAnsi="한양신명조" w:eastAsia="한양신명조"/>
          <w:b w:val="0"/>
          <w:i w:val="0"/>
          <w:sz w:val="20"/>
          <w:u w:val="none"/>
          <w:color w:val="000000"/>
          <w:spacing w:val="-10"/>
        </w:rPr>
        <w:t xml:space="preserve"> 자유경쟁 시장의 전제는 평등한 기회와 행위 결과에 대한 예측 가능성이므로, 일반조항을 적용해 그 자유를 제한할 때에는 세심한 접근이 요구된다.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셋째, AI 산업의 기술 혁신 저해 및 규제의 딜레마 초래이다. 공개데이터를 활용한 웹 크롤링 및 TDM 행위에 대해 파목을 과도하게 적용할 경우, 데이터 확보 자본이 부족한 스타트업이나 후발 연구자의 시장 진입을 막고 공정한 경쟁 질서를 오히려 저해하는 결과를 낳는다. 결과적으로 저작권법상 </w:t>
      </w:r>
      <w:r>
        <w:rPr>
          <w:rFonts w:ascii="한양신명조" w:hAnsi="한양신명조" w:eastAsia="한양신명조"/>
          <w:b w:val="0"/>
          <w:i w:val="0"/>
          <w:sz w:val="20"/>
          <w:u w:val="none"/>
          <w:color w:val="000000"/>
          <w:spacing w:val="-10"/>
        </w:rPr>
        <w:t>TDM 면책이나 공정이용 가이드라인을 통해 AI 기술 혁신을 진흥하려는 국가 정책적 기조와 부경법상 일반조항이 충돌하는 법적 사각지대를 형성하게 된다.</w:t>
      </w:r>
      <w:r>
        <w:rPr>
          <w:rStyle w:val="FootnoteReference"/>
        </w:rPr>
        <w:footnoteReference w:id="24"/>
        <w:t>)</w:t>
      </w:r>
      <w:r>
        <w:rPr>
          <w:rFonts w:ascii="한양신명조" w:hAnsi="한양신명조" w:eastAsia="한양신명조"/>
          <w:b w:val="0"/>
          <w:i w:val="0"/>
          <w:sz w:val="20"/>
          <w:u w:val="none"/>
          <w:color w:val="000000"/>
          <w:spacing w:val="-10"/>
        </w:rPr>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결국 보충성엄격론은 타인의 성과를 이용하는 행위에 정당화될 수 없는 '특별한 사정(고도의 행위불법)'이 존재하지 않는 한 공공영역의 자유로운 이용을 보장해야 하며, 파목은 지재법의 보호 공백을 메우는 보충적 수단에 머물러야 한다는 점을 명확히 한다.</w:t>
      </w:r>
    </w:p>
    <w:p>
      <w:pPr>
        <w:spacing w:before="0" w:after="0" w:line="384" w:lineRule="auto"/>
        <w:ind w:left="0" w:right="0" w:firstLine="0"/>
        <w:jc w:val="both"/>
      </w:pPr>
    </w:p>
    <w:p>
      <w:pPr>
        <w:spacing w:before="0" w:after="140" w:line="384" w:lineRule="auto"/>
        <w:ind w:left="0" w:right="0" w:firstLine="200"/>
        <w:jc w:val="left"/>
      </w:pPr>
      <w:r>
        <w:rPr>
          <w:rFonts w:ascii="돋움체" w:hAnsi="돋움체" w:eastAsia="돋움체"/>
          <w:b w:val="0"/>
          <w:i w:val="0"/>
          <w:color w:val="000000"/>
          <w:sz w:val="22"/>
          <w:u w:val="none"/>
        </w:rPr>
        <w:t>2. 선행 웹 크롤링 판례 법리 분석</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 국내 웹 크롤링 무단 수집 행위에 부정경쟁방지법이 적용된 대표적 선행 사례는 야놀자(채권자)와 여기어때(채무자) 간의 ‘숙박업소 크롤링 분쟁’이다.</w:t>
      </w:r>
      <w:r>
        <w:rPr>
          <w:rStyle w:val="FootnoteReference"/>
        </w:rPr>
        <w:footnoteReference w:id="25"/>
        <w:t>)</w:t>
      </w:r>
      <w:r>
        <w:rPr>
          <w:rFonts w:ascii="한양신명조" w:hAnsi="한양신명조" w:eastAsia="한양신명조"/>
          <w:b w:val="0"/>
          <w:i w:val="0"/>
          <w:sz w:val="20"/>
          <w:u w:val="none"/>
          <w:color w:val="000000"/>
          <w:spacing w:val="-10"/>
        </w:rPr>
        <w:t xml:space="preserve"> 경쟁사인 여기어때가 자동 크롤링 프로그램으로 야놀자의 제휴 숙박업소 정보 등 대량의 원천 데이터를 무단 수집·복제한 본 사건은 민·형사상 상반된 법적 평가를 받았다.</w:t>
      </w:r>
      <w:r>
        <w:rPr>
          <w:rStyle w:val="FootnoteReference"/>
        </w:rPr>
        <w:footnoteReference w:id="26"/>
        <w:t>)</w:t>
      </w:r>
      <w:r>
        <w:rPr>
          <w:rFonts w:ascii="한양신명조" w:hAnsi="한양신명조" w:eastAsia="한양신명조"/>
          <w:b w:val="0"/>
          <w:i w:val="0"/>
          <w:sz w:val="20"/>
          <w:u w:val="none"/>
          <w:color w:val="000000"/>
          <w:spacing w:val="-10"/>
        </w:rPr>
        <w:t xml:space="preserve"> 형사 사건에서 대법원은 저작권법 및 정보통신망법 위반에 대해 최종 무죄를 확정했으나, 민사소송에서는 서울중앙지방법원은 해당 행위가 부정경쟁방지법 파목에 부합하는 위법한 성과도용에 해당한다고 판결하며 10억 원의 손해배상 책임을 인정하였고, 이러한 판단은 항소심에서도 유지되었다.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 이러한 분쟁 과정에서 나타난 형사 판결의 법리는 부정경쟁방지법 제2조 제1호 카목의 ‘제공대상 한정성’을 분석하는 유의미한 기준을 제공한다. 카목은 비교적 최근에 개정되어 직접적인 적용 판례가 드물지만, 당시 형사 대법원은 해당 정보가 이미 대중에게 널리 알려진 개방된 정보이므로 데이터베이스제작자의 권리를 침해했다고 보기 어렵다고 판단한 바 있다. 즉, 전면 개방된 오픈 데이터는 카목이 규정하는 ‘제공대상 한정 데이터’ 요건을 충족하지 못하므로 카목의 보호 대상에서 제외된다는 한계를 명확히 보여준 것이다.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 그러나 이와 대조적으로, 민사 가처분 소송과 본안 심리에서 사법부는 전혀 다른 판단을 내렸다. 형사 법정과 달리, 민사 가처분 소송에서 대법원은 여기어때의 크롤링 행위가 부정경쟁방지법 제2조 제1호 파목(당시 (차)목)에 규정된 부정경쟁행위에 해당한다고 판시하였다. 사법부가 제시한 구체적인 요건별 판단 기준은 다음과 같다.</w:t>
      </w:r>
    </w:p>
    <w:p>
      <w:pPr>
        <w:spacing w:before="0" w:after="0" w:line="384" w:lineRule="auto"/>
        <w:ind w:left="0" w:right="0" w:firstLine="40"/>
        <w:jc w:val="center"/>
      </w:pPr>
    </w:p>
    <w:p>
      <w:pPr>
        <w:spacing w:before="0" w:after="0" w:line="384" w:lineRule="auto"/>
        <w:ind w:left="0" w:right="0" w:firstLine="40"/>
        <w:jc w:val="center"/>
      </w:pPr>
      <w:r>
        <w:rPr>
          <w:rFonts w:ascii="돋움체" w:hAnsi="돋움체" w:eastAsia="돋움체"/>
          <w:b w:val="0"/>
          <w:i w:val="0"/>
          <w:sz w:val="20"/>
          <w:u w:val="none"/>
          <w:color w:val="000000"/>
          <w:spacing w:val="-10"/>
        </w:rPr>
        <w:t>[표 1] 야놀자-여기어때 크롤링 분쟁의 요건별 판단 기준</w:t>
      </w:r>
      <w:r>
        <w:rPr>
          <w:rStyle w:val="FootnoteReference"/>
        </w:rPr>
        <w:footnoteReference w:id="27"/>
        <w:t>)</w:t>
      </w:r>
      <w:r>
        <w:rPr>
          <w:rFonts w:ascii="돋움체" w:hAnsi="돋움체" w:eastAsia="돋움체"/>
          <w:b w:val="0"/>
          <w:i w:val="0"/>
          <w:sz w:val="20"/>
          <w:u w:val="none"/>
          <w:color w:val="000000"/>
          <w:spacing w:val="-10"/>
        </w:rPr>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r>
    </w:p>
    <w:tbl>
      <w:tblPr>
        <w:tblW w:type="auto" w:w="0"/>
        <w:jc w:val="center"/>
        <w:tblLayout w:type="fixed"/>
        <w:tblLook w:firstColumn="1" w:firstRow="1" w:lastColumn="0" w:lastRow="0" w:noHBand="0" w:noVBand="1" w:val="04A0"/>
        <w:tblBorders>
          <w:left w:val="single" w:color="000000" w:sz="3"/>
          <w:right w:val="single" w:color="000000" w:sz="3"/>
          <w:top w:val="single" w:color="000000" w:sz="3"/>
          <w:bottom w:val="single" w:color="000000" w:sz="3"/>
        </w:tblBorders>
      </w:tblPr>
      <w:tblGrid>
        <w:gridCol w:w="2357"/>
        <w:gridCol w:w="3137"/>
        <w:gridCol w:w="3176"/>
      </w:tblGrid>
      <w:tr>
        <w:tc>
          <w:tcPr>
            <w:tcW w:type="dxa" w:w="2357"/>
            <w:vAlign w:val="center"/>
            <w:tcBorders>
              <w:left w:val="single" w:color="000000" w:sz="3"/>
              <w:right w:val="single" w:color="000000" w:sz="3"/>
              <w:top w:val="single" w:color="000000" w:sz="3"/>
              <w:bottom w:val="single" w:color="000000" w:sz="3"/>
            </w:tcBorders>
            <w:shd w:fill="E5E5E5"/>
            <w:tcMar>
              <w:top w:w="28" w:type="dxa"/>
              <w:left w:w="102" w:type="dxa"/>
              <w:bottom w:w="28" w:type="dxa"/>
              <w:right w:w="102" w:type="dxa"/>
            </w:tcMar>
          </w:tcPr>
          <w:p>
            <w:pPr>
              <w:spacing w:before="0" w:after="0" w:line="384" w:lineRule="auto"/>
              <w:ind w:left="0" w:right="0" w:firstLine="0"/>
              <w:jc w:val="center"/>
            </w:pPr>
            <w:r>
              <w:rPr>
                <w:rFonts w:ascii="돋움체" w:hAnsi="돋움체" w:eastAsia="돋움체"/>
                <w:b/>
                <w:i w:val="0"/>
                <w:color w:val="000000"/>
                <w:sz w:val="16"/>
                <w:u w:val="none"/>
              </w:rPr>
              <w:t>판단 요건</w:t>
            </w:r>
          </w:p>
        </w:tc>
        <w:tc>
          <w:tcPr>
            <w:tcW w:type="dxa" w:w="3137"/>
            <w:vAlign w:val="center"/>
            <w:tcBorders>
              <w:left w:val="single" w:color="000000" w:sz="3"/>
              <w:right w:val="single" w:color="000000" w:sz="3"/>
              <w:top w:val="single" w:color="000000" w:sz="3"/>
              <w:bottom w:val="single" w:color="000000" w:sz="3"/>
            </w:tcBorders>
            <w:shd w:fill="E5E5E5"/>
            <w:tcMar>
              <w:top w:w="28" w:type="dxa"/>
              <w:left w:w="102" w:type="dxa"/>
              <w:bottom w:w="28" w:type="dxa"/>
              <w:right w:w="102" w:type="dxa"/>
            </w:tcMar>
          </w:tcPr>
          <w:p>
            <w:pPr>
              <w:spacing w:before="0" w:after="0" w:line="384" w:lineRule="auto"/>
              <w:ind w:left="0" w:right="0" w:firstLine="0"/>
              <w:jc w:val="center"/>
            </w:pPr>
            <w:r>
              <w:rPr>
                <w:rFonts w:ascii="돋움체" w:hAnsi="돋움체" w:eastAsia="돋움체"/>
                <w:b/>
                <w:i w:val="0"/>
                <w:color w:val="000000"/>
                <w:sz w:val="16"/>
                <w:u w:val="none"/>
              </w:rPr>
              <w:t>판결 요지 및 구체적 인정 사실</w:t>
            </w:r>
          </w:p>
        </w:tc>
        <w:tc>
          <w:tcPr>
            <w:tcW w:type="dxa" w:w="3176"/>
            <w:vAlign w:val="center"/>
            <w:tcBorders>
              <w:left w:val="single" w:color="000000" w:sz="3"/>
              <w:right w:val="single" w:color="000000" w:sz="3"/>
              <w:top w:val="single" w:color="000000" w:sz="3"/>
              <w:bottom w:val="single" w:color="000000" w:sz="3"/>
            </w:tcBorders>
            <w:shd w:fill="E5E5E5"/>
            <w:tcMar>
              <w:top w:w="28" w:type="dxa"/>
              <w:left w:w="102" w:type="dxa"/>
              <w:bottom w:w="28" w:type="dxa"/>
              <w:right w:w="102" w:type="dxa"/>
            </w:tcMar>
          </w:tcPr>
          <w:p>
            <w:pPr>
              <w:spacing w:before="0" w:after="0" w:line="384" w:lineRule="auto"/>
              <w:ind w:left="0" w:right="0" w:firstLine="0"/>
              <w:jc w:val="center"/>
            </w:pPr>
            <w:r>
              <w:rPr>
                <w:rFonts w:ascii="돋움체" w:hAnsi="돋움체" w:eastAsia="돋움체"/>
                <w:b/>
                <w:i w:val="0"/>
                <w:color w:val="000000"/>
                <w:sz w:val="16"/>
                <w:u w:val="none"/>
              </w:rPr>
              <w:t>법리적 시사점</w:t>
            </w:r>
          </w:p>
        </w:tc>
      </w:tr>
      <w:tr>
        <w:tc>
          <w:tcPr>
            <w:tcW w:type="dxa" w:w="2357"/>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돋움체" w:hAnsi="돋움체" w:eastAsia="돋움체"/>
                <w:b w:val="0"/>
                <w:i w:val="0"/>
                <w:color w:val="000000"/>
                <w:sz w:val="16"/>
                <w:u w:val="none"/>
              </w:rPr>
              <w:t>성과물의 적격성</w:t>
            </w:r>
          </w:p>
        </w:tc>
        <w:tc>
          <w:tcPr>
            <w:tcW w:type="dxa" w:w="3137"/>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돋움체" w:hAnsi="돋움체" w:eastAsia="돋움체"/>
                <w:b w:val="0"/>
                <w:i w:val="0"/>
                <w:color w:val="000000"/>
                <w:sz w:val="16"/>
                <w:u w:val="none"/>
              </w:rPr>
              <w:t>- 수년간 수십억 원의 비용과 인력을 투입하여 숙박 정보 취합·정리</w:t>
            </w:r>
          </w:p>
          <w:p>
            <w:pPr>
              <w:spacing w:before="0" w:after="0" w:line="384" w:lineRule="auto"/>
              <w:ind w:left="0" w:right="0" w:firstLine="0"/>
              <w:jc w:val="both"/>
            </w:pPr>
            <w:r>
              <w:rPr>
                <w:rFonts w:ascii="돋움체" w:hAnsi="돋움체" w:eastAsia="돋움체"/>
                <w:b w:val="0"/>
                <w:i w:val="0"/>
                <w:color w:val="000000"/>
                <w:sz w:val="16"/>
                <w:u w:val="none"/>
              </w:rPr>
              <w:t>- 실시간 예약 시스템 구축 및 체계적 분류로 상업적 가치 부여</w:t>
            </w:r>
          </w:p>
        </w:tc>
        <w:tc>
          <w:tcPr>
            <w:tcW w:type="dxa" w:w="3176"/>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돋움체" w:hAnsi="돋움체" w:eastAsia="돋움체"/>
                <w:b w:val="0"/>
                <w:i w:val="0"/>
                <w:color w:val="000000"/>
                <w:sz w:val="16"/>
                <w:u w:val="none"/>
              </w:rPr>
              <w:t>개별 정보가 공공 영역에 속하더라도, 상당한 투자와 노력으로 가공된 데이터베이스는 독자적 성과물로 인정</w:t>
            </w:r>
          </w:p>
        </w:tc>
      </w:tr>
      <w:tr>
        <w:tc>
          <w:tcPr>
            <w:tcW w:type="dxa" w:w="2357"/>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돋움체" w:hAnsi="돋움체" w:eastAsia="돋움체"/>
                <w:b w:val="0"/>
                <w:i w:val="0"/>
                <w:color w:val="000000"/>
                <w:sz w:val="16"/>
                <w:u w:val="none"/>
              </w:rPr>
              <w:t>행위의 부정성</w:t>
            </w:r>
          </w:p>
        </w:tc>
        <w:tc>
          <w:tcPr>
            <w:tcW w:type="dxa" w:w="3137"/>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돋움체" w:hAnsi="돋움체" w:eastAsia="돋움체"/>
                <w:b w:val="0"/>
                <w:i w:val="0"/>
                <w:color w:val="000000"/>
                <w:sz w:val="16"/>
                <w:u w:val="none"/>
              </w:rPr>
              <w:t>- 무임승차 목적의 주관적 의도 인지</w:t>
            </w:r>
          </w:p>
          <w:p>
            <w:pPr>
              <w:spacing w:before="0" w:after="0" w:line="384" w:lineRule="auto"/>
              <w:ind w:left="0" w:right="0" w:firstLine="0"/>
              <w:jc w:val="both"/>
            </w:pPr>
            <w:r>
              <w:rPr>
                <w:rFonts w:ascii="돋움체" w:hAnsi="돋움체" w:eastAsia="돋움체"/>
                <w:b w:val="0"/>
                <w:i w:val="0"/>
                <w:color w:val="000000"/>
                <w:sz w:val="16"/>
                <w:u w:val="none"/>
              </w:rPr>
              <w:t>- API/IP 차단 조치를 다수의 가상 IP로 우회</w:t>
            </w:r>
          </w:p>
          <w:p>
            <w:pPr>
              <w:spacing w:before="0" w:after="0" w:line="384" w:lineRule="auto"/>
              <w:ind w:left="0" w:right="0" w:firstLine="0"/>
              <w:jc w:val="both"/>
            </w:pPr>
            <w:r>
              <w:rPr>
                <w:rFonts w:ascii="돋움체" w:hAnsi="돋움체" w:eastAsia="돋움체"/>
                <w:b w:val="0"/>
                <w:i w:val="0"/>
                <w:color w:val="000000"/>
                <w:sz w:val="16"/>
                <w:u w:val="none"/>
              </w:rPr>
              <w:t>- 플랫폼 이용약관상 크롤링 금지 조항을 정면 위반</w:t>
            </w:r>
          </w:p>
        </w:tc>
        <w:tc>
          <w:tcPr>
            <w:tcW w:type="dxa" w:w="3176"/>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돋움체" w:hAnsi="돋움체" w:eastAsia="돋움체"/>
                <w:b w:val="0"/>
                <w:i w:val="0"/>
                <w:color w:val="000000"/>
                <w:sz w:val="16"/>
                <w:u w:val="none"/>
              </w:rPr>
              <w:t>단순 수집을 넘어 기술적·제도적 보호 조치를 무력화한 크롤링은 공정한 경쟁질서에 반하는 위법한 수단</w:t>
            </w:r>
          </w:p>
        </w:tc>
      </w:tr>
      <w:tr>
        <w:tc>
          <w:tcPr>
            <w:tcW w:type="dxa" w:w="2357"/>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돋움체" w:hAnsi="돋움체" w:eastAsia="돋움체"/>
                <w:b w:val="0"/>
                <w:i w:val="0"/>
                <w:color w:val="000000"/>
                <w:sz w:val="16"/>
                <w:u w:val="none"/>
              </w:rPr>
              <w:t>경제적 이익의 침해</w:t>
            </w:r>
          </w:p>
        </w:tc>
        <w:tc>
          <w:tcPr>
            <w:tcW w:type="dxa" w:w="3137"/>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돋움체" w:hAnsi="돋움체" w:eastAsia="돋움체"/>
                <w:b w:val="0"/>
                <w:i w:val="0"/>
                <w:color w:val="000000"/>
                <w:sz w:val="16"/>
                <w:u w:val="none"/>
              </w:rPr>
              <w:t>- 무단 수집 데이터 기반의 서비스 고도화로 시장 선점 효과 무력화</w:t>
            </w:r>
          </w:p>
          <w:p>
            <w:pPr>
              <w:spacing w:before="0" w:after="0" w:line="384" w:lineRule="auto"/>
              <w:ind w:left="0" w:right="0" w:firstLine="0"/>
              <w:jc w:val="both"/>
            </w:pPr>
            <w:r>
              <w:rPr>
                <w:rFonts w:ascii="돋움체" w:hAnsi="돋움체" w:eastAsia="돋움체"/>
                <w:b w:val="0"/>
                <w:i w:val="0"/>
                <w:color w:val="000000"/>
                <w:sz w:val="16"/>
                <w:u w:val="none"/>
              </w:rPr>
              <w:t>- 잠재적 고객층 흡수를 통한 실질적 영업 손실 및 신용 훼손 야기</w:t>
            </w:r>
          </w:p>
        </w:tc>
        <w:tc>
          <w:tcPr>
            <w:tcW w:type="dxa" w:w="3176"/>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돋움체" w:hAnsi="돋움체" w:eastAsia="돋움체"/>
                <w:b w:val="0"/>
                <w:i w:val="0"/>
                <w:color w:val="000000"/>
                <w:sz w:val="16"/>
                <w:u w:val="none"/>
              </w:rPr>
              <w:t>경쟁 관계에서 발생한 데이터 무단 도용은 채권자의 경제적 이익 및 신용을 직접적으로 침해한 것으로 판시</w:t>
            </w:r>
          </w:p>
        </w:tc>
      </w:tr>
    </w:tbl>
    <w:p>
      <w:pPr>
        <w:spacing w:before="0" w:after="0" w:line="384" w:lineRule="auto"/>
        <w:ind w:left="0" w:right="0" w:firstLine="40"/>
        <w:jc w:val="both"/>
      </w:pP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 본 판결은 지식재산권법상 저작권이나 영업비밀로 보호받기 어려운 ‘개방형 데이터’라 할지라도, 부정경쟁방지법 파목을 통해 독자적인 보호가 가능함을 명확히 했다는 점에서 의의가 있다. 결국 데이터의 대외적 공개성이 경쟁 관계에서의 자유로운 무단 도용까지 면책해 주는 것은 아님을 확인한 리딩 케이스이다.</w:t>
      </w:r>
      <w:r>
        <w:rPr>
          <w:rStyle w:val="FootnoteReference"/>
        </w:rPr>
        <w:footnoteReference w:id="28"/>
        <w:t>)</w:t>
      </w:r>
      <w:r>
        <w:rPr>
          <w:rFonts w:ascii="한양신명조" w:hAnsi="한양신명조" w:eastAsia="한양신명조"/>
          <w:b w:val="0"/>
          <w:i w:val="0"/>
          <w:sz w:val="20"/>
          <w:u w:val="none"/>
          <w:color w:val="000000"/>
          <w:spacing w:val="-10"/>
        </w:rPr>
        <w:t xml:space="preserve"> </w:t>
      </w:r>
      <w:r>
        <w:rPr>
          <w:rFonts w:ascii="한양신명조" w:hAnsi="한양신명조" w:eastAsia="한양신명조"/>
          <w:b w:val="0"/>
          <w:i w:val="0"/>
          <w:sz w:val="20"/>
          <w:u w:val="none"/>
          <w:color w:val="000000"/>
          <w:spacing w:val="-10"/>
        </w:rPr>
        <w:t>다만, 해당 사건은 직접적인 경쟁 관계에 있는 기업 간에 동일한 성격의 대체 서비스를 구축할 목적으로 무단 크롤링이 이루어졌다는 점에서 전형적이고 직접적인 '경제적 이익 침해'를 보여준다. 반면, 생성형 AI 학습을 위한 오픈 웹 데이터 크롤링은 원천 데이터를 있는 그대로 복제하여 서비스하는 것이 아니라, AI 모델의 파라미터를 최적화하고 학습시키기 위해 데이터를 분해하고 변형하는 과정을 거친다. 따라서 AI의 산출물은 원본 데이터의 형태를 띠지 않으며, 원천 데이터의 직접적인 대체재로 기능하지 않을 가능성도 존재한다.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이 지점에서 파목의 성립 요건 중 하나인 '타인의 경제적 이익 침해'를 생성형 AI에 어떻게 적용할 것인지가 새로운 쟁점으로 부상한다. 생성형 AI 서비스가 이용자의 질의에 직접 완성된 답변을 제공함으로써 원본 데이터 제공 플랫폼으로 유입되어야 할 트래픽을 자체 생태계 내에 가두고 원 저작권자의 검색 의존도 및 광고 수익을 낮추는 경우, 또는 원천 데이터의 상업적 라이선싱 기회를 원천적으로 박탈하는 경우 등은 실질적인 경제적 이익의 침해로 구성될 수 있다. 즉, 파목상 대체재의 성격과 경제적 이익 침해의 범위를 '동일한 복제 서비스의 출시'에서 '트래픽 및 검색 시장의 선점 효과 상실'로 확장하여 해석해야만 생성형 AI 시대의 새로운 부정경쟁행위를 타당하게 규율할 수 있을 것이다.</w:t>
      </w:r>
    </w:p>
    <w:p>
      <w:pPr>
        <w:spacing w:before="0" w:after="0" w:line="384" w:lineRule="auto"/>
        <w:ind w:left="0" w:right="0" w:firstLine="40"/>
        <w:jc w:val="both"/>
      </w:pPr>
    </w:p>
    <w:p>
      <w:pPr>
        <w:spacing w:before="0" w:after="140" w:line="384" w:lineRule="auto"/>
        <w:ind w:left="0" w:right="0" w:firstLine="200"/>
        <w:jc w:val="left"/>
      </w:pPr>
      <w:r>
        <w:rPr>
          <w:rFonts w:ascii="돋움체" w:hAnsi="돋움체" w:eastAsia="돋움체"/>
          <w:b w:val="0"/>
          <w:i w:val="0"/>
          <w:color w:val="000000"/>
          <w:sz w:val="22"/>
          <w:u w:val="none"/>
        </w:rPr>
        <w:t xml:space="preserve">3. </w:t>
      </w:r>
      <w:r>
        <w:rPr>
          <w:rFonts w:ascii="돋움체" w:hAnsi="돋움체" w:eastAsia="돋움체"/>
          <w:b w:val="0"/>
          <w:i w:val="0"/>
          <w:color w:val="000000"/>
          <w:sz w:val="22"/>
          <w:u w:val="none"/>
        </w:rPr>
        <w:t>기존 성과중심론과 오픈 데이터 보호에 대한 사법적 이해의 구조적 한계</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 카목은</w:t>
      </w:r>
      <w:r>
        <w:rPr>
          <w:rFonts w:ascii="한양신명조" w:hAnsi="한양신명조" w:eastAsia="한양신명조"/>
          <w:b w:val="0"/>
          <w:i w:val="0"/>
          <w:sz w:val="20"/>
          <w:u w:val="none"/>
          <w:color w:val="000000"/>
          <w:spacing w:val="-10"/>
        </w:rPr>
        <w:t xml:space="preserve"> 보호 대상을 “업으로서 특정인 또는 특정 다수에게 제공되는 것”으로 한정하는 '대외적 한정성'을 핵심 요건으로 한다. 그러나 생성형 AI 학습에 쓰이는 수천억 건의 뉴스, 블로그, 포스트 등은 누구나 제한 없이 접근할 수 있는 완전 개방형 오픈 웹 데이터이므로 카목의 보호 범위를 벗어나는 구조적 사각지대가 발생한다. 게다가 AI 기업들의 통상적인 크롤링은 불법 해킹이나 기망이 아닌 공개 페이지 스크래핑을 통하므로 카목이 열거한 부정한 취득·유통 등 악의적 유형에 포섭되기도 어렵다. 이에 따라 생성형 AI 학습 데이터 침해 구제는 실질적으로 성과도용 일반조항인 동호 파목을 통한 법리적 다툼으로 귀결된다.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 생성형 AI 학습 크롤링이 파목상 성과도용 부정경쟁행위에 해당하는지 여부는 대법원이 확립한 3대 핵심 성립 요건을 기준으로 구체적으로 판단되어야 한다. 첫째, 성과물 적격성 측면에서 데이터 보유자가 수년간 막대한 인적·물적 자본을 들여 원시 정보를 수집하고 정제, 라벨링, 인덱싱을 거쳐 기계학습에 유용한 상태로 제작해 둔 데이터베이스(DB)라면, 이는 단순 정보의 조각이 아니라 파목상 보호받는 ‘상당한 투자나 노력으로 만들어진 성과’로 인정된다. 둘째, 공정한 상거래 관행 위배 여부로서 정당한 라이선스 계약이나 대가 지급 없이 데이터를 크롤링하여 AI 모델을 고도화하는 행위는 타인의 투자에 무단 편승하는 위법한 행위 태양에 해당할 여지가 크다. 셋째, 경제적 이익 침해와 관련하여 대량 탈취한 데이터 학습을 통해 원천 데이터의 시장 가치를 무력화하거나 대체 경쟁 제품을 출시한다면 실질적인 경제적 피해를 야기한 것으로 볼 수 있다.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 그러나 이러한 전통적 ‘성과중심론’, 권리자가 투입한 비용과 노력에만 치중하여 객체 자체의 독점권을 인정하려는 사법적 심리 방식을 오픈 웹 데이터 환경에 그대로 투영하는 데에는 법리적 한계와 딜레마가 수반된다. </w:t>
      </w:r>
      <w:r>
        <w:rPr>
          <w:rFonts w:ascii="한양신명조" w:hAnsi="한양신명조" w:eastAsia="한양신명조"/>
          <w:b w:val="0"/>
          <w:i w:val="0"/>
          <w:sz w:val="20"/>
          <w:u w:val="none"/>
          <w:color w:val="000000"/>
          <w:spacing w:val="-10"/>
        </w:rPr>
        <w:t>파목의 핵심 기준인 ‘공정한 상거래 관행 위반’이라는 개념이 추상적이어서, 이를 광범위하게 확대 적용하면 사법부의 사후적·주관적 판단에 의존하게 되어 수범자의 예측 가능성을 저해하기 때문이다. 지식재산 법치주의 관점에서 부정경쟁방지법은 ‘보충성의 원칙’을 준수해야 하며, 저작권법은 신기술 발전을 위해 TDM 면책이나 공정이용 가이드라인을 폭넓게 모색하는 추세이다. 그러나 저작권법상 허용되거나 면책 가능한 생성형 AI 학습 복제조차 부정경쟁방지법 파목을 통해 일괄 위법으로 판시된다면, 입법자가 설계한 법률 간의 균형과 공정이용 구조가 무너진다. 나아가 이러한 과도한 규제는 데이터 확보 비용 조달이 어려운 스타트업이나 후발 주자들의 기술 연구를 가로막아 국내 AI 산업의 성장 동력을 저해하는 규제의 딜레마를 초래한다. 결국 현행 부정경쟁방지법의 크롤링 관련 규정 및 종래의 성과중심적 사법 태도는 대규모 오픈 웹 데이터를 활용하는 생성형 AI 학습의 기술적 특성을 규율하기에 구조적 한계를 드러내고 있다. 이에 데이터 자체의 독점권 유무를 다투는 결과불법의 해석에서 벗어나, 데이터를 수집·이용하는 수단과 방식의 부당성을 가려내는 '행위중심론'으로의 해석론적 패러다임 전환이 요구된다.</w:t>
      </w:r>
      <w:r>
        <w:rPr>
          <w:rStyle w:val="FootnoteReference"/>
        </w:rPr>
        <w:footnoteReference w:id="29"/>
        <w:t>)</w:t>
      </w:r>
      <w:r>
        <w:rPr>
          <w:rFonts w:ascii="한양신명조" w:hAnsi="한양신명조" w:eastAsia="한양신명조"/>
          <w:b w:val="0"/>
          <w:i w:val="0"/>
          <w:sz w:val="20"/>
          <w:u w:val="none"/>
          <w:color w:val="000000"/>
          <w:spacing w:val="-10"/>
        </w:rPr>
      </w:r>
    </w:p>
    <w:p>
      <w:pPr>
        <w:spacing w:before="0" w:after="0" w:line="384" w:lineRule="auto"/>
        <w:ind w:left="0" w:right="0" w:firstLine="40"/>
        <w:jc w:val="both"/>
      </w:pPr>
    </w:p>
    <w:p>
      <w:pPr>
        <w:spacing w:before="0" w:after="0" w:line="480" w:lineRule="auto"/>
        <w:ind w:left="0" w:right="0" w:firstLine="0"/>
        <w:jc w:val="both"/>
      </w:pPr>
      <w:r>
        <w:rPr>
          <w:rFonts w:ascii="신명 태명조" w:hAnsi="신명 태명조" w:eastAsia="신명 태명조"/>
          <w:b/>
          <w:i w:val="0"/>
          <w:color w:val="000000"/>
          <w:sz w:val="24"/>
          <w:u w:val="none"/>
        </w:rPr>
        <w:t>V. 부정경쟁방지법 제2조 제1호 (파)목의 행위 중심 위법성 판단에 대한 해석론적 접근</w:t>
      </w:r>
    </w:p>
    <w:p>
      <w:pPr>
        <w:spacing w:before="0" w:after="0" w:line="384" w:lineRule="auto"/>
        <w:ind w:left="0" w:right="0" w:firstLine="0"/>
        <w:jc w:val="both"/>
      </w:pPr>
    </w:p>
    <w:p>
      <w:pPr>
        <w:spacing w:before="0" w:after="140" w:line="384" w:lineRule="auto"/>
        <w:ind w:left="0" w:right="0" w:firstLine="200"/>
        <w:jc w:val="left"/>
      </w:pPr>
      <w:r>
        <w:rPr>
          <w:rFonts w:ascii="돋움체" w:hAnsi="돋움체" w:eastAsia="돋움체"/>
          <w:b w:val="0"/>
          <w:i w:val="0"/>
          <w:color w:val="000000"/>
          <w:sz w:val="22"/>
          <w:u w:val="none"/>
        </w:rPr>
        <w:t xml:space="preserve">1. 성과도용 일반조항 (파)목상 행위 중심적 위법성 판단 해석 </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현행 사법 실무가 오픈 웹상의 대규모 크롤링 행위에 대하여 부정경쟁방지법 제2조 제1호 파목의 적용 여부를 심리할 때, 일차적으로 부딪히는 법리적 난제는 수집 대상인 개방형 데이터가 과연 독점적 보호의 자격을 갖춘 '성과 등'에 해당하는지 여부이다. 종래 하급심은 권리자가 투입한 상당한 비용과 노력(투자 상당성)을 증명하는 데 치중하는 경향을 보였다.</w:t>
      </w:r>
      <w:r>
        <w:rPr>
          <w:rStyle w:val="FootnoteReference"/>
        </w:rPr>
        <w:footnoteReference w:id="30"/>
        <w:t>)</w:t>
      </w:r>
      <w:r>
        <w:rPr>
          <w:rFonts w:ascii="한양신명조" w:hAnsi="한양신명조" w:eastAsia="한양신명조"/>
          <w:b w:val="0"/>
          <w:i w:val="0"/>
          <w:sz w:val="20"/>
          <w:u w:val="none"/>
          <w:color w:val="000000"/>
          <w:spacing w:val="-10"/>
        </w:rPr>
        <w:t xml:space="preserve"> 그러나 계약적·기술적 제약 없이 누구나 접근할 수 있는 오픈 데이터의 특성상, 이를 특정 주체의 배타적 독점 성과물로 인정하는 것은 저작권법이 설정한 '공공 영역'의 가치와 충돌하며 사법부가 개별 지식재산권법상의 한계를 우회한다는 비판을 피하기 어렵다.</w:t>
      </w:r>
      <w:r>
        <w:rPr>
          <w:rStyle w:val="FootnoteReference"/>
        </w:rPr>
        <w:footnoteReference w:id="31"/>
        <w:t>)</w:t>
      </w:r>
      <w:r>
        <w:rPr>
          <w:rFonts w:ascii="한양신명조" w:hAnsi="한양신명조" w:eastAsia="한양신명조"/>
          <w:b w:val="0"/>
          <w:i w:val="0"/>
          <w:sz w:val="20"/>
          <w:u w:val="none"/>
          <w:color w:val="000000"/>
          <w:spacing w:val="-10"/>
        </w:rPr>
        <w:t xml:space="preserve"> 따라서, 이를 극복하기 위해서는 부정경쟁방지법의 본질적 기능에 부합하는 해석론적 패러다임의 전환이 요구된다.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전술한 바와 같이, 부정경쟁방지법은 실체법적 요건을 갖춘 대상에 배타적 지배권을 설정하는 '권리부여법'이 아니라, 시장 내의 불공정 경쟁 행위 태양을 직접 금지하고 조율하는 '행위규제법'의 성격을 지닌다. 따라서 생성형 AI 학습용 크롤링에 대한 파목의 해석 기준은 ‘무엇을 수집했는가’라는 객체 중심적 심리에서 벗어나, AI 개발사가 데이터를 수집하고 이용하는 과정에서 ‘어떠한 수단과 방법을 사용했는가’라는 관점으로 전환되어야 한다. 이러한 행위 중심의 해석론 하에서는, 데이터 자체의 배타적 독점권은 부정하더라도 수집 주체가 정당한 신의성실의 원칙을 위배하고 공정한 거래 질서를 무너뜨리는 구체적인 행위의 부당성이 인정된다면 파목의 부정경쟁행위 성립을 긍정할 수 있는 사법적 정당성이 확보될 수 있을 것이다. 즉, 결과불법의 해석에서 행위불법의 방향으로 해석을 재편해야 하는 것이다.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다만, 이러한 행위 중심적 해석론으로의 전환이 부정경쟁방지법 파목의 무제한적 확장을 의미하는 것은 아니다. 개별 지식재산권법과의 법질서적 조화를 도모하기 위해 파목의 적용은 보충성의 원칙에 의해 엄격히 통제될 필요가 있다. 단순히 공개된 저작물이나 데이터를 AI 학습 목적으로 수집·이용하였다는 결과만으로는 곧바로 파목의 위법성을 단정할 수 없다. 저작권법상 텍스트·데이터 마이닝(TDM)이나 공정이용의 범위를 벗어나 부정경쟁방지법이 보충적으로 개입하기 위해서는, ① 데이터 보유자가 명시적·기술적 거부 의사를 표시했음에도 이를 기망적으로 우회한 정황과 ② 이미 정립되거나 형성 가능성이 현저한 데이터 라이선싱 시장에서의 정상적인 대가 협상을 의도적으로 회피·탈취한 정황이 구체적으로 요구된다. </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나아가, 후술할 '공정한 상거래 관행 위배'와 경제적 이익 침해'는 개별적으로 기계적 충족을 요구하는 완전 독립된 요건이라기보다는, 사법적 위법성의 유무 및 정도를 가름하기 위한 종합판단요소로 포섭함이 타당하다. 실무상 기술적 차단 조치의 우회 의도나 그 입증이 단편적, 개별적으로 명확히 입증되기 어려운 한계가 존재하므로, 사법부는 어느 한 요소의 형식적 성립 여부에 매몰되기보다 두 요소를 이익형량하여 종합적인 위법성 여부를 평가해야 할 것이다.</w:t>
      </w:r>
    </w:p>
    <w:p>
      <w:pPr>
        <w:spacing w:before="0" w:after="0" w:line="384" w:lineRule="auto"/>
        <w:ind w:left="0" w:right="0" w:firstLine="40"/>
        <w:jc w:val="both"/>
      </w:pPr>
    </w:p>
    <w:p>
      <w:pPr>
        <w:spacing w:before="0" w:after="140" w:line="384" w:lineRule="auto"/>
        <w:ind w:left="0" w:right="0" w:firstLine="200"/>
        <w:jc w:val="left"/>
      </w:pPr>
      <w:r>
        <w:rPr>
          <w:rFonts w:ascii="돋움체" w:hAnsi="돋움체" w:eastAsia="돋움체"/>
          <w:b w:val="0"/>
          <w:i w:val="0"/>
          <w:color w:val="000000"/>
          <w:sz w:val="22"/>
          <w:u w:val="none"/>
        </w:rPr>
        <w:t>2. 기술적 통제 우회와 라이선싱 시장 침해를 통한 성과도용 일반조항 (파)목의 해석</w:t>
      </w:r>
    </w:p>
    <w:p>
      <w:pPr>
        <w:spacing w:before="0" w:after="140" w:line="384" w:lineRule="auto"/>
        <w:ind w:left="220" w:right="0" w:firstLine="200"/>
        <w:jc w:val="left"/>
      </w:pPr>
      <w:r>
        <w:rPr>
          <w:rFonts w:ascii="돋움체" w:hAnsi="돋움체" w:eastAsia="돋움체"/>
          <w:b w:val="0"/>
          <w:i w:val="0"/>
          <w:color w:val="000000"/>
          <w:sz w:val="22"/>
          <w:u w:val="none"/>
        </w:rPr>
        <w:t>1) ‘공정한 상거래 관행 위배’ 요건</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그러나, 단순히 권리자의 허락 없이 데이터를 수집했다는 결과만으로는 파목의 위법성을 단정할 수 없다. 이에 본고는 콘텐츠 보유자가 구축한 기술적 거부 의사 및 통제 조치를 고의로 무력화했는지 여부를 공정한 상거래 관행 위배 여부를 가름하는 구체적인 판단 표지로 제시한다. ‘행위불법’의 관점에서 구체화된 해당 표지는 데이터 보유자가 구축한 기술적 거부 의사 및 통제 조치를 고의로 무력화했는지의 여부를 핵심 판단 표지로 삼는다. </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첫째, 국제 웹 표준 규약(robots.txt)의 고의적, 체계적 위반 여부이다. robots.txt는 법적 강제력이 없는 자율적 프로토콜에 불과하나, 이를 설정하여 생성형 AI 학습 목적의 크롤링 거부 의사를 명시했음에도 고의로 무시하고 데이터를 수집했다면 이는 객관적인 거래상의 주의의무 위반으로 평가될 수 있다. 둘째, 기술적 차단 조치에 대한 기망적 우회 여부이다. 서버 부하 방지 및 데이터 보호를 위한 IP 차단 시스템이나 API 호출 제한을 회피하기 위해 가상 프록시 IP를 무작위로 변경하거나, 크롤러의 식별자(User-Agent)를 일반 검색 봇인 것처럼 위장하여 접근한 경우, 이는 불공정 경쟁의 관점에서 '수단과 방법의 부당성'을 구성하는 핵심적인 위법성 징표가 된다.</w:t>
      </w:r>
    </w:p>
    <w:p>
      <w:pPr>
        <w:spacing w:before="0" w:after="0" w:line="384" w:lineRule="auto"/>
        <w:ind w:left="0" w:right="0" w:firstLine="40"/>
        <w:jc w:val="both"/>
      </w:pPr>
    </w:p>
    <w:p>
      <w:pPr>
        <w:spacing w:before="0" w:after="140" w:line="384" w:lineRule="auto"/>
        <w:ind w:left="220" w:right="0" w:firstLine="200"/>
        <w:jc w:val="left"/>
      </w:pPr>
      <w:r>
        <w:rPr>
          <w:rFonts w:ascii="돋움체" w:hAnsi="돋움체" w:eastAsia="돋움체"/>
          <w:b w:val="0"/>
          <w:i w:val="0"/>
          <w:color w:val="000000"/>
          <w:sz w:val="22"/>
          <w:u w:val="none"/>
        </w:rPr>
        <w:t>2) ‘경제적 이익 침해’ 요건</w:t>
      </w:r>
    </w:p>
    <w:p>
      <w:pPr>
        <w:spacing w:before="0" w:after="0" w:line="384" w:lineRule="auto"/>
        <w:ind w:left="0" w:right="0" w:firstLine="0"/>
        <w:jc w:val="both"/>
      </w:pPr>
      <w:r>
        <w:rPr>
          <w:rFonts w:ascii="한양신명조" w:hAnsi="한양신명조" w:eastAsia="한양신명조"/>
          <w:b w:val="0"/>
          <w:i w:val="0"/>
          <w:color w:val="000000"/>
          <w:sz w:val="20"/>
          <w:u w:val="none"/>
        </w:rPr>
        <w:t>파목의 성립을 위한 또 다른 핵심 요건인 '경제적 이익 침해' 역시 전통적인 물리적 시장 대체성(원본 서비스의 트래픽 잠식)을 넘어 새롭게 재해석 되어야 한다. 생성형 AI 개발사들은 자신들과 원 컨텐츠 보유자 사이 직접적인 경쟁 관계의 부재를 이유로 시장대체 가능성이 낮다는 항변을 제기한다. 이는 수집한 데이터를 원형 그대로 복제해 전시하거나 제3자에게 전송하지 않고, 이를 통계적 규칙으로 해체해 매개변수에 흡수하는 비표현적 이용을 취하므로 권리자의 플랫폼 트래픽을 직접적으로 대체하지 않는다는 논리이다.</w:t>
      </w:r>
      <w:r>
        <w:rPr>
          <w:rStyle w:val="FootnoteReference"/>
        </w:rPr>
        <w:footnoteReference w:id="32"/>
        <w:t>)</w:t>
      </w:r>
      <w:r>
        <w:rPr>
          <w:rFonts w:ascii="한양신명조" w:hAnsi="한양신명조" w:eastAsia="한양신명조"/>
          <w:b w:val="0"/>
          <w:i w:val="0"/>
          <w:color w:val="000000"/>
          <w:sz w:val="20"/>
          <w:u w:val="none"/>
        </w:rPr>
        <w:t xml:space="preserve"> 그러나, 전통적인 물리적 대체성이나 동종 업종 간 직접적 경쟁관계라는 기준 대신, 기술 발전에 발맞춘 잠재적 경쟁 질서의 왜곡 가능성까지 경제적 이익 침해의 범주에 포함하는 새로운 패러다임의 해석론을 정립할 필요가 있다. 학습된 데이터에 대한 이익 침해의 구체적 실체는 현실에 실재하는 생성형 AI 학습을 위한 데이터 라이선싱 시장에 대한 침탈을 통해 규명될 수 있다. 데이터 보유자가 전술한 기술적 의사 표시를 통해 명시적으로 웹 크롤링에 대한 거부 의사를 표명했음에도 불구하고, AI 개발사가 이러한 기술적 통제 장치를 우회하여 데이터를 수집했다면 이는 권리자가 형성한 정당한 데이터 거래 대가 회수의 기회, 즉 ‘잠재적 라이선스 가치’를 직접적으로 박탈하는 위법한 행위에 해당한다.</w:t>
      </w:r>
      <w:r>
        <w:rPr>
          <w:rStyle w:val="FootnoteReference"/>
        </w:rPr>
        <w:footnoteReference w:id="33"/>
        <w:t>)</w:t>
      </w:r>
      <w:r>
        <w:rPr>
          <w:rFonts w:ascii="한양신명조" w:hAnsi="한양신명조" w:eastAsia="한양신명조"/>
          <w:b w:val="0"/>
          <w:i w:val="0"/>
          <w:color w:val="000000"/>
          <w:sz w:val="20"/>
          <w:u w:val="none"/>
        </w:rPr>
        <w:t xml:space="preserve"> 이러한 대가 회수 기회의 상실은 단순한 가상적 기대이익의 상실을 넘어, 부정경쟁방지법 파목이 구제하고자 하는 법적으로 보호할 가치가 있는 경제적 이익에 대한 실질적 침해를 구성하기 때문이다. 결국, 경제적 이익 침해 요건 성립을 판단할 때 해당 데이터 도메인 내에 합리적 대가를 지불하는 상거래 관행이 형성되고 있는지를 평가하여, 정당한 라이선스 계약 협상을 고의적으로 회피하고 무단 수집을 감행한 행위에 대해서는 제한적으로 파목 위반을 인정하는 방향으로 해석할 수 있다.</w:t>
      </w:r>
    </w:p>
    <w:p>
      <w:pPr>
        <w:spacing w:before="0" w:after="0" w:line="384" w:lineRule="auto"/>
        <w:ind w:left="0" w:right="0" w:firstLine="40"/>
        <w:jc w:val="both"/>
      </w:pPr>
    </w:p>
    <w:p>
      <w:pPr>
        <w:spacing w:before="0" w:after="0" w:line="384" w:lineRule="auto"/>
        <w:ind w:left="0" w:right="0" w:firstLine="40"/>
        <w:jc w:val="center"/>
      </w:pPr>
      <w:r>
        <w:rPr>
          <w:rFonts w:ascii="돋움체" w:hAnsi="돋움체" w:eastAsia="돋움체"/>
          <w:b w:val="0"/>
          <w:i w:val="0"/>
          <w:sz w:val="20"/>
          <w:u w:val="none"/>
          <w:color w:val="000000"/>
          <w:spacing w:val="-10"/>
        </w:rPr>
        <w:t>[표 2] 부정경쟁방지법 제2조 제1호 (파)목 적용을 위한 요건별 판단 표지</w:t>
      </w:r>
      <w:r>
        <w:rPr>
          <w:rStyle w:val="FootnoteReference"/>
        </w:rPr>
        <w:footnoteReference w:id="34"/>
        <w:t>)</w:t>
      </w:r>
      <w:r>
        <w:rPr>
          <w:rFonts w:ascii="돋움체" w:hAnsi="돋움체" w:eastAsia="돋움체"/>
          <w:b w:val="0"/>
          <w:i w:val="0"/>
          <w:sz w:val="20"/>
          <w:u w:val="none"/>
          <w:color w:val="000000"/>
          <w:spacing w:val="-10"/>
        </w:rPr>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r>
    </w:p>
    <w:tbl>
      <w:tblPr>
        <w:tblW w:type="auto" w:w="0"/>
        <w:jc w:val="center"/>
        <w:tblLayout w:type="fixed"/>
        <w:tblLook w:firstColumn="1" w:firstRow="1" w:lastColumn="0" w:lastRow="0" w:noHBand="0" w:noVBand="1" w:val="04A0"/>
        <w:tblBorders>
          <w:left w:val="single" w:color="000000" w:sz="3"/>
          <w:right w:val="single" w:color="000000" w:sz="3"/>
          <w:top w:val="single" w:color="000000" w:sz="3"/>
          <w:bottom w:val="single" w:color="000000" w:sz="3"/>
        </w:tblBorders>
      </w:tblPr>
      <w:tblGrid>
        <w:gridCol w:w="2074"/>
        <w:gridCol w:w="1835"/>
        <w:gridCol w:w="4761"/>
      </w:tblGrid>
      <w:tr>
        <w:tc>
          <w:tcPr>
            <w:tcW w:type="dxa" w:w="2074"/>
            <w:vAlign w:val="center"/>
            <w:tcBorders>
              <w:left w:val="single" w:color="000000" w:sz="3"/>
              <w:right w:val="single" w:color="000000" w:sz="3"/>
              <w:top w:val="single" w:color="000000" w:sz="3"/>
              <w:bottom w:val="single" w:color="000000" w:sz="3"/>
            </w:tcBorders>
            <w:shd w:fill="E5E5E5"/>
            <w:tcMar>
              <w:top w:w="28" w:type="dxa"/>
              <w:left w:w="102" w:type="dxa"/>
              <w:bottom w:w="28" w:type="dxa"/>
              <w:right w:w="102" w:type="dxa"/>
            </w:tcMar>
          </w:tcPr>
          <w:p>
            <w:pPr>
              <w:spacing w:before="0" w:after="0" w:line="384" w:lineRule="auto"/>
              <w:ind w:left="0" w:right="0" w:firstLine="0"/>
              <w:jc w:val="center"/>
            </w:pPr>
            <w:r>
              <w:rPr>
                <w:rFonts w:ascii="돋움체" w:hAnsi="돋움체" w:eastAsia="돋움체"/>
                <w:b/>
                <w:i w:val="0"/>
                <w:color w:val="000000"/>
                <w:sz w:val="16"/>
                <w:u w:val="none"/>
              </w:rPr>
              <w:t>(파)목상 요건</w:t>
            </w:r>
          </w:p>
        </w:tc>
        <w:tc>
          <w:tcPr>
            <w:tcW w:type="dxa" w:w="1835"/>
            <w:vAlign w:val="center"/>
            <w:tcBorders>
              <w:left w:val="single" w:color="000000" w:sz="3"/>
              <w:right w:val="single" w:color="000000" w:sz="3"/>
              <w:top w:val="single" w:color="000000" w:sz="3"/>
              <w:bottom w:val="single" w:color="000000" w:sz="3"/>
            </w:tcBorders>
            <w:shd w:fill="E5E5E5"/>
            <w:tcMar>
              <w:top w:w="28" w:type="dxa"/>
              <w:left w:w="102" w:type="dxa"/>
              <w:bottom w:w="28" w:type="dxa"/>
              <w:right w:w="102" w:type="dxa"/>
            </w:tcMar>
          </w:tcPr>
          <w:p>
            <w:pPr>
              <w:spacing w:before="0" w:after="0" w:line="384" w:lineRule="auto"/>
              <w:ind w:left="0" w:right="0" w:firstLine="0"/>
              <w:jc w:val="center"/>
            </w:pPr>
            <w:r>
              <w:rPr>
                <w:rFonts w:ascii="돋움체" w:hAnsi="돋움체" w:eastAsia="돋움체"/>
                <w:b/>
                <w:i w:val="0"/>
                <w:color w:val="000000"/>
                <w:sz w:val="16"/>
                <w:u w:val="none"/>
              </w:rPr>
              <w:t>구체적 판단 표지</w:t>
            </w:r>
          </w:p>
        </w:tc>
        <w:tc>
          <w:tcPr>
            <w:tcW w:type="dxa" w:w="4761"/>
            <w:vAlign w:val="center"/>
            <w:tcBorders>
              <w:left w:val="single" w:color="000000" w:sz="3"/>
              <w:right w:val="single" w:color="000000" w:sz="3"/>
              <w:top w:val="single" w:color="000000" w:sz="3"/>
              <w:bottom w:val="single" w:color="000000" w:sz="3"/>
            </w:tcBorders>
            <w:shd w:fill="E5E5E5"/>
            <w:tcMar>
              <w:top w:w="28" w:type="dxa"/>
              <w:left w:w="102" w:type="dxa"/>
              <w:bottom w:w="28" w:type="dxa"/>
              <w:right w:w="102" w:type="dxa"/>
            </w:tcMar>
          </w:tcPr>
          <w:p>
            <w:pPr>
              <w:spacing w:before="0" w:after="0" w:line="384" w:lineRule="auto"/>
              <w:ind w:left="0" w:right="0" w:firstLine="0"/>
              <w:jc w:val="center"/>
            </w:pPr>
            <w:r>
              <w:rPr>
                <w:rFonts w:ascii="돋움체" w:hAnsi="돋움체" w:eastAsia="돋움체"/>
                <w:b/>
                <w:i w:val="0"/>
                <w:color w:val="000000"/>
                <w:sz w:val="16"/>
                <w:u w:val="none"/>
              </w:rPr>
              <w:t>세부 평가 내용</w:t>
            </w:r>
          </w:p>
        </w:tc>
      </w:tr>
      <w:tr>
        <w:tc>
          <w:tcPr>
            <w:tcW w:type="dxa" w:w="2074"/>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center"/>
            </w:pPr>
            <w:r>
              <w:rPr>
                <w:rFonts w:ascii="돋움체" w:hAnsi="돋움체" w:eastAsia="돋움체"/>
                <w:b w:val="0"/>
                <w:i w:val="0"/>
                <w:color w:val="000000"/>
                <w:sz w:val="16"/>
                <w:u w:val="none"/>
              </w:rPr>
              <w:t>공정한 상거래 관행 위배</w:t>
            </w:r>
          </w:p>
        </w:tc>
        <w:tc>
          <w:tcPr>
            <w:tcW w:type="dxa" w:w="1835"/>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center"/>
            </w:pPr>
            <w:r>
              <w:rPr>
                <w:rFonts w:ascii="돋움체" w:hAnsi="돋움체" w:eastAsia="돋움체"/>
                <w:b w:val="0"/>
                <w:i w:val="0"/>
                <w:color w:val="000000"/>
                <w:sz w:val="16"/>
                <w:u w:val="none"/>
              </w:rPr>
              <w:t>기술적 거부 의사의 고의적 무력화</w:t>
            </w:r>
          </w:p>
        </w:tc>
        <w:tc>
          <w:tcPr>
            <w:tcW w:type="dxa" w:w="4761"/>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center"/>
            </w:pPr>
            <w:r>
              <w:rPr>
                <w:rFonts w:ascii="돋움체" w:hAnsi="돋움체" w:eastAsia="돋움체"/>
                <w:b w:val="0"/>
                <w:i w:val="0"/>
                <w:color w:val="000000"/>
                <w:sz w:val="16"/>
                <w:u w:val="none"/>
              </w:rPr>
              <w:t>robots.txt를 통한 명시적인 AI 학습 목적 크롤링 거부 의사 유무</w:t>
            </w:r>
          </w:p>
          <w:p>
            <w:pPr>
              <w:spacing w:before="0" w:after="0" w:line="384" w:lineRule="auto"/>
              <w:ind w:left="0" w:right="0" w:firstLine="0"/>
              <w:jc w:val="center"/>
            </w:pPr>
            <w:r>
              <w:rPr>
                <w:rFonts w:ascii="돋움체" w:hAnsi="돋움체" w:eastAsia="돋움체"/>
                <w:b w:val="0"/>
                <w:i w:val="0"/>
                <w:color w:val="000000"/>
                <w:sz w:val="16"/>
                <w:u w:val="none"/>
              </w:rPr>
              <w:t>IP 차단 시스템의 의도적 우회 및 크롤러 식별자 위장을 통한 시스템 기망적 접근의 여부</w:t>
            </w:r>
          </w:p>
        </w:tc>
      </w:tr>
      <w:tr>
        <w:tc>
          <w:tcPr>
            <w:tcW w:type="dxa" w:w="2074"/>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center"/>
            </w:pPr>
            <w:r>
              <w:rPr>
                <w:rFonts w:ascii="돋움체" w:hAnsi="돋움체" w:eastAsia="돋움체"/>
                <w:b w:val="0"/>
                <w:i w:val="0"/>
                <w:color w:val="000000"/>
                <w:sz w:val="16"/>
                <w:u w:val="none"/>
              </w:rPr>
              <w:t>경제적 이익 침해</w:t>
            </w:r>
          </w:p>
        </w:tc>
        <w:tc>
          <w:tcPr>
            <w:tcW w:type="dxa" w:w="1835"/>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center"/>
            </w:pPr>
            <w:r>
              <w:rPr>
                <w:rFonts w:ascii="돋움체" w:hAnsi="돋움체" w:eastAsia="돋움체"/>
                <w:b w:val="0"/>
                <w:i w:val="0"/>
                <w:color w:val="000000"/>
                <w:sz w:val="16"/>
                <w:u w:val="none"/>
              </w:rPr>
              <w:t>라이선싱 대체 시장의 직접적 침해</w:t>
            </w:r>
          </w:p>
        </w:tc>
        <w:tc>
          <w:tcPr>
            <w:tcW w:type="dxa" w:w="4761"/>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center"/>
            </w:pPr>
            <w:r>
              <w:rPr>
                <w:rFonts w:ascii="돋움체" w:hAnsi="돋움체" w:eastAsia="돋움체"/>
                <w:b w:val="0"/>
                <w:i w:val="0"/>
                <w:color w:val="000000"/>
                <w:sz w:val="16"/>
                <w:u w:val="none"/>
              </w:rPr>
              <w:t>해당 데이터 도메인 내의 데이터 계약 관행 및 합리적 시장 거래 가능성의 형성 여부</w:t>
            </w:r>
          </w:p>
          <w:p>
            <w:pPr>
              <w:spacing w:before="0" w:after="0" w:line="384" w:lineRule="auto"/>
              <w:ind w:left="0" w:right="0" w:firstLine="0"/>
              <w:jc w:val="center"/>
            </w:pPr>
            <w:r>
              <w:rPr>
                <w:rFonts w:ascii="돋움체" w:hAnsi="돋움체" w:eastAsia="돋움체"/>
                <w:b w:val="0"/>
                <w:i w:val="0"/>
                <w:color w:val="000000"/>
                <w:sz w:val="16"/>
                <w:u w:val="none"/>
              </w:rPr>
              <w:t>정상적인 라이선스 대가 협상을 의도적으로 회피하여 원권리자의 잠재적 경제적 기대가치 훼손의 여부</w:t>
            </w:r>
          </w:p>
        </w:tc>
      </w:tr>
    </w:tbl>
    <w:p>
      <w:pPr>
        <w:spacing w:before="0" w:after="0" w:line="384" w:lineRule="auto"/>
        <w:ind w:left="0" w:right="0" w:firstLine="40"/>
        <w:jc w:val="both"/>
      </w:pPr>
    </w:p>
    <w:p>
      <w:pPr>
        <w:spacing w:before="0" w:after="140" w:line="384" w:lineRule="auto"/>
        <w:ind w:left="0" w:right="0" w:firstLine="200"/>
        <w:jc w:val="left"/>
      </w:pPr>
      <w:r>
        <w:rPr>
          <w:rFonts w:ascii="돋움체" w:hAnsi="돋움체" w:eastAsia="돋움체"/>
          <w:b w:val="0"/>
          <w:i w:val="0"/>
          <w:color w:val="000000"/>
          <w:sz w:val="22"/>
          <w:u w:val="none"/>
        </w:rPr>
        <w:t>3. 미국 ROSS Intelligence 판례와 잠재적 라이선싱 시장 침해 법리의 재해석</w:t>
      </w:r>
    </w:p>
    <w:p>
      <w:pPr>
        <w:spacing w:before="0" w:after="140" w:line="384" w:lineRule="auto"/>
        <w:ind w:left="220" w:right="0" w:firstLine="200"/>
        <w:jc w:val="left"/>
      </w:pPr>
      <w:r>
        <w:rPr>
          <w:rFonts w:ascii="돋움체" w:hAnsi="돋움체" w:eastAsia="돋움체"/>
          <w:b w:val="0"/>
          <w:i w:val="0"/>
          <w:color w:val="000000"/>
          <w:sz w:val="22"/>
          <w:u w:val="none"/>
        </w:rPr>
        <w:t xml:space="preserve">1) 사실관계와 </w:t>
      </w:r>
      <w:r>
        <w:rPr>
          <w:rFonts w:ascii="돋움체" w:hAnsi="돋움체" w:eastAsia="돋움체"/>
          <w:b w:val="0"/>
          <w:i w:val="0"/>
          <w:color w:val="000000"/>
          <w:sz w:val="22"/>
          <w:u w:val="none"/>
        </w:rPr>
        <w:t>잠재적 라이선싱 시장 침해 법리</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이처럼 비표현적 이용 단계에서의 잠재적 라이선싱 시장 침해를 부정경쟁방지법상의 '경제적 이익 침해'로 포섭하고자 하는 해석론적 시도는 최근 해외의 판례 법리에서도 찾아볼 수 있다. 미국의 Thomson Reuters v. ROSS Intelligence 사건(2025)에서 연방법원은 AI 개발사(ROSS)의 무단 학습 행위가 원저작물을 대중에 가시적으로 노출하지 않는 비표현적 이용에 해당할지라도, 원고가 막대한 자본을 투자해 구축해 둔 '생성형 AI 학습 데이터 라이선싱 시장의 잠재적 가치'를 직접적으로 잠식하고 훼손했다는 점을 명시하여 공정이용 항변을 최종 배척하였다.</w:t>
      </w:r>
      <w:r>
        <w:rPr>
          <w:rStyle w:val="FootnoteReference"/>
        </w:rPr>
        <w:footnoteReference w:id="35"/>
        <w:t>)</w:t>
      </w:r>
      <w:r>
        <w:rPr>
          <w:rFonts w:ascii="한양신명조" w:hAnsi="한양신명조" w:eastAsia="한양신명조"/>
          <w:b w:val="0"/>
          <w:i w:val="0"/>
          <w:sz w:val="20"/>
          <w:u w:val="none"/>
          <w:color w:val="000000"/>
          <w:spacing w:val="-10"/>
        </w:rPr>
        <w:t xml:space="preserve"> 당시 법원은 피고의 행위가 원천 데이터에 새로운 가치나 표현을 부가하지 않은 비변형적 이용에 불과하며, 그 결과물 역시 원천 제공사의 플랫폼 가치를 직접 파괴하고 장악하려는 대체성 경쟁 플랫폼의 론칭이라는 점에서 정당한 상거래 범주를 벗어난 부정경쟁에 해당한다고 판시하였다. 이러한 결정은 비록 피고의 학습 과정이 수집된 판례 요약문을 최종 아웃풋에 가시적으로 노출하지 않는 기술적 가공 단계에 머물렀다 할지라도, 원고가 오랜 기간 막대한 투자를 통해 독자적으로 구축해 둔 '라이선싱 시장의 잠재적 경제적 가치'를 직접적으로 우회하고 잠식했다는 실질적 피해 사실에 기초한 것이다.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이러한 판결은 국내 부정경쟁방지법 파목을 생성형 AI 학습 크롤링 분쟁에 적용할 때 중대한 해석 기준을 제시한다. 첫째, 공개된 데이터의 보호 한계와 ‘성과’의 범위를 명확히 구분한다. 법률 의견이나 판결은 대중에게 공개된 오픈 데이터일지라도, 이를 막대한 자본을 투자해 체계적으로 가공, 구조화한 원 보유자의 상당한 노력은 파목상 보호 대상인 성과로 봄이 타당하다. 이는 앞서 언급된 국내의 ‘숙박업소 크롤링 민사 대법원 판결’의 법리와도 일치한다. 둘째, ‘공정한 상거래 관행 위배 여부’를 판단할 구체적 기준을 제시한다. 라이선스 협상이 좌절되자 제3자를 우회하여 경쟁사의 정수 데이터를 무단 수집해 경쟁 제품을 학습시킨 행위는, 파목상의 “공정한 상거래 관행에 반하는 위법한 수단”으로 인정될 수 있는 강력한 준거가 된다. 결국 정당한 대가나 라이선스 계약을 회피하기 위해 타인의 상업적 노하우가 집약된 데이터를 대량으로 무단 크롤링하여 AI 모델을 훈련시키는 행위는, 경쟁 질서를 훼손하는 불공정 행위로 평가되어 파목의 규제 대상이 됨을 시사한다.</w:t>
      </w:r>
    </w:p>
    <w:p>
      <w:pPr>
        <w:spacing w:before="0" w:after="0" w:line="384" w:lineRule="auto"/>
        <w:ind w:left="0" w:right="0" w:firstLine="40"/>
        <w:jc w:val="both"/>
      </w:pPr>
    </w:p>
    <w:p>
      <w:pPr>
        <w:spacing w:before="0" w:after="140" w:line="384" w:lineRule="auto"/>
        <w:ind w:left="220" w:right="0" w:firstLine="200"/>
        <w:jc w:val="left"/>
      </w:pPr>
      <w:r>
        <w:rPr>
          <w:rFonts w:ascii="돋움체" w:hAnsi="돋움체" w:eastAsia="돋움체"/>
          <w:b w:val="0"/>
          <w:i w:val="0"/>
          <w:color w:val="000000"/>
          <w:sz w:val="22"/>
          <w:u w:val="none"/>
        </w:rPr>
        <w:t>2) ROSS 판례의 재해석을 통한 (파)목의 실무적 판단 구조</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 xml:space="preserve">본고는 전술한 ROSS 사건에서 </w:t>
      </w:r>
      <w:r>
        <w:rPr>
          <w:rFonts w:ascii="한양신명조" w:hAnsi="한양신명조" w:eastAsia="한양신명조"/>
          <w:b w:val="0"/>
          <w:i w:val="0"/>
          <w:sz w:val="20"/>
          <w:u w:val="none"/>
          <w:color w:val="000000"/>
          <w:spacing w:val="-10"/>
        </w:rPr>
        <w:t>방법원이 비표현적 이용 단계에서의 항변을 배척하고 잠재적 라이선싱 시장의 탈취를 실질적 손해로 인정한 논리는, 국내 부정경쟁방지법 (파)목을 생성형 AI 크롤링 분쟁에 적용할 때 사법 실무상 공격과 방어의 심리 구조를 재편하는 핵심적인 단초를 제공한다. 기존의 소송 실무는 원본 서비스의 트래픽 감소나 가시적인 시장 대체성을 입증하는 데 주력해 왔으나, 최종 산출물에 원천 데이터가 노출되지 않는 AI 모델의 특성상 권리자가 이러한 물리적 손해를 증명하기란 구조적으로 현저히 곤란하다. ROSS 판례의 재해석은 이처럼 입증이 난해한 '결과적 피해'의 산정에서 벗어나, 데이터를 수집하는 과정에서의 '행위적 부당성'으로 실무적 심리의 초점을 이동시킨다.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즉, 법원이 실무적으로 위법성을 가늠함에 있어 데이터 보유자가 설정한 기술적 차단 조치(robots.txt, IP 차단 등)를 기망적으로 우회한 객관적 정황이나, 정상적인 B2B 라이선스 대가 협상을 의도적으로 회피한 사실관계 자체를 (파)목의 핵심적인 위법성 판단 징표로 삼게 되는 것이다. 이에 따라 소송 과정에서 원고(권리자) 측은 가상적 매출 감소액을 산정하는 대신 피고(AI 개발사)의 기술적 우회 수집 수단 및 라이선스 회피 정황을 입증하는 데 주력할 수 있게 된다. 반대로 피고 측은 단순한 '내부적 학습 목적'이나 '공정이용'이라는 결과적 항변을 넘어, 해당 수집 절차와 수단이 상거래 관행상 정당했음을 적극적으로 소명해야 하는 구도로 쟁점이 전환된다.</w:t>
      </w:r>
    </w:p>
    <w:p>
      <w:pPr>
        <w:spacing w:before="0" w:after="0" w:line="384" w:lineRule="auto"/>
        <w:ind w:left="0" w:right="0" w:firstLine="40"/>
        <w:jc w:val="both"/>
      </w:pPr>
    </w:p>
    <w:p>
      <w:pPr>
        <w:spacing w:before="0" w:after="0" w:line="384" w:lineRule="auto"/>
        <w:ind w:left="0" w:right="0" w:firstLine="40"/>
        <w:jc w:val="center"/>
      </w:pPr>
      <w:r>
        <w:rPr>
          <w:rFonts w:ascii="돋움체" w:hAnsi="돋움체" w:eastAsia="돋움체"/>
          <w:b w:val="0"/>
          <w:i w:val="0"/>
          <w:sz w:val="20"/>
          <w:u w:val="none"/>
          <w:color w:val="000000"/>
          <w:spacing w:val="-10"/>
        </w:rPr>
        <w:t>[표 3] ROSS 판례 법리와 부정경쟁방지법 제2조 제1호 (파)목상의 해석</w:t>
      </w:r>
      <w:r>
        <w:rPr>
          <w:rStyle w:val="FootnoteReference"/>
        </w:rPr>
        <w:footnoteReference w:id="36"/>
        <w:t>)</w:t>
      </w:r>
      <w:r>
        <w:rPr>
          <w:rFonts w:ascii="돋움체" w:hAnsi="돋움체" w:eastAsia="돋움체"/>
          <w:b w:val="0"/>
          <w:i w:val="0"/>
          <w:sz w:val="20"/>
          <w:u w:val="none"/>
          <w:color w:val="000000"/>
          <w:spacing w:val="-10"/>
        </w:rPr>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r>
    </w:p>
    <w:tbl>
      <w:tblPr>
        <w:tblW w:type="auto" w:w="0"/>
        <w:jc w:val="center"/>
        <w:tblLayout w:type="fixed"/>
        <w:tblLook w:firstColumn="1" w:firstRow="1" w:lastColumn="0" w:lastRow="0" w:noHBand="0" w:noVBand="1" w:val="04A0"/>
        <w:tblBorders>
          <w:left w:val="single" w:color="000000" w:sz="3"/>
          <w:right w:val="single" w:color="000000" w:sz="3"/>
          <w:top w:val="single" w:color="000000" w:sz="3"/>
          <w:bottom w:val="single" w:color="000000" w:sz="3"/>
        </w:tblBorders>
      </w:tblPr>
      <w:tblGrid>
        <w:gridCol w:w="4195"/>
        <w:gridCol w:w="4195"/>
      </w:tblGrid>
      <w:tr>
        <w:tc>
          <w:tcPr>
            <w:tcW w:type="dxa" w:w="4195"/>
            <w:vAlign w:val="center"/>
            <w:tcBorders>
              <w:left w:val="single" w:color="000000" w:sz="3"/>
              <w:right w:val="single" w:color="000000" w:sz="3"/>
              <w:top w:val="single" w:color="000000" w:sz="3"/>
              <w:bottom w:val="single" w:color="000000" w:sz="3"/>
            </w:tcBorders>
            <w:shd w:fill="E5E5E5"/>
            <w:tcMar>
              <w:top w:w="28" w:type="dxa"/>
              <w:left w:w="102" w:type="dxa"/>
              <w:bottom w:w="28" w:type="dxa"/>
              <w:right w:w="102" w:type="dxa"/>
            </w:tcMar>
          </w:tcPr>
          <w:p>
            <w:pPr>
              <w:spacing w:before="0" w:after="0" w:line="384" w:lineRule="auto"/>
              <w:ind w:left="0" w:right="0" w:firstLine="0"/>
              <w:jc w:val="center"/>
            </w:pPr>
            <w:r>
              <w:rPr>
                <w:rFonts w:ascii="#신명조" w:hAnsi="#신명조" w:eastAsia="#신명조"/>
                <w:b/>
                <w:i w:val="0"/>
                <w:color w:val="000000"/>
                <w:sz w:val="18"/>
                <w:u w:val="none"/>
              </w:rPr>
              <w:t>ROSS 판례의 연방법원 판시 요지</w:t>
            </w:r>
          </w:p>
        </w:tc>
        <w:tc>
          <w:tcPr>
            <w:tcW w:type="dxa" w:w="4195"/>
            <w:vAlign w:val="center"/>
            <w:tcBorders>
              <w:left w:val="single" w:color="000000" w:sz="3"/>
              <w:right w:val="single" w:color="000000" w:sz="3"/>
              <w:top w:val="single" w:color="000000" w:sz="3"/>
              <w:bottom w:val="single" w:color="000000" w:sz="3"/>
            </w:tcBorders>
            <w:shd w:fill="E5E5E5"/>
            <w:tcMar>
              <w:top w:w="28" w:type="dxa"/>
              <w:left w:w="102" w:type="dxa"/>
              <w:bottom w:w="28" w:type="dxa"/>
              <w:right w:w="102" w:type="dxa"/>
            </w:tcMar>
          </w:tcPr>
          <w:p>
            <w:pPr>
              <w:spacing w:before="0" w:after="0" w:line="384" w:lineRule="auto"/>
              <w:ind w:left="0" w:right="0" w:firstLine="0"/>
              <w:jc w:val="center"/>
            </w:pPr>
            <w:r>
              <w:rPr>
                <w:rFonts w:ascii="#신명조" w:hAnsi="#신명조" w:eastAsia="#신명조"/>
                <w:b/>
                <w:i w:val="0"/>
                <w:color w:val="000000"/>
                <w:sz w:val="18"/>
                <w:u w:val="none"/>
              </w:rPr>
              <w:t>(파)목 법리로의 재구성 및 변형 적용</w:t>
            </w:r>
          </w:p>
        </w:tc>
      </w:tr>
      <w:tr>
        <w:tc>
          <w:tcPr>
            <w:tcW w:type="dxa" w:w="4195"/>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신명조" w:hAnsi="#신명조" w:eastAsia="#신명조"/>
                <w:b w:val="0"/>
                <w:i w:val="0"/>
                <w:color w:val="000000"/>
                <w:sz w:val="18"/>
                <w:u w:val="none"/>
              </w:rPr>
              <w:t>① 원고 성과의 가치 인정:</w:t>
            </w:r>
          </w:p>
          <w:p>
            <w:pPr>
              <w:spacing w:before="0" w:after="0" w:line="384" w:lineRule="auto"/>
              <w:ind w:left="0" w:right="0" w:firstLine="0"/>
              <w:jc w:val="both"/>
            </w:pPr>
            <w:r>
              <w:rPr>
                <w:rFonts w:ascii="#신명조" w:hAnsi="#신명조" w:eastAsia="#신명조"/>
                <w:b w:val="0"/>
                <w:i w:val="0"/>
                <w:color w:val="000000"/>
                <w:sz w:val="18"/>
                <w:u w:val="none"/>
              </w:rPr>
              <w:t>수조 원의 자본과 노력을 투입하여 구축한 판결 요약 및 분류 시스템</w:t>
            </w:r>
          </w:p>
        </w:tc>
        <w:tc>
          <w:tcPr>
            <w:tcW w:type="dxa" w:w="4195"/>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신명조" w:hAnsi="#신명조" w:eastAsia="#신명조"/>
                <w:b w:val="0"/>
                <w:i w:val="0"/>
                <w:color w:val="000000"/>
                <w:sz w:val="18"/>
                <w:u w:val="none"/>
              </w:rPr>
              <w:t>→ 상당한 투자나 노력으로 만들어진 성과:</w:t>
            </w:r>
          </w:p>
          <w:p>
            <w:pPr>
              <w:spacing w:before="0" w:after="0" w:line="384" w:lineRule="auto"/>
              <w:ind w:left="0" w:right="0" w:firstLine="0"/>
              <w:jc w:val="both"/>
            </w:pPr>
          </w:p>
          <w:p>
            <w:pPr>
              <w:spacing w:before="0" w:after="0" w:line="384" w:lineRule="auto"/>
              <w:ind w:left="0" w:right="0" w:firstLine="0"/>
              <w:jc w:val="both"/>
            </w:pPr>
            <w:r>
              <w:rPr>
                <w:rFonts w:ascii="#신명조" w:hAnsi="#신명조" w:eastAsia="#신명조"/>
                <w:b w:val="0"/>
                <w:i w:val="0"/>
                <w:color w:val="000000"/>
                <w:sz w:val="18"/>
                <w:u w:val="none"/>
              </w:rPr>
              <w:t>개별 판결문 자체는 공공 영역)에 속하더라도, 막대한 자본과 인력을 들여 구축한 정제되고 구조화된 데이터베이스는 파목상 독자적 보호 대상인 성과에 해당</w:t>
            </w:r>
          </w:p>
        </w:tc>
      </w:tr>
      <w:tr>
        <w:tc>
          <w:tcPr>
            <w:tcW w:type="dxa" w:w="4195"/>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신명조" w:hAnsi="#신명조" w:eastAsia="#신명조"/>
                <w:b w:val="0"/>
                <w:i w:val="0"/>
                <w:color w:val="000000"/>
                <w:sz w:val="18"/>
                <w:u w:val="none"/>
              </w:rPr>
              <w:t>② 피고의 데이터 우회 수집 행위:</w:t>
            </w:r>
          </w:p>
          <w:p>
            <w:pPr>
              <w:spacing w:before="0" w:after="0" w:line="384" w:lineRule="auto"/>
              <w:ind w:left="0" w:right="0" w:firstLine="0"/>
              <w:jc w:val="both"/>
            </w:pPr>
          </w:p>
          <w:p>
            <w:pPr>
              <w:spacing w:before="0" w:after="0" w:line="384" w:lineRule="auto"/>
              <w:ind w:left="0" w:right="0" w:firstLine="0"/>
              <w:jc w:val="both"/>
            </w:pPr>
            <w:r>
              <w:rPr>
                <w:rFonts w:ascii="#신명조" w:hAnsi="#신명조" w:eastAsia="#신명조"/>
                <w:b w:val="0"/>
                <w:i w:val="0"/>
                <w:color w:val="000000"/>
                <w:sz w:val="18"/>
                <w:u w:val="none"/>
              </w:rPr>
              <w:t>정상적인 라이선스 계약 협상이 무산되자, 제3자(분석 대행사)를 우회하여 데이터를 대량 탈취한 정황 존재</w:t>
            </w:r>
          </w:p>
        </w:tc>
        <w:tc>
          <w:tcPr>
            <w:tcW w:type="dxa" w:w="4195"/>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신명조" w:hAnsi="#신명조" w:eastAsia="#신명조"/>
                <w:b w:val="0"/>
                <w:i w:val="0"/>
                <w:color w:val="000000"/>
                <w:sz w:val="18"/>
                <w:u w:val="none"/>
              </w:rPr>
              <w:t>→ 공정한 상거래 관행에 반하는 방법 (행위의 부당성):</w:t>
            </w:r>
          </w:p>
          <w:p>
            <w:pPr>
              <w:spacing w:before="0" w:after="0" w:line="384" w:lineRule="auto"/>
              <w:ind w:left="0" w:right="0" w:firstLine="0"/>
              <w:jc w:val="both"/>
            </w:pPr>
          </w:p>
          <w:p>
            <w:pPr>
              <w:spacing w:before="0" w:after="0" w:line="384" w:lineRule="auto"/>
              <w:ind w:left="0" w:right="0" w:firstLine="0"/>
              <w:jc w:val="both"/>
            </w:pPr>
            <w:r>
              <w:rPr>
                <w:rFonts w:ascii="#신명조" w:hAnsi="#신명조" w:eastAsia="#신명조"/>
                <w:b w:val="0"/>
                <w:i w:val="0"/>
                <w:color w:val="000000"/>
                <w:sz w:val="18"/>
                <w:u w:val="none"/>
              </w:rPr>
              <w:t>권리자와의 정당한 라이선스 계약을 회피하기 위해 편법적, 기망적 수단(제3자 우회, 크롤러 위장 등)을 동원하여 수집한 행위는 불공정 경쟁의 핵심 위법성 징표</w:t>
            </w:r>
          </w:p>
        </w:tc>
      </w:tr>
      <w:tr>
        <w:tc>
          <w:tcPr>
            <w:tcW w:type="dxa" w:w="4195"/>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신명조" w:hAnsi="#신명조" w:eastAsia="#신명조"/>
                <w:b w:val="0"/>
                <w:i w:val="0"/>
                <w:color w:val="000000"/>
                <w:sz w:val="18"/>
                <w:u w:val="none"/>
              </w:rPr>
              <w:t>③ 비표현적 이용 및 결과물 미노출 항변 배척:</w:t>
            </w:r>
          </w:p>
          <w:p>
            <w:pPr>
              <w:spacing w:before="0" w:after="0" w:line="384" w:lineRule="auto"/>
              <w:ind w:left="0" w:right="0" w:firstLine="0"/>
              <w:jc w:val="both"/>
            </w:pPr>
          </w:p>
          <w:p>
            <w:pPr>
              <w:spacing w:before="0" w:after="0" w:line="384" w:lineRule="auto"/>
              <w:ind w:left="0" w:right="0" w:firstLine="0"/>
              <w:jc w:val="both"/>
            </w:pPr>
            <w:r>
              <w:rPr>
                <w:rFonts w:ascii="#신명조" w:hAnsi="#신명조" w:eastAsia="#신명조"/>
                <w:b w:val="0"/>
                <w:i w:val="0"/>
                <w:color w:val="000000"/>
                <w:sz w:val="18"/>
                <w:u w:val="none"/>
              </w:rPr>
              <w:t>원문이 노출되지 않는 AI 내부 학습(비표현적 이용)일지라도, 원고의 '잠재적 라이선싱 시장 가치'를 직접 잠식</w:t>
            </w:r>
          </w:p>
        </w:tc>
        <w:tc>
          <w:tcPr>
            <w:tcW w:type="dxa" w:w="4195"/>
            <w:vAlign w:val="center"/>
            <w:tcBorders>
              <w:left w:val="single" w:color="000000" w:sz="3"/>
              <w:right w:val="single" w:color="000000" w:sz="3"/>
              <w:top w:val="single" w:color="000000" w:sz="3"/>
              <w:bottom w:val="single" w:color="000000" w:sz="3"/>
            </w:tcBorders>
            <w:tcMar>
              <w:top w:w="28" w:type="dxa"/>
              <w:left w:w="102" w:type="dxa"/>
              <w:bottom w:w="28" w:type="dxa"/>
              <w:right w:w="102" w:type="dxa"/>
            </w:tcMar>
          </w:tcPr>
          <w:p>
            <w:pPr>
              <w:spacing w:before="0" w:after="0" w:line="384" w:lineRule="auto"/>
              <w:ind w:left="0" w:right="0" w:firstLine="0"/>
              <w:jc w:val="both"/>
            </w:pPr>
            <w:r>
              <w:rPr>
                <w:rFonts w:ascii="#신명조" w:hAnsi="#신명조" w:eastAsia="#신명조"/>
                <w:b w:val="0"/>
                <w:i w:val="0"/>
                <w:color w:val="000000"/>
                <w:sz w:val="18"/>
                <w:u w:val="none"/>
              </w:rPr>
              <w:t>→ 타인의 경제적 이익 침해 (결과의 부당성):</w:t>
            </w:r>
          </w:p>
          <w:p>
            <w:pPr>
              <w:spacing w:before="0" w:after="0" w:line="384" w:lineRule="auto"/>
              <w:ind w:left="0" w:right="0" w:firstLine="0"/>
              <w:jc w:val="both"/>
            </w:pPr>
          </w:p>
          <w:p>
            <w:pPr>
              <w:spacing w:before="0" w:after="0" w:line="384" w:lineRule="auto"/>
              <w:ind w:left="0" w:right="0" w:firstLine="0"/>
              <w:jc w:val="both"/>
            </w:pPr>
            <w:r>
              <w:rPr>
                <w:rFonts w:ascii="#신명조" w:hAnsi="#신명조" w:eastAsia="#신명조"/>
                <w:b w:val="0"/>
                <w:i w:val="0"/>
                <w:color w:val="000000"/>
                <w:sz w:val="18"/>
                <w:u w:val="none"/>
              </w:rPr>
              <w:t>웹 트래픽의 직접적 감소(물리적 시장 대체)가 없더라도, 현실에 존재하는 생성형 AI 학습용 데이터 라이선싱 시장의 '대가 회수 기회(잠재적 경제 가치)'를 박탈한 행위는 파목상 경제적 이익 침해에 해당</w:t>
            </w:r>
          </w:p>
        </w:tc>
      </w:tr>
    </w:tbl>
    <w:p>
      <w:pPr>
        <w:spacing w:before="0" w:after="0" w:line="384" w:lineRule="auto"/>
        <w:ind w:left="0" w:right="0" w:firstLine="40"/>
        <w:jc w:val="both"/>
      </w:pPr>
      <w:r>
        <w:rPr>
          <w:rFonts w:ascii="한양신명조" w:hAnsi="한양신명조" w:eastAsia="한양신명조"/>
          <w:b w:val="0"/>
          <w:i w:val="0"/>
          <w:sz w:val="20"/>
          <w:u w:val="none"/>
          <w:color w:val="000000"/>
          <w:spacing w:val="-10"/>
        </w:rPr>
        <w:t>결국 ROSS 사건의 법리를 파목에 이식하여 재해석하는 작업은, 사법 실무상 증명책임과 심리 구조를 재편하는 구체적인 공격과 방어 수단으로 기능한다. 이는 종래의 트래픽 감소와 같은 증명이 현저히 곤란한 물리적 손해 입증 방식에서 벗어나, ① 기술적 차단 조치에 대한 기망적 우회 정황과 ② B2B 라이선스 대가 협상의 고의적 회피 사실이라는 객관적 정황을 중심으로 위법성을 판단할 수 있는 명확한 기준을 제공하기 때문이다. 결과적으로 사법부는 비표현적 이용이라는 AI 개발사 측의 항변을 기각하고 라이선스 대가 회수 기회의 박탈 그 자체를 실질적 손해로 구성하는 판결 이유를 판시할 수 있으며, 사전적으로는 무단 수집 행위를 억제하고 정착된 데이터 거래 관행을 유도하는 법적 시그널을 제시한다는 점에서 이러한 해석적 시도가 유의미함을 발견할 수 있다.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결국, 이러한 행위 중심적 심리 구조의 도입은 실무적으로 다음과 같은 의의를 지닌다. 첫째, 사법부 측면에서는 AI 개발사가 제기하는 비표현적 이용이라는 항변에 매몰되지 않고, 거래 질서의 공정성이라는 부정경쟁방지법 본연의 목적에 부합하는 타당한 이익형량을 가능하게 한다. 둘째, 권리 구제 측면에서는 정당한 대가 회수 기회의 박탈 그 자체를 실질적 경제 이익 침해로 구성함으로써, 오픈 웹 환경에서 무분별한 데이터 탈취로 인해 발생할 수 있는 권리 보호의 사각지대를 효과적으로 해소한다. 셋째, 사전적 규제 및 산업적 측면에서는 AI 기업들의 편법적인 무단 크롤링 행위를 억제하고, 정당한 대가가 지불되는 데이터 라이선싱 시장의 안착을 유도하는 강력한 법적 시그널로 작용할 수 있을 것이다.</w:t>
      </w:r>
    </w:p>
    <w:p>
      <w:pPr>
        <w:spacing w:before="0" w:after="140" w:line="384" w:lineRule="auto"/>
        <w:ind w:left="0" w:right="0" w:firstLine="200"/>
        <w:jc w:val="left"/>
      </w:pPr>
    </w:p>
    <w:p>
      <w:pPr>
        <w:spacing w:before="0" w:after="140" w:line="384" w:lineRule="auto"/>
        <w:ind w:left="0" w:right="0" w:firstLine="200"/>
        <w:jc w:val="left"/>
      </w:pPr>
      <w:r>
        <w:rPr>
          <w:rFonts w:ascii="돋움체" w:hAnsi="돋움체" w:eastAsia="돋움체"/>
          <w:b w:val="0"/>
          <w:i w:val="0"/>
          <w:color w:val="000000"/>
          <w:sz w:val="22"/>
          <w:u w:val="none"/>
        </w:rPr>
        <w:t>4. 소결</w:t>
      </w:r>
    </w:p>
    <w:p>
      <w:pPr>
        <w:spacing w:before="0" w:after="0" w:line="384" w:lineRule="auto"/>
        <w:ind w:left="0" w:right="0" w:firstLine="40"/>
        <w:jc w:val="both"/>
      </w:pPr>
      <w:r>
        <w:rPr>
          <w:rFonts w:ascii="#신명조" w:hAnsi="#신명조" w:eastAsia="#신명조"/>
          <w:b w:val="0"/>
          <w:i w:val="0"/>
          <w:color w:val="000000"/>
          <w:sz w:val="20"/>
          <w:u w:val="none"/>
        </w:rPr>
        <w:t>결과적으로 대규모 오픈 웹 데이터를 활용하는 생성형 AI의 학습용 크롤링 행위를 규율함에 있어, 전통적인 지식재산권법상의 '성과중심론'이나 결과불법적 시각을 그대로 투영하는 것은 법리적 딜레마에 봉착하게 된다. 이에 본 장에서는 부정경쟁방지법 제2조 제1호 (파)목의 해석론적 패러다임을 데이터를 수집하고 이용하는 과정에서의 '수단과 방법의 부당성'을 가리는 '행위중심론'으로 전환할 것을 제안하였다. 이는 단순히 무단 수집이라는 결과적 사실에 매몰되는 것이 아니라, 데이터 보유자가 설정한 기술적 거부 의사를 기망적으로 무력화하였는지, 그리고 형성 단계에 있는 데이터 라이선싱 시장에서의 정당한 대가 협상을 의도적으로 회피하거나 탈취하였는지를 위법성의 핵심 표지로 삼아 보충성의 원칙하에 엄격히 심리하는 구조를 의미한다. 나아가 이러한 행위 중심적 해석론은 미국 ROSS 판례의 재해석에서 확인되듯, 사법 실무상 증명 책임과 소송의 심리 구조를 합리적으로 재편하는 실효적인 기제로 작용한다. 권리자는 인공지능의 비표현적 이용 특성상 입증이 극히 곤란한 물리적 시장 대체성이나 트래픽 감소를 증명하는 대신, 객관적인 기술적 우회 정황과 잠재적 라이선스 가치의 박탈이라는 실질적 손해를 중심으로 부정경쟁행위를 소명할 수 있다. 이는 피고 측의 일방적인 기술적 항변에 대한 사법적 통제 수단을 제공하며, 개별 지식재산권법의 균형을 흩트리지 않으면서도 상거래 질서를 훼손하는 무단 크롤링 행위를 정밀하게 규율할 수 있게 한다. 궁극적으로 (파)목에 대한 이러한 해석론적 패러다임의 확립은 향후 생성형 AI의 데이터 수집을 둘러싼 실무적 분쟁에서 개별 사안의 구체적 타당성을 도모하고 당사자 간의 이해관계를 합리적으로 조율하는 실효적인 법적 기준이 될 수 있을 것이다.</w:t>
      </w:r>
    </w:p>
    <w:p>
      <w:pPr>
        <w:spacing w:before="0" w:after="0" w:line="384" w:lineRule="auto"/>
        <w:ind w:left="0" w:right="0" w:firstLine="40"/>
        <w:jc w:val="both"/>
      </w:pPr>
    </w:p>
    <w:p>
      <w:pPr>
        <w:spacing w:before="0" w:after="0" w:line="384" w:lineRule="auto"/>
        <w:ind w:left="0" w:right="0" w:firstLine="40"/>
        <w:jc w:val="both"/>
      </w:pPr>
      <w:r>
        <w:rPr>
          <w:rFonts w:ascii="신명 태명조" w:hAnsi="신명 태명조" w:eastAsia="신명 태명조"/>
          <w:b/>
          <w:i w:val="0"/>
          <w:color w:val="000000"/>
          <w:sz w:val="24"/>
          <w:u w:val="none"/>
        </w:rPr>
        <w:t>VI. 결론</w:t>
      </w:r>
    </w:p>
    <w:p>
      <w:pPr>
        <w:spacing w:before="0" w:after="0" w:line="384" w:lineRule="auto"/>
        <w:ind w:left="0" w:right="0" w:firstLine="40"/>
        <w:jc w:val="both"/>
      </w:pP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생성형 AI 학습을 위한 웹 크롤링은 일반적인 웹 크롤링과 기술적 기반을 공유하지만, 수집 목적과 규모 및 수집 이후의 처리·이용 방식에서 구별되는 특성을 보인다. 일반적인 웹 크롤링이 주로 정보의 색인이나 검색 서비스 제공에 이용되어 원본 사이트로의 유입을 매개한다면, 생성형 AI 학습 목적의 크롤링은 대규모 데이터를 수집하여 모델 매개변수의 통계적 가중치로 반영한다. 이에 따라 데이터 수집과 후속 이용이 관련 시장에 미치는 영향을 기존 검색·가격비교 서비스의 크롤링 사례에서 형성된 기준만으로 충분히 평가할 수 있는지 검토할 필요가 있다. 특히 현행 부정경쟁방지법 제2조 제1호 (카)목은 그 대상이 특정인 또는 특정 다수에게 제공되는 데이터로 한정되어 있어 오픈 웹 데이터에 직접 적용하기 어려운 측면이 있고, 보충적 일반조항인 동호 (파)목 역시 데이터 자체의 보호 대상 적격성이나 투자 상당성 심리에 치중할 경우 비표현적 이용 환경에서 판단의 불확실성이 발생할 수 있다. 따라서 생성형 AI 학습 데이터의 무단 이용을 둘러싼 분쟁에서는 부정경쟁방지법의 행위규제적 취지에 부합하는 유연하고 정교한 해석론이 정립되어야 한다. 이에 본고는 (파)목 일반조항의 위법성을 판단함에 있어 공개정보에 대한 사실상의 독점권 인정 여부라는 객체 중심적 심리를 넘어, 접근 제한이나 기술적 차단조치의 고의적 우회 여부를 행위 부당성의 주요 판단 표지로 제시하였다. 또한 비표현적 이용이라는 외형 속에서 발생하는 실질적 손해를 규명하기 위해, 가시적인 웹 트래픽 감소에 의존하지 않고 실재하는 데이터 거래 시장에서의 유상 대가 회수 기회 박탈을 경제적 이익 침해의 주요 판단 표지로 제안하였다. 아울러 미국의 ROSS Intelligence 사건(2025) 판결 법리를 원용함으로써, 기술적 차단조치에 대한 기망적 우회와 라이선스 대가 협상의 고의적 회피 사실을 중심으로 사법 실무상 증명책임과 심리 구조를 재편하는 명확한 규범적 준거를 제시하였다. 결과적으로 생성형 AI 학습을 위한 웹 크롤링 분쟁에서는 개별 사안의 구체적 맥락, 기술적 우회 행태, 그리고 실제 거래 시장의 정황을 다원적으로 심리하는 해석론적 접근이 요구된다.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다만 오픈 웹 데이터에 대한 자유로운 접근 가능성과 그 이용의 적법성은 엄격히 구별되어야 하므로, 데이터 구축에 상당한 비용이 투입되었다는 사정만으로 데이터 보유자에게 정보 자체에 대한 배타적 독점권이 부여되는 것은 아니다. 따라서 권리자의 사전 허락을 받지 않았다는 사실 자체나 프로토콜상 지침인 robots.txt의 단순 위반, 또는 구체적 형성이 결여된 막연한 라이선스 체결 기대만으로 부정경쟁방지법 제2조 제1호 (파)목의 위법성을 인정하기는 어려우며, 공정한 경쟁질서와 정보의 자유로운 이용 영역을 조화롭게 보장하기 위한 한계 기준이 설정되어야 한다. 반면 robots.txt에 표시된 명시적 크롤링 거부 의사를 고의적·체계적으로 무시하거나, 식별자 위장 및 IP 차단 우회와 같은 기망적 접근을 시도하고, 정당한 라이선스 대가 협상을 고의적으로 회피한 정황이 증명되는 경우에는 (파)목의 부정경쟁행위 성립이 긍정될 수 있다.</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이러한 행위 중심적 판단구조는 사법 실무에서 ‘상당한 투자’나 ‘무단 사용’이라는 추상적 규범 평가에 그치지 않고 당사자가 제출할 구체적 증거와 법원이 심리할 사실관계를 명확히 한다는 점에서 실무적 유용성을 갖는다. 원고(데이터 보유자)는 보호대상 성과의 존재와 함께, 피고가 명시적 거부 의사 및 기술적 차단조치를 인식하면서도 이를 기망적으로 우회한 정황과 정상적인 라이선스 대가 협상을 고의적으로 회피한 사실을 구체적인 자료로 주장·입증할 수 있다. 반면 피고(AI 개발자)는 데이터의 통상적 공개성, 표준적 접근 방식의 준수, 비표현적 이용에 따른 시장 비대체성 및 공익적 혁신 가치 등을 반박 사유로 항변할 수 있으며, 법원은 이러한 정황들을 종합적으로 비교·형량하여 위법성 여부를 최종 판단하게 된다. 이러한 판단구조는 공개된 정보의 자유로운 이용을 보장하면서도 데이터 보유자가 상당한 투자와 노력으로 형성한 성과가 부당하게 이용되는 것을 방지하기 위한 기준으로 기능할 수 있다. 본고가 제시한 판단 표지가 향후 관련 분쟁에서 사법적 판단의 일관성과 예측 가능성을 높이고, 원천 데이터 보유자의 정당한 성과 보호와 AI 산업의 지속 가능한 혁신 사이에서 합리적인 균형을 모색하는 데 활용되기를 기대한다.</w:t>
      </w:r>
    </w:p>
    <w:p>
      <w:pPr>
        <w:spacing w:before="0" w:after="0" w:line="384" w:lineRule="auto"/>
        <w:ind w:left="0" w:right="0" w:firstLine="40"/>
        <w:jc w:val="both"/>
      </w:pPr>
    </w:p>
    <w:p>
      <w:pPr>
        <w:pageBreakBefore/>
        <w:spacing w:before="0" w:after="0" w:line="384" w:lineRule="auto"/>
        <w:ind w:left="0" w:right="0" w:firstLine="0"/>
        <w:jc w:val="center"/>
      </w:pPr>
      <w:r>
        <w:rPr>
          <w:rFonts w:ascii="돋움체" w:hAnsi="돋움체" w:eastAsia="돋움체"/>
          <w:b w:val="0"/>
          <w:i w:val="0"/>
          <w:sz w:val="24"/>
          <w:u w:val="none"/>
          <w:color w:val="000000"/>
          <w:spacing w:val="-12"/>
        </w:rPr>
        <w:t>[참고문헌]</w:t>
      </w:r>
    </w:p>
    <w:p>
      <w:pPr>
        <w:spacing w:before="0" w:after="0" w:line="384" w:lineRule="auto"/>
        <w:ind w:left="0" w:right="0" w:firstLine="40"/>
        <w:jc w:val="both"/>
      </w:pPr>
      <w:r>
        <w:rPr>
          <w:rFonts w:ascii="한양신명조" w:hAnsi="한양신명조" w:eastAsia="한양신명조"/>
          <w:b/>
          <w:i w:val="0"/>
          <w:sz w:val="20"/>
          <w:u w:val="none"/>
          <w:color w:val="000000"/>
          <w:spacing w:val="-10"/>
        </w:rPr>
        <w:t>I. 국내문헌</w:t>
      </w:r>
    </w:p>
    <w:p>
      <w:pPr>
        <w:spacing w:before="0" w:after="0" w:line="384" w:lineRule="auto"/>
        <w:ind w:left="0" w:right="0" w:firstLine="40"/>
        <w:jc w:val="both"/>
      </w:pPr>
      <w:r>
        <w:rPr>
          <w:rFonts w:ascii="한양신명조" w:hAnsi="한양신명조" w:eastAsia="한양신명조"/>
          <w:b/>
          <w:i w:val="0"/>
          <w:sz w:val="20"/>
          <w:u w:val="none"/>
          <w:color w:val="000000"/>
          <w:spacing w:val="-10"/>
        </w:rPr>
        <w:t>[논문/보고서]</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김성원·최상민·이수원, “텍스트·데이터 마이닝</w:t>
      </w:r>
      <w:r>
        <w:rPr>
          <w:rFonts w:ascii="한양신명조" w:hAnsi="한양신명조" w:eastAsia="한양신명조"/>
          <w:b w:val="0"/>
          <w:i w:val="0"/>
          <w:sz w:val="20"/>
          <w:u w:val="none"/>
          <w:color w:val="000000"/>
          <w:spacing w:val="-10"/>
        </w:rPr>
        <w:t xml:space="preserve"> 과정의 저작물 이용 면책 규정 신설안에 대한 소고 ― 적대적 생성신경망에의 적용 ―”, 『지식재산연구』 제18권 제1호, 한국지식재산연구원, 2023.</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김현숙, “크롤링을 이용한 공개데이터 수집·활용의 법적쟁점에 대한 비판적 검토”, 『강원법학』 제61권, 강원대학교 비교법학연구소, 2020.</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문선영, “크롤링의 데이터베이스제작자 권리 침해 및 기타 성과 등 무단사용행위 해당여부”, 『아주법학』 제19권 제4호, 2026.</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서재권, “공개데이터 크롤링에 대한 법적 검토와 데이터산업 발전을 위한 법제도 개선 방안”, 『IP &amp; Data 法』 제2권 제1호, 인하대학교 법학연구소, 2022.</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손승우·신지혜, “인공지능(AI) 학습데이터와 크롤링의 법적 쟁점”, 『법학논총』 제40권 제2호, 단국대학교 법학연구소, 2023.</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신지혜, “부정경쟁방지법 제2조 제1호 일반조항의 적용 기준에 관한 고찰”, 『법조』 제70권 제6호, 2021.</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신창환, “인공지능의 구현을 목적으로 한 저작권법상 텍스트·데이터 마이닝 허용 논의와 관련한 옵트 아웃제 및 조건부 보상시스템 검토”, 『저스티스』 통권 제207호, 한국법학원, 2025.</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이규호, “인공지능 학습용 데이터세트에 대한 저작권법과 부정경쟁방지법상 보호와 그 한계”, 『인권과 정의』 제494호, 대한변호사협회, 2020.</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이규호, “데이터 크롤링과 부정경쟁방지법상의 성과 도용행위”, 『산업재산권』 제62호, 한국산업재산권법학회, 2020.</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이규호, “2021년 개정 부정경쟁방지법상 데이터의 부정사용행위의 판단기준에 대한 연구”, 『중앙법학』 제24권 제2호(통권 제84호), 2022.</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이성용·김상중, “생성형 AI 학습 데이터 무단 이용의 위법성 판단과 민법 제750조의 보충적 적용 ― 저작권법, 부정경쟁방지법의 검토와 민법 제750조의 보충적 적용을 중심으로 ―”, 『재산법연구』 제43권 제1호, 한국재산법학회, 2026.</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최승재, “생성형 인공지능의 저작물 학습행위와 공정이용 여부의 판단”, 『저작권동향』 2025-제16호, 2025..</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한국저작권위원회, 『신기술 환경에서의 저작권 제한제도 개선 방안 연구 - TDM 면책 규정 및 공정이용(Fair Use) 가이드라인을 중심으로』, 한국저작권위원회 연구보고서 2022-11, 2022.</w:t>
      </w:r>
    </w:p>
    <w:p>
      <w:pPr>
        <w:spacing w:before="0" w:after="0" w:line="384" w:lineRule="auto"/>
        <w:ind w:left="0" w:right="0" w:firstLine="40"/>
        <w:jc w:val="both"/>
      </w:pPr>
    </w:p>
    <w:p>
      <w:pPr>
        <w:spacing w:before="0" w:after="0" w:line="384" w:lineRule="auto"/>
        <w:ind w:left="0" w:right="0" w:firstLine="40"/>
        <w:jc w:val="both"/>
      </w:pPr>
      <w:r>
        <w:rPr>
          <w:rFonts w:ascii="한양신명조" w:hAnsi="한양신명조" w:eastAsia="한양신명조"/>
          <w:b/>
          <w:i w:val="0"/>
          <w:sz w:val="20"/>
          <w:u w:val="none"/>
          <w:color w:val="000000"/>
          <w:spacing w:val="-10"/>
        </w:rPr>
        <w:t>[판결]</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대법원 2020. 3. 26. 선고 2016다276467 판결.</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대법원 2022. 5. 12. 선고 2021도1533 판결.</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서울고등법원 2017. 4. 6. 선고 2016나2019365 판결.</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서울고등법원 2022. 8. 25. 선고 2021나2034740 판결.</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서울중앙지방법원 2021. 8. 19. 선고 2018가합508729 판결.</w:t>
      </w:r>
    </w:p>
    <w:p>
      <w:pPr>
        <w:spacing w:before="0" w:after="0" w:line="384" w:lineRule="auto"/>
        <w:ind w:left="0" w:right="0" w:firstLine="40"/>
        <w:jc w:val="both"/>
      </w:pPr>
    </w:p>
    <w:p>
      <w:pPr>
        <w:spacing w:before="0" w:after="0" w:line="384" w:lineRule="auto"/>
        <w:ind w:left="0" w:right="0" w:firstLine="40"/>
        <w:jc w:val="both"/>
      </w:pPr>
    </w:p>
    <w:p>
      <w:pPr>
        <w:spacing w:before="0" w:after="0" w:line="384" w:lineRule="auto"/>
        <w:ind w:left="0" w:right="0" w:firstLine="40"/>
        <w:jc w:val="both"/>
      </w:pPr>
      <w:r>
        <w:rPr>
          <w:rFonts w:ascii="한양신명조" w:hAnsi="한양신명조" w:eastAsia="한양신명조"/>
          <w:b/>
          <w:i w:val="0"/>
          <w:sz w:val="20"/>
          <w:u w:val="none"/>
          <w:color w:val="000000"/>
          <w:spacing w:val="-10"/>
        </w:rPr>
        <w:t>[결정]</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대법원 2020. 3. 26. 자 2019마6525 결정.</w:t>
      </w:r>
    </w:p>
    <w:p>
      <w:pPr>
        <w:spacing w:before="0" w:after="0" w:line="384" w:lineRule="auto"/>
        <w:ind w:left="0" w:right="0" w:firstLine="40"/>
        <w:jc w:val="both"/>
      </w:pPr>
    </w:p>
    <w:p>
      <w:pPr>
        <w:spacing w:before="0" w:after="0" w:line="384" w:lineRule="auto"/>
        <w:ind w:left="0" w:right="0" w:firstLine="40"/>
        <w:jc w:val="both"/>
      </w:pPr>
      <w:r>
        <w:rPr>
          <w:rFonts w:ascii="한양신명조" w:hAnsi="한양신명조" w:eastAsia="한양신명조"/>
          <w:b/>
          <w:i w:val="0"/>
          <w:sz w:val="20"/>
          <w:u w:val="none"/>
          <w:color w:val="000000"/>
          <w:spacing w:val="-10"/>
        </w:rPr>
        <w:t xml:space="preserve">[기타 자료] </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국회입법조사처, 『AI 데이터 학습과 저작권 문제 해결을 위한 과제』, 2025. 11. 13., [https://www.nars.go.kr/report/view.do?brdSeq=48419&amp;cmsCode=CM0043&amp;page=2](https://www.nars.go.kr/report/view.do?brdSeq=48419&amp;cmsCode=CM0043&amp;page=2) (2026. 7. 18. 접속).</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특허청, 『데이터 보호를 위한 부정경쟁방지법 개정사항 안내서』, 특허청, 2022.</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한국저작권위원회, 『생성형 인공지능의 저작물 학습에 대한 저작권법상 ‘공정이용’ 안내서』, 2026. 2. 26.</w:t>
      </w:r>
    </w:p>
    <w:p>
      <w:pPr>
        <w:spacing w:before="0" w:after="0" w:line="384" w:lineRule="auto"/>
        <w:ind w:left="0" w:right="0" w:firstLine="40"/>
        <w:jc w:val="both"/>
      </w:pPr>
    </w:p>
    <w:p>
      <w:pPr>
        <w:spacing w:before="0" w:after="0" w:line="384" w:lineRule="auto"/>
        <w:ind w:left="0" w:right="0" w:firstLine="40"/>
        <w:jc w:val="both"/>
      </w:pPr>
    </w:p>
    <w:p>
      <w:pPr>
        <w:spacing w:before="0" w:after="0" w:line="384" w:lineRule="auto"/>
        <w:ind w:left="0" w:right="0" w:firstLine="40"/>
        <w:jc w:val="both"/>
      </w:pPr>
      <w:r>
        <w:rPr>
          <w:rFonts w:ascii="한양신명조" w:hAnsi="한양신명조" w:eastAsia="한양신명조"/>
          <w:b/>
          <w:i w:val="0"/>
          <w:sz w:val="20"/>
          <w:u w:val="none"/>
          <w:color w:val="000000"/>
          <w:spacing w:val="-10"/>
        </w:rPr>
        <w:t>II. 국외문헌</w:t>
      </w:r>
    </w:p>
    <w:p>
      <w:pPr>
        <w:spacing w:before="0" w:after="0" w:line="384" w:lineRule="auto"/>
        <w:ind w:left="0" w:right="0" w:firstLine="40"/>
        <w:jc w:val="both"/>
      </w:pPr>
      <w:r>
        <w:rPr>
          <w:rFonts w:ascii="한양신명조" w:hAnsi="한양신명조" w:eastAsia="한양신명조"/>
          <w:b/>
          <w:i w:val="0"/>
          <w:sz w:val="20"/>
          <w:u w:val="none"/>
          <w:color w:val="000000"/>
          <w:spacing w:val="-10"/>
        </w:rPr>
        <w:t>[논문/보고서]</w:t>
      </w:r>
    </w:p>
    <w:p>
      <w:pPr>
        <w:spacing w:before="0" w:after="0" w:line="384" w:lineRule="auto"/>
        <w:ind w:left="0" w:right="0" w:firstLine="40"/>
        <w:jc w:val="both"/>
      </w:pPr>
      <w:r>
        <w:rPr>
          <w:rFonts w:ascii="한양신명조" w:hAnsi="한양신명조" w:eastAsia="한양신명조"/>
          <w:b w:val="0"/>
          <w:i w:val="0"/>
          <w:sz w:val="20"/>
          <w:u w:val="none"/>
          <w:color w:val="000000"/>
          <w:spacing w:val="-10"/>
        </w:rPr>
        <w:t>Internet Engineering Task Force, Robots Exclusion Protocol, RFC 9309, 2022.</w:t>
      </w:r>
    </w:p>
    <w:p>
      <w:pPr>
        <w:spacing w:before="0" w:after="0" w:line="384" w:lineRule="auto"/>
        <w:ind w:left="0" w:right="0" w:firstLine="40"/>
        <w:jc w:val="both"/>
      </w:pPr>
    </w:p>
    <w:p>
      <w:pPr>
        <w:spacing w:before="0" w:after="0" w:line="384" w:lineRule="auto"/>
        <w:ind w:left="0" w:right="0" w:firstLine="40"/>
        <w:jc w:val="both"/>
      </w:pPr>
      <w:r>
        <w:rPr>
          <w:rFonts w:ascii="한양신명조" w:hAnsi="한양신명조" w:eastAsia="한양신명조"/>
          <w:b/>
          <w:i w:val="0"/>
          <w:sz w:val="20"/>
          <w:u w:val="none"/>
          <w:color w:val="000000"/>
          <w:spacing w:val="-10"/>
        </w:rPr>
        <w:t>[판결]</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 xml:space="preserve">Thomson Reuters Enterprise Centre GmbH v. Ross Intelligence Inc., No. 1:20-cv-613-SB (D. Del. Feb. 11, 2025). </w:t>
      </w:r>
    </w:p>
    <w:p>
      <w:pPr>
        <w:spacing w:before="0" w:after="0" w:line="384" w:lineRule="auto"/>
        <w:ind w:left="0" w:right="0" w:firstLine="40"/>
        <w:jc w:val="both"/>
      </w:pPr>
    </w:p>
    <w:p>
      <w:pPr>
        <w:spacing w:before="0" w:after="0" w:line="384" w:lineRule="auto"/>
        <w:ind w:left="0" w:right="0" w:firstLine="40"/>
        <w:jc w:val="both"/>
      </w:pPr>
      <w:r>
        <w:rPr>
          <w:rFonts w:ascii="한양신명조" w:hAnsi="한양신명조" w:eastAsia="한양신명조"/>
          <w:b/>
          <w:i w:val="0"/>
          <w:sz w:val="20"/>
          <w:u w:val="none"/>
          <w:color w:val="000000"/>
          <w:spacing w:val="-10"/>
        </w:rPr>
        <w:t>[기타 자료]</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Google Search Central, “In-Depth Guide to How Google Search Works”, https://developers.google.com/search/docs/fundamentals/how-search-works (최종 갱신: 2025. 12. 18.;  2026. 7. 18. 접속).</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 xml:space="preserve">OpenAI, “Overview of OpenAI Crawlers”, OpenAI Developers, </w:t>
      </w:r>
      <w:r>
        <w:rPr>
          <w:rFonts w:ascii="한양신명조" w:hAnsi="한양신명조" w:eastAsia="한양신명조"/>
          <w:b w:val="0"/>
          <w:i w:val="0"/>
          <w:sz w:val="20"/>
          <w:u w:val="single"/>
          <w:color w:val="0000FF"/>
          <w:spacing w:val="-10"/>
        </w:rPr>
        <w:t>https://developers.openai.com/api/docs/bots</w:t>
      </w:r>
      <w:r>
        <w:rPr>
          <w:rFonts w:ascii="한양신명조" w:hAnsi="한양신명조" w:eastAsia="한양신명조"/>
          <w:b w:val="0"/>
          <w:i w:val="0"/>
          <w:sz w:val="20"/>
          <w:u w:val="none"/>
          <w:color w:val="000000"/>
          <w:spacing w:val="-10"/>
        </w:rPr>
        <w:t xml:space="preserve"> (2026. 7. 18. 접속).</w:t>
      </w:r>
    </w:p>
    <w:p>
      <w:pPr>
        <w:spacing w:before="0" w:after="0" w:line="384" w:lineRule="auto"/>
        <w:ind w:left="0" w:right="0" w:hanging="600"/>
        <w:jc w:val="both"/>
      </w:pPr>
      <w:r>
        <w:rPr>
          <w:rFonts w:ascii="한양신명조" w:hAnsi="한양신명조" w:eastAsia="한양신명조"/>
          <w:b w:val="0"/>
          <w:i w:val="0"/>
          <w:sz w:val="20"/>
          <w:u w:val="none"/>
          <w:color w:val="000000"/>
          <w:spacing w:val="-10"/>
        </w:rPr>
        <w:t xml:space="preserve">Tomé, João, “The Crawl-to-Click Gap: Cloudflare Data on AI Bots, Training, and Referrals”, *The Cloudflare Blog*, 2025. 8. 29., </w:t>
      </w:r>
      <w:r>
        <w:rPr>
          <w:rFonts w:ascii="한양신명조" w:hAnsi="한양신명조" w:eastAsia="한양신명조"/>
          <w:b w:val="0"/>
          <w:i w:val="0"/>
          <w:sz w:val="20"/>
          <w:u w:val="single"/>
          <w:color w:val="0000FF"/>
          <w:spacing w:val="-10"/>
        </w:rPr>
        <w:t>https://blog.cloudflare.com/crawlers-click-ai-bots-training</w:t>
      </w:r>
      <w:r>
        <w:rPr>
          <w:rFonts w:ascii="한양신명조" w:hAnsi="한양신명조" w:eastAsia="한양신명조"/>
          <w:b w:val="0"/>
          <w:i w:val="0"/>
          <w:sz w:val="20"/>
          <w:u w:val="none"/>
          <w:color w:val="000000"/>
          <w:spacing w:val="-10"/>
        </w:rPr>
        <w:t>(2026. 7. 18. 접속).</w:t>
      </w:r>
      <w:r>
        <w:rPr>
          <w:rFonts w:ascii="한양신명조" w:hAnsi="한양신명조" w:eastAsia="한양신명조"/>
          <w:b w:val="0"/>
          <w:i w:val="0"/>
          <w:sz w:val="20"/>
          <w:u w:val="none"/>
          <w:color w:val="000000"/>
          <w:spacing w:val="-10"/>
        </w:rPr>
      </w:r>
    </w:p>
    <w:sectPr w:rsidR="00FC693F" w:rsidRPr="0006063C" w:rsidSect="00034616">
      <w:footerReference w:type="default" r:id="rId9"/>
      <w:pgSz w:w="11906" w:h="16837"/>
      <w:pgMar w:top="1304" w:right="1587" w:bottom="1304"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t>
      <w:fldChar w:fldCharType="begin"/>
      <w:instrText xml:space="preserve"> PAGE </w:instrText>
      <w:fldChar w:fldCharType="end"/>
    </w:r>
    <w:r>
      <w:t>-</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pPr>
      <w:r>
        <w:rPr>
          <w:rStyle w:val="FootnoteReference"/>
        </w:rPr>
        <w:footnoteRef/>
        <w:t w:space="preserve">)  Google Search Central, “In-Depth Guide to How Google Search Works”, https://developers.google.com/search/docs/fundamentals/how-search-works (최종 갱신: 2025. 12. 18.; 검색일: 2026. 7. 18.); 최승재, “생성형 인공지능의 저작물 학습행위와 공정이용 여부의 판단”, 『저작권동향』 2025-제16호, 2025, 1-2면.</w:t>
      </w:r>
    </w:p>
  </w:footnote>
  <w:footnote w:id="2">
    <w:p>
      <w:pPr>
        <w:pStyle w:val="FootnoteText"/>
      </w:pPr>
      <w:r>
        <w:rPr>
          <w:rStyle w:val="FootnoteReference"/>
        </w:rPr>
        <w:footnoteRef/>
        <w:t w:space="preserve">)  특허청, 『데이터 보호를 위한 부정경쟁방지법 개정사항 안내서』, 특허청, 2022, 18-19면; 이규호, “2021년 개정 부정경쟁방지법상 데이터의 부정사용행위의 판단기준에 대한 연구”, 『중앙법학』 제24권 제2호, 2022, 45-49면; 신지혜, “부정경쟁방지법 제2조 1호 일반조항의 적용 기준에 관한 고찰”, 『법조』 제70권 제6호, 2021, 423-424면, 434-435면, 444면; 문선영, “크롤링의 데이터베이스제작자 권리 침해 및 기타 성과 등 무단사용행위 해당여부”, 『아주법학』 제19권 제4호, 2026, 233-234면, 245-248면.</w:t>
      </w:r>
    </w:p>
  </w:footnote>
  <w:footnote w:id="3">
    <w:p>
      <w:pPr>
        <w:pStyle w:val="FootnoteText"/>
      </w:pPr>
      <w:r>
        <w:rPr>
          <w:rStyle w:val="FootnoteReference"/>
        </w:rPr>
        <w:footnoteRef/>
        <w:t w:space="preserve">)  류시원, “부정경쟁방지법상 보충적 일반조항의 해석·적용 방향성에 관한 고찰”, 『정보법학』 제26권 제3호, 한국정보법학회, 2022, 국문초록; 문선영, “크롤링의 데이터베이스제작자 권리 침해 및 기타 성과 등 무단사용행위 해당여부”, 『아주법학』 제19권 제4호, 2026, 217-218면, 233-234면, 242-245면; 이성용·김상중, “생성형 AI 학습 데이터 무단 이용의 위법성 판단과 민법 제750조의 보충적 적용”, 『재산법연구』 제43권 제1호, 한국재산법학회, 2026, 133-134면, 149-150면, 157-160면, 163-164면.</w:t>
      </w:r>
    </w:p>
  </w:footnote>
  <w:footnote w:id="4">
    <w:p>
      <w:pPr>
        <w:pStyle w:val="FootnoteText"/>
      </w:pPr>
      <w:r>
        <w:rPr>
          <w:rStyle w:val="FootnoteReference"/>
        </w:rPr>
        <w:footnoteRef/>
        <w:t w:space="preserve">)  서재권, “공개데이터 크롤링에 대한 법적 검토와 데이터산업 발전을 위한 법제도 개선 방안”, 『IP &amp; Data 法』 제2권 제1호, 인하대학교 법학연구소, 2022, 38-39면; Google Search Central, “In-Depth Guide to How Google Search Works”, https://developers.google.com/search/docs/fundamentals/how-search-works (최종 갱신: 2025. 12. 18.; 검색일: 2026. 7. 18.); IETF, “RFC 9309: Robots Exclusion Protocol”, https://datatracker.ietf.org/doc/html/rfc9309 (검색일: 2026. 7. 18.).</w:t>
      </w:r>
    </w:p>
  </w:footnote>
  <w:footnote w:id="5">
    <w:p>
      <w:pPr>
        <w:pStyle w:val="FootnoteText"/>
      </w:pPr>
      <w:r>
        <w:rPr>
          <w:rStyle w:val="FootnoteReference"/>
        </w:rPr>
        <w:footnoteRef/>
        <w:t w:space="preserve">)  IETF, “RFC 9309: Robots Exclusion Protocol”, https://datatracker.ietf.org/doc/html/rfc9309 (검색일: 2026. 7. 18.).</w:t>
      </w:r>
    </w:p>
  </w:footnote>
  <w:footnote w:id="6">
    <w:p>
      <w:pPr>
        <w:pStyle w:val="FootnoteText"/>
      </w:pPr>
      <w:r>
        <w:rPr>
          <w:rStyle w:val="FootnoteReference"/>
        </w:rPr>
        <w:footnoteRef/>
        <w:t w:space="preserve">)  이성용·김상중, “생성형 AI 학습 데이터 무단 이용의 위법성 판단과 민법 제750조의 보충적 적용”, 『재산법연구』 제43권 제1호, 한국재산법학회, 2026, 136-138면; 김성원·최상민·이수원, “텍스트·데이터 마이닝 과정의 저작물 이용 면책 규정 신설안에 대한 소고 — 적대적 생성신경망에의 적용”, 『지식재산연구』 제18권 제1호, 한국지식재산연구원, 2023, 151면.</w:t>
      </w:r>
    </w:p>
  </w:footnote>
  <w:footnote w:id="7">
    <w:p>
      <w:pPr>
        <w:pStyle w:val="FootnoteText"/>
      </w:pPr>
      <w:r>
        <w:rPr>
          <w:rStyle w:val="FootnoteReference"/>
        </w:rPr>
        <w:footnoteRef/>
        <w:t w:space="preserve">)  이성용·김상중, “생성형 AI 학습 데이터 무단 이용의 위법성 판단과 민법 제750조의 보충적 적용”, 『재산법연구』 제43권 제1호, 한국재산법학회, 2026, 136-138면; 김성원·최상민·이수원, “텍스트·데이터 마이닝 과정의 저작물 이용 면책 규정 신설안에 대한 소고 — 적대적 생성신경망에의 적용”, 『지식재산연구』 제18권 제1호, 한국지식재산연구원, 2023, 151면.</w:t>
      </w:r>
    </w:p>
  </w:footnote>
  <w:footnote w:id="8">
    <w:p>
      <w:pPr>
        <w:pStyle w:val="FootnoteText"/>
      </w:pPr>
      <w:r>
        <w:rPr>
          <w:rStyle w:val="FootnoteReference"/>
        </w:rPr>
        <w:footnoteRef/>
        <w:t w:space="preserve">)  이규호, “인공지능 학습용 데이터세트에 대한 저작권법과 부정경쟁방지법상 보호와 그 한계”, 『인권과 정의』 제494호, 2020, 90-93면; 이성용·김상중, “생성형 AI 학습 데이터 무단 이용의 위법성 판단과 민법 제750조의 보충적 적용”, 『재산법연구』 제43권 제1호, 2026, 136-138면.</w:t>
      </w:r>
    </w:p>
  </w:footnote>
  <w:footnote w:id="9">
    <w:p>
      <w:pPr>
        <w:pStyle w:val="FootnoteText"/>
      </w:pPr>
      <w:r>
        <w:rPr>
          <w:rStyle w:val="FootnoteReference"/>
        </w:rPr>
        <w:footnoteRef/>
        <w:t w:space="preserve">)  João Tomé, “The Crawl-to-Click Gap: Cloudflare Data on AI Bots, Training, and Referrals”, The Cloudflare Blog, 2025. 8. 29., https://blog.cloudflare.com/crawlers-click-ai-bots-training/ (검색일: 2026. 7. 18.).</w:t>
      </w:r>
    </w:p>
  </w:footnote>
  <w:footnote w:id="10">
    <w:p>
      <w:pPr>
        <w:pStyle w:val="FootnoteText"/>
      </w:pPr>
      <w:r>
        <w:rPr>
          <w:rStyle w:val="FootnoteReference"/>
        </w:rPr>
        <w:footnoteRef/>
        <w:t w:space="preserve">)  국회입법조사처, 『AI 데이터 학습과 저작권 문제 해결을 위한 과제』, 2025. 11. 13., https://www.nars.go.kr/report/view.do?brdSeq=48419&amp;cmsCode=CM0043&amp;page=2 (검색일: 2026. 7. 18.); 한국저작권위원회, 『생성형 인공지능의 저작물 학습에 대한 저작권법상 ‘공정이용’ 안내서』, 2026. 2. 26.; 신창환, “인공지능의 구현을 목적으로 한 저작권법상 텍스트·데이터 마이닝 허용 논의와 관련한 옵트 아웃제 및 조건부 보상시스템 검토”, 『저스티스』 통권 제207호, 2025. 4., 109-142면.</w:t>
      </w:r>
    </w:p>
  </w:footnote>
  <w:footnote w:id="11">
    <w:p>
      <w:pPr>
        <w:pStyle w:val="FootnoteText"/>
      </w:pPr>
      <w:r>
        <w:rPr>
          <w:rStyle w:val="FootnoteReference"/>
        </w:rPr>
        <w:footnoteRef/>
        <w:t w:space="preserve">)  OpenAI, “Overview of OpenAI Crawlers”, OpenAI Developers, https://developers.openai.com/api/docs/bots (검색일: 2026. 7. 18.).</w:t>
      </w:r>
    </w:p>
  </w:footnote>
  <w:footnote w:id="12">
    <w:p>
      <w:pPr>
        <w:pStyle w:val="FootnoteText"/>
      </w:pPr>
      <w:r>
        <w:rPr>
          <w:rStyle w:val="FootnoteReference"/>
        </w:rPr>
        <w:footnoteRef/>
        <w:t w:space="preserve">)  윤지선, 윤주현, "빅데이터 시대, 웹크롤링으로부터 데이터베이스를 보호하기 위한 UX디자인의 역할 - 지적재산권 분쟁 사례 분석을 중심으로 -," 『한국HCI학회 논문지』 제20권 제3호, 한국HCI학회, 2025, 37면.</w:t>
      </w:r>
    </w:p>
  </w:footnote>
  <w:footnote w:id="13">
    <w:p>
      <w:pPr>
        <w:pStyle w:val="FootnoteText"/>
      </w:pPr>
      <w:r>
        <w:rPr>
          <w:rStyle w:val="FootnoteReference"/>
        </w:rPr>
        <w:footnoteRef/>
        <w:t w:space="preserve">) 「부정경쟁방지 및 영업비밀보호에 관한 법률」제1조. </w:t>
      </w:r>
    </w:p>
  </w:footnote>
  <w:footnote w:id="14">
    <w:p>
      <w:pPr>
        <w:pStyle w:val="FootnoteText"/>
      </w:pPr>
      <w:r>
        <w:rPr>
          <w:rStyle w:val="FootnoteReference"/>
        </w:rPr>
        <w:footnoteRef/>
        <w:t w:space="preserve">)  신지혜, “부정경쟁방지법 제2조 1호 일반조항의 적용 기준에 관한 고찰: 대법원 2020. 3. 26. 선고 2016다276467 판결을 계기로,” 『법조』 제70권 제6호(통권 제750호), 법조협회, 2021, 417-419면.</w:t>
      </w:r>
    </w:p>
  </w:footnote>
  <w:footnote w:id="15">
    <w:p>
      <w:pPr>
        <w:pStyle w:val="FootnoteText"/>
      </w:pPr>
      <w:r>
        <w:rPr>
          <w:rStyle w:val="FootnoteReference"/>
        </w:rPr>
        <w:footnoteRef/>
        <w:t w:space="preserve">) 「부정경쟁방지 및 영업비밀보호에 관한 법률」 제2조 제1호 (카)목. 본 데이터 보호 조항은 2021년 12월 7일 개정(법률 제18548호)되어 2022년 4월 20일부터 시행되었다. 다만 2024년 개정을 거쳐 현행법의 경우 법률상 ‘영업비밀’ 요건을 충족하는 정보만을 제외하며 보호 범위를 넓혔다. </w:t>
      </w:r>
    </w:p>
  </w:footnote>
  <w:footnote w:id="16">
    <w:p>
      <w:pPr>
        <w:pStyle w:val="FootnoteText"/>
      </w:pPr>
      <w:r>
        <w:rPr>
          <w:rStyle w:val="FootnoteReference"/>
        </w:rPr>
        <w:footnoteRef/>
        <w:t w:space="preserve">)  특허청, 앞의 자료(2022), 124-126면.</w:t>
      </w:r>
    </w:p>
  </w:footnote>
  <w:footnote w:id="17">
    <w:p>
      <w:pPr>
        <w:pStyle w:val="FootnoteText"/>
      </w:pPr>
      <w:r>
        <w:rPr>
          <w:rStyle w:val="FootnoteReference"/>
        </w:rPr>
        <w:footnoteRef/>
        <w:t w:space="preserve">)  대법원 2020. 3. 26. 자 2019마6525 결정. 본 결정에서 대법원은 파목의 신설 목적이 기존 규정으로 포섭하기 어려운 새로운 유형의 부정경쟁행위를 규제하기 위함임을 명시하였다. </w:t>
      </w:r>
    </w:p>
  </w:footnote>
  <w:footnote w:id="18">
    <w:p>
      <w:pPr>
        <w:pStyle w:val="FootnoteText"/>
      </w:pPr>
      <w:r>
        <w:rPr>
          <w:rStyle w:val="FootnoteReference"/>
        </w:rPr>
        <w:footnoteRef/>
        <w:t w:space="preserve">)  대법원 2020. 3. 26. 선고 2016다276467 판결, 4-5면.</w:t>
      </w:r>
    </w:p>
  </w:footnote>
  <w:footnote w:id="19">
    <w:p>
      <w:pPr>
        <w:pStyle w:val="FootnoteText"/>
      </w:pPr>
      <w:r>
        <w:rPr>
          <w:rStyle w:val="FootnoteReference"/>
        </w:rPr>
        <w:footnoteRef/>
        <w:t w:space="preserve">)  김현숙, 「크롤링을 이용한 공개데이터 수집·활용의 법적쟁점에 대한 비판적 검토」, 『강원법학』 제61권, 강원대학교 비교법학연구소, 2020, 242면 참조.</w:t>
      </w:r>
    </w:p>
  </w:footnote>
  <w:footnote w:id="20">
    <w:p>
      <w:pPr>
        <w:pStyle w:val="FootnoteText"/>
      </w:pPr>
      <w:r>
        <w:rPr>
          <w:rStyle w:val="FootnoteReference"/>
        </w:rPr>
        <w:footnoteRef/>
        <w:t w:space="preserve">)  대법원 2020. 3. 26.자 2019마6525 결정</w:t>
      </w:r>
    </w:p>
  </w:footnote>
  <w:footnote w:id="21">
    <w:p>
      <w:pPr>
        <w:pStyle w:val="FootnoteText"/>
      </w:pPr>
      <w:r>
        <w:rPr>
          <w:rStyle w:val="FootnoteReference"/>
        </w:rPr>
        <w:footnoteRef/>
        <w:t w:space="preserve">)  “부정경쟁행위 유형의 비교법 분석 연구,” 한국지식재산연구원, 2024, 43p</w:t>
      </w:r>
    </w:p>
  </w:footnote>
  <w:footnote w:id="22">
    <w:p>
      <w:pPr>
        <w:pStyle w:val="FootnoteText"/>
      </w:pPr>
      <w:r>
        <w:rPr>
          <w:rStyle w:val="FootnoteReference"/>
        </w:rPr>
        <w:footnoteRef/>
        <w:t w:space="preserve">)  신지혜, "부정경쟁방지법 제2조 1호 일반조항의 적용 기준에 관한 고찰 - 대법원 2020. 3. 26. 선고 2016다276467 판결을 계기로 -", 『법조』 제70권 제6호, 법조협회, 2021, 436면,</w:t>
      </w:r>
    </w:p>
  </w:footnote>
  <w:footnote w:id="23">
    <w:p>
      <w:pPr>
        <w:pStyle w:val="FootnoteText"/>
      </w:pPr>
      <w:r>
        <w:rPr>
          <w:rStyle w:val="FootnoteReference"/>
        </w:rPr>
        <w:footnoteRef/>
        <w:t w:space="preserve">)  서울고등법원 2017. 1. 12. 선고 2015나2063761 판결(킹닷컴 사건 항소심); 신지혜, 앞의 논문(2021), 435면, 444면.</w:t>
      </w:r>
    </w:p>
  </w:footnote>
  <w:footnote w:id="24">
    <w:p>
      <w:pPr>
        <w:pStyle w:val="FootnoteText"/>
      </w:pPr>
      <w:r>
        <w:rPr>
          <w:rStyle w:val="FootnoteReference"/>
        </w:rPr>
        <w:footnoteRef/>
        <w:t w:space="preserve">)  이규호, "인공지능 학습용 데이터세트에 대한 저작권법과 부정경쟁방지법상 보호와 그 한계", 『인권과 정의』 제494호, 대한변호사협회, 2020, 108면.</w:t>
      </w:r>
    </w:p>
  </w:footnote>
  <w:footnote w:id="25">
    <w:p>
      <w:pPr>
        <w:pStyle w:val="FootnoteText"/>
      </w:pPr>
      <w:r>
        <w:rPr>
          <w:rStyle w:val="FootnoteReference"/>
        </w:rPr>
        <w:footnoteRef/>
        <w:t w:space="preserve">)  해당 사건의 형사 판결은 대법원 2022. 5. 12. 선고 2021도1533 판결을, 부정경쟁행위가 인정된 민사 본안 판결은 서울중앙지방법원 2021. 8. 19. 선고 2018가합508729 판결참조.</w:t>
      </w:r>
    </w:p>
  </w:footnote>
  <w:footnote w:id="26">
    <w:p>
      <w:pPr>
        <w:pStyle w:val="FootnoteText"/>
      </w:pPr>
      <w:r>
        <w:rPr>
          <w:rStyle w:val="FootnoteReference"/>
        </w:rPr>
        <w:footnoteRef/>
        <w:t w:space="preserve">)  본 사건의 형사 책임에 대해서는 대법원 2022. 5. 12. 선고 2021도1533 판결에 의해 최종 무죄가 확정된 반면, 민사상 손해배상 책임에 대해서는 서울중앙지방법원 2021. 8. 19. 선고 2018가합508729 판결에서 부정경쟁방지법상 성과도용행위를 인정하여 10억 원의 배상 명령을 내림으로써 민·형사상 법적 평가가 엇갈렸다.</w:t>
      </w:r>
    </w:p>
  </w:footnote>
  <w:footnote w:id="27">
    <w:p>
      <w:pPr>
        <w:pStyle w:val="FootnoteText"/>
      </w:pPr>
      <w:r>
        <w:rPr>
          <w:rStyle w:val="FootnoteReference"/>
        </w:rPr>
        <w:footnoteRef/>
        <w:t w:space="preserve">)  앞의 판결(서울중앙지방법원 2021. 8. 19. 선고 2018가합508729)의 판시사항을 토대로 작성.</w:t>
      </w:r>
    </w:p>
  </w:footnote>
  <w:footnote w:id="28">
    <w:p>
      <w:pPr>
        <w:pStyle w:val="FootnoteText"/>
      </w:pPr>
      <w:r>
        <w:rPr>
          <w:rStyle w:val="FootnoteReference"/>
        </w:rPr>
        <w:footnoteRef/>
        <w:t w:space="preserve">)  김현숙, 앞의 논문(2020), 219면, 238-239면.</w:t>
      </w:r>
    </w:p>
  </w:footnote>
  <w:footnote w:id="29">
    <w:p>
      <w:pPr>
        <w:pStyle w:val="FootnoteText"/>
      </w:pPr>
      <w:r>
        <w:rPr>
          <w:rStyle w:val="FootnoteReference"/>
        </w:rPr>
        <w:footnoteRef/>
        <w:t w:space="preserve">)  신지혜, 앞의 논문(2021), 437-439면</w:t>
      </w:r>
    </w:p>
  </w:footnote>
  <w:footnote w:id="30">
    <w:p>
      <w:pPr>
        <w:pStyle w:val="FootnoteText"/>
      </w:pPr>
      <w:r>
        <w:rPr>
          <w:rStyle w:val="FootnoteReference"/>
        </w:rPr>
        <w:footnoteRef/>
        <w:t w:space="preserve">)  서울고등법원 2017. 4. 6. 선고 2016나2019365 판결(채용정보 사건) 및 서울고등법원 2022. 8. 25. 선고 2021나2034740 판결(야놀자 v. 여기어때 민사 사건).</w:t>
      </w:r>
    </w:p>
  </w:footnote>
  <w:footnote w:id="31">
    <w:p>
      <w:pPr>
        <w:pStyle w:val="FootnoteText"/>
      </w:pPr>
      <w:r>
        <w:rPr>
          <w:rStyle w:val="FootnoteReference"/>
        </w:rPr>
        <w:footnoteRef/>
        <w:t w:space="preserve">)  신지혜, 앞의 논문, 434-435면.</w:t>
      </w:r>
    </w:p>
  </w:footnote>
  <w:footnote w:id="32">
    <w:p>
      <w:pPr>
        <w:pStyle w:val="FootnoteText"/>
      </w:pPr>
      <w:r>
        <w:rPr>
          <w:rStyle w:val="FootnoteReference"/>
        </w:rPr>
        <w:footnoteRef/>
        <w:t w:space="preserve">)  이성용·김상중, 앞의 논문, 159면.</w:t>
      </w:r>
    </w:p>
  </w:footnote>
  <w:footnote w:id="33">
    <w:p>
      <w:pPr>
        <w:pStyle w:val="FootnoteText"/>
      </w:pPr>
      <w:r>
        <w:rPr>
          <w:rStyle w:val="FootnoteReference"/>
        </w:rPr>
        <w:footnoteRef/>
        <w:t w:space="preserve">)  이성용·김상중, 앞의 논문, 157-158면.</w:t>
      </w:r>
    </w:p>
  </w:footnote>
  <w:footnote w:id="34">
    <w:p>
      <w:pPr>
        <w:pStyle w:val="FootnoteText"/>
      </w:pPr>
      <w:r>
        <w:rPr>
          <w:rStyle w:val="FootnoteReference"/>
        </w:rPr>
        <w:footnoteRef/>
        <w:t w:space="preserve">)  해당 표는 앞서 언급된 부정경쟁방지법 제2조 제1호 (파)목의 요건 판단 기준을 간략히 정리한 것이다. 또한 각 요소는 독립적인 성립 요건이 아닌, 구체적인 사안에서 위법성의 유무 및 그 정도를 형량하여 평가하는 종합적인 판단 요건이다.</w:t>
      </w:r>
    </w:p>
  </w:footnote>
  <w:footnote w:id="35">
    <w:p>
      <w:pPr>
        <w:pStyle w:val="FootnoteText"/>
      </w:pPr>
      <w:r>
        <w:rPr>
          <w:rStyle w:val="FootnoteReference"/>
        </w:rPr>
        <w:footnoteRef/>
        <w:t w:space="preserve">)  Thomson Reuters Enterprise Centre GmbH v. Ross Intelligence Inc., No. 1:20-cv-613-SB (D. Del. Feb. 11, 2025). 본 판결은 AI 모델 학습 목적의 무단 복제에 대해 연방법원이 최초로 공정이용 항변을 기각하고 직접 침해를 선언한 리딩 케이스이다. 원고(Thomson Reuters)는 수조 원을 투자하여 사법 판결의 정수를 정리한 분류 및 판결 요약(Headnotes) 시스템을 운영해 왔는데, 피고(ROSS)는 자사 법률 AI 엔진 탑재를 위해 정상적인 라이선스 계약이 무산되자 제3의 분석 대행사를 우회하여 이 헤드노트 가공 벌크 데이터를 무단 학습시켰다. 이에 저작권 침해 소송이 시작되자 ROSS는 AI 언어 교육을 위한 일시적인 중간 복제이므로 공정이용의 권역에 해당한다고 방어하였다.</w:t>
      </w:r>
    </w:p>
  </w:footnote>
  <w:footnote w:id="36">
    <w:p>
      <w:pPr>
        <w:pStyle w:val="FootnoteText"/>
      </w:pPr>
      <w:r>
        <w:rPr>
          <w:rStyle w:val="FootnoteReference"/>
        </w:rPr>
        <w:footnoteRef/>
        <w:t w:space="preserve">)  표3은 전술한 ROSS 판례의 판시 요지를 (파)목 법리로 재구성하여 적용한 사안들을 정리한 것이다.</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