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C0385" w14:textId="59A9F9B4" w:rsidR="00337839" w:rsidRDefault="00337839" w:rsidP="00305B50">
      <w:pPr>
        <w:rPr>
          <w:rFonts w:asciiTheme="majorBidi" w:hAnsiTheme="majorBidi" w:cstheme="majorBidi"/>
          <w:b/>
          <w:bCs/>
          <w:sz w:val="28"/>
          <w:szCs w:val="28"/>
        </w:rPr>
      </w:pPr>
      <w:r w:rsidRPr="00732358">
        <w:rPr>
          <w:rFonts w:ascii="Arial" w:hAnsi="Arial" w:cs="Arial"/>
          <w:b/>
          <w:noProof/>
          <w:lang w:eastAsia="en-GB"/>
        </w:rPr>
        <w:drawing>
          <wp:inline distT="0" distB="0" distL="0" distR="0" wp14:anchorId="68DD5ABC" wp14:editId="0EEED12A">
            <wp:extent cx="2924175" cy="981075"/>
            <wp:effectExtent l="0" t="0" r="0" b="9525"/>
            <wp:docPr id="2" name="Picture 2" descr="http://www.gla.ac.uk/visualidentity/downloads/files/School of Law/BMP/Law_mon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gla.ac.uk/visualidentity/downloads/files/School of Law/BMP/Law_mono.bmp"/>
                    <pic:cNvPicPr>
                      <a:picLocks noChangeAspect="1" noChangeArrowheads="1"/>
                    </pic:cNvPicPr>
                  </pic:nvPicPr>
                  <pic:blipFill rotWithShape="1">
                    <a:blip r:embed="rId8" r:link="rId9" cstate="print">
                      <a:extLst>
                        <a:ext uri="{28A0092B-C50C-407E-A947-70E740481C1C}">
                          <a14:useLocalDpi xmlns:a14="http://schemas.microsoft.com/office/drawing/2010/main" val="0"/>
                        </a:ext>
                      </a:extLst>
                    </a:blip>
                    <a:srcRect l="6116" b="-52"/>
                    <a:stretch/>
                  </pic:blipFill>
                  <pic:spPr bwMode="auto">
                    <a:xfrm>
                      <a:off x="0" y="0"/>
                      <a:ext cx="2922254" cy="980431"/>
                    </a:xfrm>
                    <a:prstGeom prst="rect">
                      <a:avLst/>
                    </a:prstGeom>
                    <a:noFill/>
                    <a:ln>
                      <a:noFill/>
                    </a:ln>
                    <a:extLst>
                      <a:ext uri="{53640926-AAD7-44D8-BBD7-CCE9431645EC}">
                        <a14:shadowObscured xmlns:a14="http://schemas.microsoft.com/office/drawing/2010/main"/>
                      </a:ext>
                    </a:extLst>
                  </pic:spPr>
                </pic:pic>
              </a:graphicData>
            </a:graphic>
          </wp:inline>
        </w:drawing>
      </w:r>
    </w:p>
    <w:p w14:paraId="1F7153D6" w14:textId="77777777" w:rsidR="00337839" w:rsidRDefault="00337839" w:rsidP="00AB4A76">
      <w:pPr>
        <w:jc w:val="center"/>
        <w:rPr>
          <w:rFonts w:asciiTheme="majorBidi" w:hAnsiTheme="majorBidi" w:cstheme="majorBidi"/>
          <w:b/>
          <w:bCs/>
          <w:sz w:val="28"/>
          <w:szCs w:val="28"/>
        </w:rPr>
      </w:pPr>
    </w:p>
    <w:p w14:paraId="3623EF5F" w14:textId="01D62CB2" w:rsidR="00D701DF" w:rsidRDefault="00B733FE" w:rsidP="00574A13">
      <w:pPr>
        <w:jc w:val="center"/>
        <w:rPr>
          <w:rFonts w:cs="Times New Roman"/>
          <w:sz w:val="28"/>
          <w:szCs w:val="28"/>
        </w:rPr>
      </w:pPr>
      <w:r w:rsidRPr="00AB4A76">
        <w:rPr>
          <w:rFonts w:asciiTheme="majorBidi" w:hAnsiTheme="majorBidi" w:cstheme="majorBidi"/>
          <w:b/>
          <w:bCs/>
          <w:noProof/>
          <w:sz w:val="28"/>
          <w:szCs w:val="28"/>
        </w:rPr>
        <mc:AlternateContent>
          <mc:Choice Requires="wps">
            <w:drawing>
              <wp:anchor distT="0" distB="0" distL="114300" distR="114300" simplePos="0" relativeHeight="251658240" behindDoc="0" locked="0" layoutInCell="1" allowOverlap="1" wp14:anchorId="339AAC52" wp14:editId="356E6D40">
                <wp:simplePos x="0" y="0"/>
                <wp:positionH relativeFrom="column">
                  <wp:posOffset>1176655</wp:posOffset>
                </wp:positionH>
                <wp:positionV relativeFrom="paragraph">
                  <wp:posOffset>247015</wp:posOffset>
                </wp:positionV>
                <wp:extent cx="3551702" cy="661182"/>
                <wp:effectExtent l="0" t="0" r="4445" b="0"/>
                <wp:wrapNone/>
                <wp:docPr id="1" name="Text Box 1"/>
                <wp:cNvGraphicFramePr/>
                <a:graphic xmlns:a="http://schemas.openxmlformats.org/drawingml/2006/main">
                  <a:graphicData uri="http://schemas.microsoft.com/office/word/2010/wordprocessingShape">
                    <wps:wsp>
                      <wps:cNvSpPr txBox="1"/>
                      <wps:spPr>
                        <a:xfrm>
                          <a:off x="0" y="0"/>
                          <a:ext cx="3551702" cy="661182"/>
                        </a:xfrm>
                        <a:prstGeom prst="rect">
                          <a:avLst/>
                        </a:prstGeom>
                        <a:solidFill>
                          <a:schemeClr val="lt1"/>
                        </a:solidFill>
                        <a:ln w="6350">
                          <a:noFill/>
                        </a:ln>
                      </wps:spPr>
                      <wps:txbx>
                        <w:txbxContent>
                          <w:p w14:paraId="3450D852" w14:textId="1F24DFE0" w:rsidR="00D701DF" w:rsidRPr="00AB45DD" w:rsidRDefault="000B1540" w:rsidP="00C30070">
                            <w:pPr>
                              <w:jc w:val="center"/>
                            </w:pPr>
                            <w:r w:rsidRPr="00C30070">
                              <w:rPr>
                                <w:i/>
                                <w:iCs/>
                              </w:rPr>
                              <w:t xml:space="preserve">Students: </w:t>
                            </w:r>
                            <w:r w:rsidR="00F91B44" w:rsidRPr="00C30070">
                              <w:rPr>
                                <w:i/>
                                <w:iCs/>
                              </w:rPr>
                              <w:t>In preparing and</w:t>
                            </w:r>
                            <w:r w:rsidR="002F3AC1" w:rsidRPr="00C30070">
                              <w:rPr>
                                <w:i/>
                                <w:iCs/>
                              </w:rPr>
                              <w:t xml:space="preserve"> </w:t>
                            </w:r>
                            <w:r w:rsidR="00D701DF" w:rsidRPr="00C30070">
                              <w:rPr>
                                <w:i/>
                                <w:iCs/>
                              </w:rPr>
                              <w:t xml:space="preserve">submitting this assessment, please ensure you </w:t>
                            </w:r>
                            <w:r w:rsidR="0002230D" w:rsidRPr="00C30070">
                              <w:rPr>
                                <w:i/>
                                <w:iCs/>
                              </w:rPr>
                              <w:t xml:space="preserve">adhere to the </w:t>
                            </w:r>
                            <w:r w:rsidR="009F3740" w:rsidRPr="00C30070">
                              <w:rPr>
                                <w:i/>
                                <w:iCs/>
                              </w:rPr>
                              <w:t>Coursework</w:t>
                            </w:r>
                            <w:r w:rsidR="009F3740">
                              <w:t xml:space="preserve"> Submission</w:t>
                            </w:r>
                            <w:r w:rsidR="0002230D">
                              <w:t xml:space="preserve"> Instructions</w:t>
                            </w:r>
                            <w:r w:rsidR="00D701DF" w:rsidRPr="00AB45DD">
                              <w:t>.</w:t>
                            </w:r>
                            <w:r w:rsidRPr="00AB45DD">
                              <w:t xml:space="preserve"> </w:t>
                            </w:r>
                            <w:r w:rsidR="00F3700A" w:rsidRPr="00AB45DD">
                              <w:rPr>
                                <w:color w:val="FF0000"/>
                              </w:rPr>
                              <w:t>Add the relevant details where indicated</w:t>
                            </w:r>
                            <w:r w:rsidR="004651EB" w:rsidRPr="00AB45DD">
                              <w:rPr>
                                <w:color w:val="FF0000"/>
                              </w:rPr>
                              <w:t xml:space="preserve"> in 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9AAC52" id="_x0000_t202" coordsize="21600,21600" o:spt="202" path="m,l,21600r21600,l21600,xe">
                <v:stroke joinstyle="miter"/>
                <v:path gradientshapeok="t" o:connecttype="rect"/>
              </v:shapetype>
              <v:shape id="Text Box 1" o:spid="_x0000_s1026" type="#_x0000_t202" style="position:absolute;left:0;text-align:left;margin-left:92.65pt;margin-top:19.45pt;width:279.65pt;height:52.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mXdFLAIAAFQEAAAOAAAAZHJzL2Uyb0RvYy54bWysVEtv2zAMvg/YfxB0X2ynSdoZcYosRYYB&#13;&#10;RVsgHXpWZCk2IIuapMTOfv0o2Xms22nYRSZF6uPro+f3XaPIQVhXgy5oNkopEZpDWetdQb+/rj/d&#13;&#10;UeI80yVToEVBj8LR+8XHD/PW5GIMFahSWIIg2uWtKWjlvcmTxPFKNMyNwAiNRgm2YR5Vu0tKy1pE&#13;&#10;b1QyTtNZ0oItjQUunMPbh95IFxFfSsH9s5ROeKIKirn5eNp4bsOZLOYs31lmqpoPabB/yKJhtcag&#13;&#10;Z6gH5hnZ2/oPqKbmFhxIP+LQJCBlzUWsAavJ0nfVbCpmRKwFm+PMuU3u/8Hyp8PGvFjiuy/Q4QBD&#13;&#10;Q1rjcoeXoZ5O2iZ8MVOCdmzh8dw20XnC8fJmOs1u0zElHG2zWZbdjQNMcnltrPNfBTQkCAW1OJbY&#13;&#10;LXZ4dL53PbmEYA5UXa5rpaISqCBWypIDwyEqH3NE8N+8lCYtBr+ZphFYQ3jeIyuNuVxqCpLvtt1Q&#13;&#10;6BbKI9ZvoaeGM3xdY5KPzPkXZpELWDLy2z/jIRVgEBgkSiqwP/92H/xxRGilpEVuFdT92DMrKFHf&#13;&#10;NA7vczaZBDJGZTK9HaNiry3ba4veNyvAyjPcJMOjGPy9OonSQvOGa7AMUdHENMfYBfUnceV7xuMa&#13;&#10;cbFcRiekn2H+UW8MD9Ch02EEr90bs2aYk8cJP8GJhSx/N67eN7zUsNx7kHWcZWhw39Wh70jdyIZh&#13;&#10;zcJuXOvR6/IzWPwCAAD//wMAUEsDBBQABgAIAAAAIQBl3plq4wAAAA8BAAAPAAAAZHJzL2Rvd25y&#13;&#10;ZXYueG1sTE/LTsMwELwj8Q/WInFB1IGkbUjjVIinxI2Gh7i58ZJExOsodpPw9ywnuKw0msfO5NvZ&#13;&#10;dmLEwbeOFFwsIhBIlTMt1QpeyvvzFIQPmozuHKGCb/SwLY6Pcp0ZN9EzjrtQCw4hn2kFTQh9JqWv&#13;&#10;GrTaL1yPxNynG6wODIdamkFPHG47eRlFK2l1S/yh0T3eNFh97Q5WwcdZ/f7k54fXKV7G/d3jWK7f&#13;&#10;TKnU6cl8u+FzvQERcA5/DvjdwP2h4GJ7dyDjRcc4XcYsVRCnVyBYsE6SFYg9M0kcgSxy+X9H8QMA&#13;&#10;AP//AwBQSwECLQAUAAYACAAAACEAtoM4kv4AAADhAQAAEwAAAAAAAAAAAAAAAAAAAAAAW0NvbnRl&#13;&#10;bnRfVHlwZXNdLnhtbFBLAQItABQABgAIAAAAIQA4/SH/1gAAAJQBAAALAAAAAAAAAAAAAAAAAC8B&#13;&#10;AABfcmVscy8ucmVsc1BLAQItABQABgAIAAAAIQBDmXdFLAIAAFQEAAAOAAAAAAAAAAAAAAAAAC4C&#13;&#10;AABkcnMvZTJvRG9jLnhtbFBLAQItABQABgAIAAAAIQBl3plq4wAAAA8BAAAPAAAAAAAAAAAAAAAA&#13;&#10;AIYEAABkcnMvZG93bnJldi54bWxQSwUGAAAAAAQABADzAAAAlgUAAAAA&#13;&#10;" fillcolor="white [3201]" stroked="f" strokeweight=".5pt">
                <v:textbox>
                  <w:txbxContent>
                    <w:p w14:paraId="3450D852" w14:textId="1F24DFE0" w:rsidR="00D701DF" w:rsidRPr="00AB45DD" w:rsidRDefault="000B1540" w:rsidP="00C30070">
                      <w:pPr>
                        <w:jc w:val="center"/>
                      </w:pPr>
                      <w:r w:rsidRPr="00C30070">
                        <w:rPr>
                          <w:i/>
                          <w:iCs/>
                        </w:rPr>
                        <w:t xml:space="preserve">Students: </w:t>
                      </w:r>
                      <w:r w:rsidR="00F91B44" w:rsidRPr="00C30070">
                        <w:rPr>
                          <w:i/>
                          <w:iCs/>
                        </w:rPr>
                        <w:t>In preparing and</w:t>
                      </w:r>
                      <w:r w:rsidR="002F3AC1" w:rsidRPr="00C30070">
                        <w:rPr>
                          <w:i/>
                          <w:iCs/>
                        </w:rPr>
                        <w:t xml:space="preserve"> </w:t>
                      </w:r>
                      <w:r w:rsidR="00D701DF" w:rsidRPr="00C30070">
                        <w:rPr>
                          <w:i/>
                          <w:iCs/>
                        </w:rPr>
                        <w:t xml:space="preserve">submitting this assessment, please ensure you </w:t>
                      </w:r>
                      <w:r w:rsidR="0002230D" w:rsidRPr="00C30070">
                        <w:rPr>
                          <w:i/>
                          <w:iCs/>
                        </w:rPr>
                        <w:t xml:space="preserve">adhere to the </w:t>
                      </w:r>
                      <w:r w:rsidR="009F3740" w:rsidRPr="00C30070">
                        <w:rPr>
                          <w:i/>
                          <w:iCs/>
                        </w:rPr>
                        <w:t>Coursework</w:t>
                      </w:r>
                      <w:r w:rsidR="009F3740">
                        <w:t xml:space="preserve"> Submission</w:t>
                      </w:r>
                      <w:r w:rsidR="0002230D">
                        <w:t xml:space="preserve"> Instructions</w:t>
                      </w:r>
                      <w:r w:rsidR="00D701DF" w:rsidRPr="00AB45DD">
                        <w:t>.</w:t>
                      </w:r>
                      <w:r w:rsidRPr="00AB45DD">
                        <w:t xml:space="preserve"> </w:t>
                      </w:r>
                      <w:r w:rsidR="00F3700A" w:rsidRPr="00AB45DD">
                        <w:rPr>
                          <w:color w:val="FF0000"/>
                        </w:rPr>
                        <w:t>Add the relevant details where indicated</w:t>
                      </w:r>
                      <w:r w:rsidR="004651EB" w:rsidRPr="00AB45DD">
                        <w:rPr>
                          <w:color w:val="FF0000"/>
                        </w:rPr>
                        <w:t xml:space="preserve"> in red</w:t>
                      </w:r>
                    </w:p>
                  </w:txbxContent>
                </v:textbox>
              </v:shape>
            </w:pict>
          </mc:Fallback>
        </mc:AlternateContent>
      </w:r>
      <w:r w:rsidR="009F3740">
        <w:rPr>
          <w:rFonts w:asciiTheme="majorBidi" w:hAnsiTheme="majorBidi" w:cstheme="majorBidi"/>
          <w:b/>
          <w:bCs/>
          <w:sz w:val="28"/>
          <w:szCs w:val="28"/>
        </w:rPr>
        <w:t xml:space="preserve">COURSEWORK </w:t>
      </w:r>
      <w:r w:rsidR="00574A13">
        <w:rPr>
          <w:rFonts w:asciiTheme="majorBidi" w:hAnsiTheme="majorBidi" w:cstheme="majorBidi"/>
          <w:b/>
          <w:bCs/>
          <w:sz w:val="28"/>
          <w:szCs w:val="28"/>
        </w:rPr>
        <w:t>SUBMISSION TEMPLATE</w:t>
      </w:r>
    </w:p>
    <w:p w14:paraId="6A823A12" w14:textId="414EA9D5" w:rsidR="00AB4A76" w:rsidRDefault="00AB4A76" w:rsidP="00D701DF">
      <w:pPr>
        <w:rPr>
          <w:rFonts w:cs="Times New Roman"/>
          <w:sz w:val="28"/>
          <w:szCs w:val="28"/>
        </w:rPr>
      </w:pPr>
    </w:p>
    <w:p w14:paraId="74EC8410" w14:textId="77777777" w:rsidR="00AB4A76" w:rsidRPr="00833800" w:rsidRDefault="00AB4A76" w:rsidP="00D701DF">
      <w:pPr>
        <w:rPr>
          <w:rFonts w:cs="Times New Roman"/>
          <w:sz w:val="28"/>
          <w:szCs w:val="28"/>
        </w:rPr>
      </w:pPr>
    </w:p>
    <w:tbl>
      <w:tblPr>
        <w:tblStyle w:val="TableGrid"/>
        <w:tblpPr w:leftFromText="180" w:rightFromText="180" w:vertAnchor="page" w:horzAnchor="margin" w:tblpY="5196"/>
        <w:tblW w:w="0" w:type="auto"/>
        <w:tblLook w:val="04A0" w:firstRow="1" w:lastRow="0" w:firstColumn="1" w:lastColumn="0" w:noHBand="0" w:noVBand="1"/>
      </w:tblPr>
      <w:tblGrid>
        <w:gridCol w:w="2185"/>
        <w:gridCol w:w="6831"/>
      </w:tblGrid>
      <w:tr w:rsidR="00AB45DD" w:rsidRPr="00370BD2" w14:paraId="693BF44B" w14:textId="77777777" w:rsidTr="00CC28B1">
        <w:tc>
          <w:tcPr>
            <w:tcW w:w="2263" w:type="dxa"/>
          </w:tcPr>
          <w:p w14:paraId="63F6617E" w14:textId="77777777" w:rsidR="00AB45DD" w:rsidRPr="007A2018" w:rsidRDefault="00AB45DD" w:rsidP="007A2018">
            <w:pPr>
              <w:rPr>
                <w:color w:val="EE0000"/>
              </w:rPr>
            </w:pPr>
            <w:r w:rsidRPr="007A2018">
              <w:rPr>
                <w:color w:val="EE0000"/>
              </w:rPr>
              <w:t>Student number:</w:t>
            </w:r>
          </w:p>
          <w:p w14:paraId="7986EDF5" w14:textId="26934477" w:rsidR="004E207B" w:rsidRPr="007A2018" w:rsidRDefault="004E207B" w:rsidP="007A2018">
            <w:pPr>
              <w:rPr>
                <w:color w:val="EE0000"/>
              </w:rPr>
            </w:pPr>
            <w:r w:rsidRPr="007A2018">
              <w:rPr>
                <w:color w:val="EE0000"/>
              </w:rPr>
              <w:t>(for group work</w:t>
            </w:r>
            <w:r w:rsidR="00BA4396" w:rsidRPr="007A2018">
              <w:rPr>
                <w:color w:val="EE0000"/>
              </w:rPr>
              <w:t xml:space="preserve"> please include </w:t>
            </w:r>
            <w:r w:rsidR="0008157D" w:rsidRPr="007A2018">
              <w:rPr>
                <w:color w:val="EE0000"/>
              </w:rPr>
              <w:t>the numbers of all participating</w:t>
            </w:r>
            <w:r w:rsidR="00BA4396" w:rsidRPr="007A2018">
              <w:rPr>
                <w:color w:val="EE0000"/>
              </w:rPr>
              <w:t xml:space="preserve"> student</w:t>
            </w:r>
            <w:r w:rsidR="0008157D" w:rsidRPr="007A2018">
              <w:rPr>
                <w:color w:val="EE0000"/>
              </w:rPr>
              <w:t>s)</w:t>
            </w:r>
          </w:p>
          <w:p w14:paraId="75FEE786" w14:textId="2AA0E53C" w:rsidR="00370BD2" w:rsidRPr="00370BD2" w:rsidRDefault="00370BD2" w:rsidP="007A2018"/>
        </w:tc>
        <w:tc>
          <w:tcPr>
            <w:tcW w:w="7365" w:type="dxa"/>
          </w:tcPr>
          <w:p w14:paraId="4F050068" w14:textId="2D3706A3" w:rsidR="00AB45DD" w:rsidRPr="00370BD2" w:rsidRDefault="007A2018" w:rsidP="007A2018">
            <w:r>
              <w:t>3103914</w:t>
            </w:r>
          </w:p>
          <w:p w14:paraId="0DED7205" w14:textId="77777777" w:rsidR="00AB45DD" w:rsidRPr="00370BD2" w:rsidRDefault="00AB45DD" w:rsidP="007A2018"/>
        </w:tc>
      </w:tr>
      <w:tr w:rsidR="00AB45DD" w:rsidRPr="00370BD2" w14:paraId="69FF6C48" w14:textId="77777777" w:rsidTr="00CC28B1">
        <w:tc>
          <w:tcPr>
            <w:tcW w:w="2263" w:type="dxa"/>
          </w:tcPr>
          <w:p w14:paraId="45698923" w14:textId="77777777" w:rsidR="00CC28B1" w:rsidRPr="007A2018" w:rsidRDefault="00AB45DD" w:rsidP="007A2018">
            <w:pPr>
              <w:rPr>
                <w:color w:val="EE0000"/>
              </w:rPr>
            </w:pPr>
            <w:r w:rsidRPr="007A2018">
              <w:rPr>
                <w:color w:val="EE0000"/>
              </w:rPr>
              <w:t xml:space="preserve">Word count </w:t>
            </w:r>
          </w:p>
          <w:p w14:paraId="38EC6AEE" w14:textId="77777777" w:rsidR="00AB45DD" w:rsidRPr="007A2018" w:rsidRDefault="00AB45DD" w:rsidP="007A2018">
            <w:pPr>
              <w:rPr>
                <w:color w:val="EE0000"/>
              </w:rPr>
            </w:pPr>
            <w:r w:rsidRPr="007A2018">
              <w:rPr>
                <w:color w:val="EE0000"/>
              </w:rPr>
              <w:t>(including footnotes):</w:t>
            </w:r>
          </w:p>
          <w:p w14:paraId="3C17D037" w14:textId="4863D4ED" w:rsidR="00370BD2" w:rsidRPr="00370BD2" w:rsidRDefault="00370BD2" w:rsidP="007A2018"/>
        </w:tc>
        <w:tc>
          <w:tcPr>
            <w:tcW w:w="7365" w:type="dxa"/>
          </w:tcPr>
          <w:p w14:paraId="015D7FBC" w14:textId="2E8995EC" w:rsidR="00AB45DD" w:rsidRDefault="00B006B2" w:rsidP="00E32A41">
            <w:r>
              <w:t>1499</w:t>
            </w:r>
          </w:p>
          <w:p w14:paraId="06905451" w14:textId="77777777" w:rsidR="00B006B2" w:rsidRPr="00370BD2" w:rsidRDefault="00B006B2" w:rsidP="00E32A41"/>
        </w:tc>
      </w:tr>
    </w:tbl>
    <w:p w14:paraId="09F2B987" w14:textId="77777777" w:rsidR="0002230D" w:rsidRPr="00370BD2" w:rsidRDefault="0002230D" w:rsidP="007A2018"/>
    <w:p w14:paraId="51D6C04F" w14:textId="21B5EA8D" w:rsidR="0020243B" w:rsidRPr="007B672B" w:rsidRDefault="0020243B" w:rsidP="007B672B">
      <w:pPr>
        <w:rPr>
          <w:color w:val="EE0000"/>
        </w:rPr>
      </w:pPr>
      <w:r w:rsidRPr="007B672B">
        <w:rPr>
          <w:color w:val="EE0000"/>
        </w:rPr>
        <w:t>Question</w:t>
      </w:r>
      <w:r w:rsidR="009F3740" w:rsidRPr="007B672B">
        <w:rPr>
          <w:color w:val="EE0000"/>
        </w:rPr>
        <w:t xml:space="preserve">(s)/Assignment to be </w:t>
      </w:r>
      <w:r w:rsidR="034386F9" w:rsidRPr="007B672B">
        <w:rPr>
          <w:color w:val="EE0000"/>
        </w:rPr>
        <w:t>answere</w:t>
      </w:r>
      <w:r w:rsidR="00AB4A76" w:rsidRPr="007B672B">
        <w:rPr>
          <w:color w:val="EE0000"/>
        </w:rPr>
        <w:t>d</w:t>
      </w:r>
      <w:r w:rsidR="009F3740" w:rsidRPr="007B672B">
        <w:rPr>
          <w:color w:val="EE0000"/>
        </w:rPr>
        <w:t xml:space="preserve"> (e.g. Essay title)</w:t>
      </w:r>
      <w:r w:rsidR="00AB4A76" w:rsidRPr="007B672B">
        <w:rPr>
          <w:color w:val="EE0000"/>
        </w:rPr>
        <w:t>:</w:t>
      </w:r>
    </w:p>
    <w:p w14:paraId="7EA7F624" w14:textId="369C71F6" w:rsidR="00D701DF" w:rsidRPr="00B63E2C" w:rsidRDefault="00D701DF" w:rsidP="00B63E2C">
      <w:pPr>
        <w:rPr>
          <w:rFonts w:cs="Times New Roman"/>
        </w:rPr>
      </w:pPr>
    </w:p>
    <w:tbl>
      <w:tblPr>
        <w:tblStyle w:val="TableGrid"/>
        <w:tblW w:w="0" w:type="auto"/>
        <w:tblLook w:val="04A0" w:firstRow="1" w:lastRow="0" w:firstColumn="1" w:lastColumn="0" w:noHBand="0" w:noVBand="1"/>
      </w:tblPr>
      <w:tblGrid>
        <w:gridCol w:w="9016"/>
      </w:tblGrid>
      <w:tr w:rsidR="009F3740" w:rsidRPr="00B63E2C" w14:paraId="436591D9" w14:textId="77777777" w:rsidTr="009F3740">
        <w:trPr>
          <w:trHeight w:val="3010"/>
        </w:trPr>
        <w:tc>
          <w:tcPr>
            <w:tcW w:w="9628" w:type="dxa"/>
          </w:tcPr>
          <w:p w14:paraId="063FA245" w14:textId="77777777" w:rsidR="00B63E2C" w:rsidRDefault="00B63E2C" w:rsidP="00B63E2C">
            <w:pPr>
              <w:rPr>
                <w:rFonts w:cs="Times New Roman"/>
                <w:color w:val="1D2125"/>
                <w:sz w:val="24"/>
                <w:szCs w:val="24"/>
              </w:rPr>
            </w:pPr>
            <w:r w:rsidRPr="00B63E2C">
              <w:rPr>
                <w:rFonts w:cs="Times New Roman"/>
                <w:color w:val="1D2125"/>
                <w:sz w:val="24"/>
                <w:szCs w:val="24"/>
              </w:rPr>
              <w:t>Your essay should discuss the following question:</w:t>
            </w:r>
          </w:p>
          <w:p w14:paraId="6546F539" w14:textId="77777777" w:rsidR="005F63B2" w:rsidRPr="00B63E2C" w:rsidRDefault="005F63B2" w:rsidP="00B63E2C">
            <w:pPr>
              <w:rPr>
                <w:rFonts w:eastAsia="Times New Roman" w:cs="Times New Roman"/>
                <w:color w:val="1D2125"/>
                <w:sz w:val="24"/>
                <w:szCs w:val="24"/>
                <w:lang w:eastAsia="zh-CN"/>
              </w:rPr>
            </w:pPr>
          </w:p>
          <w:p w14:paraId="5240E391" w14:textId="56AEC211" w:rsidR="00B63E2C" w:rsidRDefault="00B63E2C" w:rsidP="00082F81">
            <w:pPr>
              <w:ind w:left="284"/>
              <w:rPr>
                <w:rStyle w:val="Emphasis"/>
                <w:rFonts w:cs="Times New Roman"/>
                <w:color w:val="1D2125"/>
                <w:sz w:val="24"/>
                <w:szCs w:val="24"/>
              </w:rPr>
            </w:pPr>
            <w:r w:rsidRPr="00B63E2C">
              <w:rPr>
                <w:rStyle w:val="Emphasis"/>
                <w:rFonts w:cs="Times New Roman"/>
                <w:color w:val="1D2125"/>
                <w:sz w:val="24"/>
                <w:szCs w:val="24"/>
              </w:rPr>
              <w:t>Bringing links within the scope of the right of communication to the public provided for in art. 3 of the Information Society Directive fundamentally undermines the openness of the internet.</w:t>
            </w:r>
          </w:p>
          <w:p w14:paraId="3DA5D77E" w14:textId="77777777" w:rsidR="005F63B2" w:rsidRPr="00B63E2C" w:rsidRDefault="005F63B2" w:rsidP="005F63B2">
            <w:pPr>
              <w:rPr>
                <w:rFonts w:cs="Times New Roman"/>
                <w:color w:val="1D2125"/>
                <w:sz w:val="24"/>
                <w:szCs w:val="24"/>
              </w:rPr>
            </w:pPr>
          </w:p>
          <w:p w14:paraId="1E671BDA" w14:textId="0957ED95" w:rsidR="00B63E2C" w:rsidRPr="00B63E2C" w:rsidRDefault="00B63E2C" w:rsidP="00B63E2C">
            <w:pPr>
              <w:rPr>
                <w:rFonts w:cs="Times New Roman"/>
                <w:color w:val="1D2125"/>
                <w:sz w:val="24"/>
                <w:szCs w:val="24"/>
              </w:rPr>
            </w:pPr>
            <w:r w:rsidRPr="00B63E2C">
              <w:rPr>
                <w:rFonts w:cs="Times New Roman"/>
                <w:color w:val="1D2125"/>
                <w:sz w:val="24"/>
                <w:szCs w:val="24"/>
              </w:rPr>
              <w:t>In your essay you should agree or disagree with the above statement, backing your position with references to the relevant authority.</w:t>
            </w:r>
          </w:p>
          <w:p w14:paraId="312A6B5D" w14:textId="60CEF657" w:rsidR="00370BD2" w:rsidRPr="00B63E2C" w:rsidRDefault="00370BD2" w:rsidP="00B63E2C">
            <w:pPr>
              <w:rPr>
                <w:sz w:val="24"/>
                <w:szCs w:val="24"/>
              </w:rPr>
            </w:pPr>
          </w:p>
        </w:tc>
      </w:tr>
    </w:tbl>
    <w:p w14:paraId="4A05FA4A" w14:textId="77777777" w:rsidR="00961C22" w:rsidRDefault="00961C22" w:rsidP="00961C22"/>
    <w:p w14:paraId="3C803526" w14:textId="35C46290" w:rsidR="001059E6" w:rsidRDefault="00B17897" w:rsidP="007B672B">
      <w:pPr>
        <w:rPr>
          <w:i/>
          <w:iCs/>
          <w:color w:val="EE0000"/>
        </w:rPr>
        <w:sectPr w:rsidR="001059E6" w:rsidSect="005403ED">
          <w:headerReference w:type="even" r:id="rId10"/>
          <w:headerReference w:type="default" r:id="rId11"/>
          <w:footerReference w:type="even" r:id="rId12"/>
          <w:headerReference w:type="first" r:id="rId13"/>
          <w:type w:val="continuous"/>
          <w:pgSz w:w="11906" w:h="16838"/>
          <w:pgMar w:top="1440" w:right="1440" w:bottom="1440" w:left="1440" w:header="708" w:footer="708" w:gutter="0"/>
          <w:pgNumType w:start="1"/>
          <w:cols w:space="708"/>
          <w:docGrid w:linePitch="360"/>
        </w:sectPr>
      </w:pPr>
      <w:r w:rsidRPr="007B672B">
        <w:rPr>
          <w:i/>
          <w:iCs/>
          <w:color w:val="EE0000"/>
        </w:rPr>
        <w:t>Students</w:t>
      </w:r>
      <w:r w:rsidR="002D35DC" w:rsidRPr="007B672B">
        <w:rPr>
          <w:i/>
          <w:iCs/>
          <w:color w:val="EE0000"/>
        </w:rPr>
        <w:t>:</w:t>
      </w:r>
      <w:r w:rsidRPr="007B672B">
        <w:rPr>
          <w:i/>
          <w:iCs/>
          <w:color w:val="EE0000"/>
        </w:rPr>
        <w:t xml:space="preserve"> your </w:t>
      </w:r>
      <w:r w:rsidR="009F3740" w:rsidRPr="007B672B">
        <w:rPr>
          <w:i/>
          <w:iCs/>
          <w:color w:val="EE0000"/>
        </w:rPr>
        <w:t xml:space="preserve">coursework </w:t>
      </w:r>
      <w:r w:rsidRPr="007B672B">
        <w:rPr>
          <w:i/>
          <w:iCs/>
          <w:color w:val="EE0000"/>
        </w:rPr>
        <w:t>submission should be in</w:t>
      </w:r>
      <w:r w:rsidR="00E51A04" w:rsidRPr="007B672B">
        <w:rPr>
          <w:i/>
          <w:iCs/>
          <w:color w:val="EE0000"/>
        </w:rPr>
        <w:t>serted</w:t>
      </w:r>
      <w:r w:rsidRPr="007B672B">
        <w:rPr>
          <w:i/>
          <w:iCs/>
          <w:color w:val="EE0000"/>
        </w:rPr>
        <w:t xml:space="preserve"> </w:t>
      </w:r>
      <w:r w:rsidR="0068673B" w:rsidRPr="007B672B">
        <w:rPr>
          <w:i/>
          <w:iCs/>
          <w:color w:val="EE0000"/>
        </w:rPr>
        <w:t>below</w:t>
      </w:r>
      <w:r w:rsidR="002F3AC1" w:rsidRPr="007B672B">
        <w:rPr>
          <w:i/>
          <w:iCs/>
          <w:color w:val="EE0000"/>
        </w:rPr>
        <w:t xml:space="preserve">, indicating question numbers (where </w:t>
      </w:r>
      <w:r w:rsidR="009F3740" w:rsidRPr="007B672B">
        <w:rPr>
          <w:i/>
          <w:iCs/>
          <w:color w:val="EE0000"/>
        </w:rPr>
        <w:t>there are multiple elements):</w:t>
      </w:r>
    </w:p>
    <w:p w14:paraId="19157FCE" w14:textId="0A99B23B" w:rsidR="00A41B5F" w:rsidRDefault="007A4273" w:rsidP="00204B51">
      <w:pPr>
        <w:pStyle w:val="Heading1"/>
      </w:pPr>
      <w:r>
        <w:lastRenderedPageBreak/>
        <w:t>1. Introduction</w:t>
      </w:r>
    </w:p>
    <w:p w14:paraId="483E35A7" w14:textId="58EC848C" w:rsidR="00204B51" w:rsidRDefault="00806599" w:rsidP="00E856BE">
      <w:pPr>
        <w:rPr>
          <w:lang w:eastAsia="zh-CN"/>
        </w:rPr>
      </w:pPr>
      <w:r w:rsidRPr="004C2262">
        <w:t xml:space="preserve">Hyperlinking </w:t>
      </w:r>
      <w:r>
        <w:t xml:space="preserve">could be </w:t>
      </w:r>
      <w:r w:rsidRPr="004C2262">
        <w:t>described as the connective tissue of the internet,</w:t>
      </w:r>
      <w:r>
        <w:rPr>
          <w:rStyle w:val="FootnoteReference"/>
        </w:rPr>
        <w:footnoteReference w:id="2"/>
      </w:r>
      <w:r w:rsidRPr="004C2262">
        <w:t xml:space="preserve"> so extending copyright’s communication</w:t>
      </w:r>
      <w:r w:rsidR="00261A50">
        <w:rPr>
          <w:rFonts w:hint="eastAsia"/>
          <w:lang w:eastAsia="zh-CN"/>
        </w:rPr>
        <w:t xml:space="preserve"> </w:t>
      </w:r>
      <w:r w:rsidR="00261A50">
        <w:rPr>
          <w:lang w:eastAsia="zh-CN"/>
        </w:rPr>
        <w:t>right</w:t>
      </w:r>
      <w:r w:rsidRPr="004C2262">
        <w:rPr>
          <w:rFonts w:hint="eastAsia"/>
          <w:lang w:eastAsia="zh-CN"/>
        </w:rPr>
        <w:t xml:space="preserve"> </w:t>
      </w:r>
      <w:r w:rsidRPr="004C2262">
        <w:t xml:space="preserve">to links could </w:t>
      </w:r>
      <w:r w:rsidR="00261A50">
        <w:t>seem</w:t>
      </w:r>
      <w:r w:rsidRPr="004C2262">
        <w:t xml:space="preserve"> threaten</w:t>
      </w:r>
      <w:r w:rsidR="00261A50">
        <w:t>ing</w:t>
      </w:r>
      <w:r w:rsidRPr="004C2262">
        <w:t xml:space="preserve"> </w:t>
      </w:r>
      <w:r w:rsidR="00261A50">
        <w:t>to online</w:t>
      </w:r>
      <w:r w:rsidRPr="004C2262">
        <w:t xml:space="preserve"> openness.</w:t>
      </w:r>
      <w:r w:rsidR="00261A50">
        <w:rPr>
          <w:rStyle w:val="FootnoteReference"/>
        </w:rPr>
        <w:footnoteReference w:id="3"/>
      </w:r>
      <w:r w:rsidRPr="004C2262">
        <w:t xml:space="preserve"> </w:t>
      </w:r>
      <w:r>
        <w:t>However,</w:t>
      </w:r>
      <w:r w:rsidRPr="004C2262">
        <w:t xml:space="preserve"> bringing </w:t>
      </w:r>
      <w:r w:rsidR="008766A4">
        <w:t xml:space="preserve">some </w:t>
      </w:r>
      <w:r w:rsidRPr="004C2262">
        <w:t>links within the Art</w:t>
      </w:r>
      <w:r w:rsidRPr="000761A1">
        <w:rPr>
          <w:lang w:eastAsia="zh-CN"/>
        </w:rPr>
        <w:t xml:space="preserve">icle </w:t>
      </w:r>
      <w:r w:rsidRPr="004C2262">
        <w:rPr>
          <w:rFonts w:hint="eastAsia"/>
          <w:lang w:eastAsia="zh-CN"/>
        </w:rPr>
        <w:t>3</w:t>
      </w:r>
      <w:r w:rsidRPr="004C2262">
        <w:t xml:space="preserve"> </w:t>
      </w:r>
      <w:r w:rsidR="008204E3">
        <w:t xml:space="preserve">does not </w:t>
      </w:r>
      <w:r w:rsidRPr="004C2262">
        <w:t xml:space="preserve">fundamentally undermines </w:t>
      </w:r>
      <w:r w:rsidR="008204E3">
        <w:t xml:space="preserve">that </w:t>
      </w:r>
      <w:r w:rsidRPr="004C2262">
        <w:t xml:space="preserve">openness. </w:t>
      </w:r>
      <w:r w:rsidRPr="00AE55F4">
        <w:t xml:space="preserve">The CJEU has </w:t>
      </w:r>
      <w:r w:rsidR="00B820E3">
        <w:rPr>
          <w:lang w:eastAsia="zh-CN"/>
        </w:rPr>
        <w:t>treated</w:t>
      </w:r>
      <w:r w:rsidR="00B27115" w:rsidRPr="00AE55F4">
        <w:rPr>
          <w:lang w:eastAsia="zh-CN"/>
        </w:rPr>
        <w:t xml:space="preserve"> </w:t>
      </w:r>
      <w:r w:rsidR="00B820E3">
        <w:rPr>
          <w:lang w:eastAsia="zh-CN"/>
        </w:rPr>
        <w:t>certain</w:t>
      </w:r>
      <w:r w:rsidR="003835D0" w:rsidRPr="00AE55F4">
        <w:rPr>
          <w:lang w:eastAsia="zh-CN"/>
        </w:rPr>
        <w:t xml:space="preserve"> forms </w:t>
      </w:r>
      <w:r w:rsidR="003835D0" w:rsidRPr="00AE55F4">
        <w:t>of lin</w:t>
      </w:r>
      <w:r w:rsidR="003835D0">
        <w:t xml:space="preserve">king and link-like intervention </w:t>
      </w:r>
      <w:r w:rsidR="004A50B0">
        <w:t xml:space="preserve">as capable of falling within </w:t>
      </w:r>
      <w:r w:rsidR="003835D0">
        <w:t>Article 3</w:t>
      </w:r>
      <w:r w:rsidR="00AF1A19">
        <w:t>,</w:t>
      </w:r>
      <w:r w:rsidR="007D17F7">
        <w:rPr>
          <w:rStyle w:val="FootnoteReference"/>
        </w:rPr>
        <w:footnoteReference w:id="4"/>
      </w:r>
      <w:r w:rsidRPr="00BC43E7">
        <w:t xml:space="preserve"> </w:t>
      </w:r>
      <w:r w:rsidR="00B61F26">
        <w:t>while also</w:t>
      </w:r>
      <w:r w:rsidRPr="00BC43E7">
        <w:t xml:space="preserve"> </w:t>
      </w:r>
      <w:r w:rsidR="00AE55F4" w:rsidRPr="00BC43E7">
        <w:t>develop</w:t>
      </w:r>
      <w:r w:rsidR="00B61F26">
        <w:t>ing</w:t>
      </w:r>
      <w:r w:rsidRPr="00BC43E7">
        <w:t xml:space="preserve"> limiting principles</w:t>
      </w:r>
      <w:r w:rsidR="005B255C">
        <w:t xml:space="preserve"> that preserve ordinary navigation, reference, and discovery online.</w:t>
      </w:r>
      <w:r w:rsidR="000C05E3">
        <w:t xml:space="preserve"> In particular,</w:t>
      </w:r>
      <w:r w:rsidRPr="00BC43E7">
        <w:t xml:space="preserve"> </w:t>
      </w:r>
      <w:r w:rsidR="004E7F13" w:rsidRPr="00BC43E7">
        <w:t xml:space="preserve">the </w:t>
      </w:r>
      <w:r w:rsidRPr="00BC43E7">
        <w:t>new public criterion and</w:t>
      </w:r>
      <w:r w:rsidR="004E7F13" w:rsidRPr="00BC43E7">
        <w:t>,</w:t>
      </w:r>
      <w:r w:rsidR="00BC3CF0">
        <w:rPr>
          <w:rStyle w:val="FootnoteReference"/>
        </w:rPr>
        <w:footnoteReference w:id="5"/>
      </w:r>
      <w:r w:rsidR="004E7F13" w:rsidRPr="00BC43E7">
        <w:t xml:space="preserve"> for links to</w:t>
      </w:r>
      <w:r w:rsidRPr="00BC43E7">
        <w:t xml:space="preserve"> </w:t>
      </w:r>
      <w:r w:rsidR="00A80466" w:rsidRPr="00BC43E7">
        <w:t>unlawful content, a knowledge</w:t>
      </w:r>
      <w:r w:rsidRPr="00BC43E7">
        <w:t>-based approach</w:t>
      </w:r>
      <w:r w:rsidR="00BF6512">
        <w:rPr>
          <w:rStyle w:val="FootnoteReference"/>
        </w:rPr>
        <w:footnoteReference w:id="6"/>
      </w:r>
      <w:r w:rsidR="0059702A">
        <w:t xml:space="preserve"> </w:t>
      </w:r>
      <w:r w:rsidR="007C1470">
        <w:t>mean that routine links to lawfully available material usually remain untouched,</w:t>
      </w:r>
      <w:r w:rsidR="001B666E">
        <w:t xml:space="preserve"> </w:t>
      </w:r>
      <w:r w:rsidR="00204875">
        <w:t>whereas links operating as intentional gateways to infringement may be caught</w:t>
      </w:r>
      <w:r w:rsidR="001B666E">
        <w:t>.</w:t>
      </w:r>
      <w:r w:rsidR="00742730">
        <w:rPr>
          <w:rStyle w:val="FootnoteReference"/>
        </w:rPr>
        <w:footnoteReference w:id="7"/>
      </w:r>
      <w:r w:rsidR="00204875">
        <w:t xml:space="preserve"> The better view is that the case law does not criminalise the architecture of the web; it differentiates between ordinary reference and legally significant intervention, to preserve copyright protection and the web’s ordinary usability.</w:t>
      </w:r>
    </w:p>
    <w:p w14:paraId="71F67DA4" w14:textId="77777777" w:rsidR="001B666E" w:rsidRDefault="001B666E" w:rsidP="00E856BE">
      <w:pPr>
        <w:rPr>
          <w:rFonts w:cs="Times New Roman"/>
          <w:lang w:eastAsia="zh-CN"/>
        </w:rPr>
      </w:pPr>
    </w:p>
    <w:p w14:paraId="5E1FA8FF" w14:textId="5BB42F80" w:rsidR="001D3F03" w:rsidRPr="004C2262" w:rsidRDefault="007A4273" w:rsidP="00806599">
      <w:pPr>
        <w:pStyle w:val="Heading1"/>
      </w:pPr>
      <w:r>
        <w:t xml:space="preserve">2. </w:t>
      </w:r>
      <w:r w:rsidR="00F31F64">
        <w:t>Assessment</w:t>
      </w:r>
    </w:p>
    <w:p w14:paraId="49730800" w14:textId="5E783B6F" w:rsidR="001D3F03" w:rsidRDefault="004C2262" w:rsidP="004C2262">
      <w:r w:rsidRPr="004C2262">
        <w:t>Art</w:t>
      </w:r>
      <w:r w:rsidR="00122B29">
        <w:t>icle</w:t>
      </w:r>
      <w:r w:rsidRPr="004C2262">
        <w:t xml:space="preserve"> 3(1) grant </w:t>
      </w:r>
      <w:r w:rsidR="00D56990">
        <w:rPr>
          <w:lang w:eastAsia="zh-CN"/>
        </w:rPr>
        <w:t>‘</w:t>
      </w:r>
      <w:r w:rsidRPr="004C2262">
        <w:t>authors an exclusive right to authorise or prohibit any communication to the public</w:t>
      </w:r>
      <w:r w:rsidR="00125857">
        <w:t xml:space="preserve"> of their work</w:t>
      </w:r>
      <w:r w:rsidR="00352531">
        <w:t>’</w:t>
      </w:r>
      <w:r w:rsidR="00211CDA">
        <w:t>,</w:t>
      </w:r>
      <w:r w:rsidR="0057792F">
        <w:rPr>
          <w:lang w:eastAsia="zh-CN"/>
        </w:rPr>
        <w:t xml:space="preserve"> </w:t>
      </w:r>
      <w:r w:rsidR="00352531">
        <w:t>including making them available on demand</w:t>
      </w:r>
      <w:r w:rsidRPr="0048675E">
        <w:t>.</w:t>
      </w:r>
      <w:r w:rsidR="00FF1E31" w:rsidRPr="0048675E">
        <w:rPr>
          <w:rStyle w:val="FootnoteReference"/>
        </w:rPr>
        <w:footnoteReference w:id="8"/>
      </w:r>
      <w:r w:rsidRPr="0048675E">
        <w:t xml:space="preserve"> </w:t>
      </w:r>
      <w:r w:rsidR="008A47F0">
        <w:t xml:space="preserve">That broad wording </w:t>
      </w:r>
      <w:r w:rsidR="00C55AE3">
        <w:t>could</w:t>
      </w:r>
      <w:r w:rsidR="008A47F0">
        <w:t xml:space="preserve"> cover acts facilitating access, and the CJEU has therefore interpreted communication to the public as an autonomous EU concept involving an act of communication</w:t>
      </w:r>
      <w:r w:rsidRPr="0048675E">
        <w:t>,</w:t>
      </w:r>
      <w:r w:rsidR="00C275A0" w:rsidRPr="0048675E">
        <w:rPr>
          <w:rStyle w:val="FootnoteReference"/>
        </w:rPr>
        <w:footnoteReference w:id="9"/>
      </w:r>
      <w:r w:rsidRPr="0048675E">
        <w:t xml:space="preserve"> a public,</w:t>
      </w:r>
      <w:r w:rsidR="00C275A0" w:rsidRPr="0048675E">
        <w:rPr>
          <w:rStyle w:val="FootnoteReference"/>
        </w:rPr>
        <w:footnoteReference w:id="10"/>
      </w:r>
      <w:r w:rsidRPr="0048675E">
        <w:t xml:space="preserve"> </w:t>
      </w:r>
      <w:r w:rsidR="00CF16F6">
        <w:t>and often a new public not contemplated by the rights holder at the time of the initial authorisation</w:t>
      </w:r>
      <w:r w:rsidRPr="0048675E">
        <w:t>.</w:t>
      </w:r>
      <w:r w:rsidR="0085615D" w:rsidRPr="0048675E">
        <w:rPr>
          <w:rStyle w:val="FootnoteReference"/>
        </w:rPr>
        <w:footnoteReference w:id="11"/>
      </w:r>
      <w:r w:rsidR="00CF16F6">
        <w:t xml:space="preserve"> </w:t>
      </w:r>
      <w:r w:rsidR="00286D29">
        <w:lastRenderedPageBreak/>
        <w:t>This framework matters because it explains why hyperlinking cases do not turn on the mechanical fact of linking alone, but on whether the linker materially extends access beyond what the right holder already accepted</w:t>
      </w:r>
      <w:r w:rsidRPr="004C2262">
        <w:t xml:space="preserve">. </w:t>
      </w:r>
      <w:r w:rsidR="00935050" w:rsidRPr="00935050">
        <w:rPr>
          <w:i/>
          <w:iCs/>
        </w:rPr>
        <w:t>Svensson</w:t>
      </w:r>
      <w:r w:rsidR="00935050">
        <w:t xml:space="preserve"> is central here. </w:t>
      </w:r>
      <w:r w:rsidR="00C7013B">
        <w:t>Although t</w:t>
      </w:r>
      <w:r w:rsidRPr="004C2262">
        <w:t xml:space="preserve">he Court </w:t>
      </w:r>
      <w:r w:rsidR="00C7013B">
        <w:t xml:space="preserve">accepted </w:t>
      </w:r>
      <w:r w:rsidRPr="004C2262">
        <w:t xml:space="preserve">that clickable links </w:t>
      </w:r>
      <w:r w:rsidR="00C7013B">
        <w:t>can</w:t>
      </w:r>
      <w:r w:rsidRPr="004C2262">
        <w:t xml:space="preserve"> </w:t>
      </w:r>
      <w:r w:rsidR="00DD60A6">
        <w:t xml:space="preserve">amount to </w:t>
      </w:r>
      <w:r w:rsidRPr="004C2262">
        <w:t xml:space="preserve">an </w:t>
      </w:r>
      <w:r w:rsidR="00CF47A7">
        <w:t>‘</w:t>
      </w:r>
      <w:r w:rsidRPr="004C2262">
        <w:t>act of communication</w:t>
      </w:r>
      <w:r w:rsidR="00CF47A7">
        <w:t>’</w:t>
      </w:r>
      <w:r w:rsidRPr="004C2262">
        <w:t xml:space="preserve"> because </w:t>
      </w:r>
      <w:r w:rsidR="00DD60A6">
        <w:t>they</w:t>
      </w:r>
      <w:r w:rsidRPr="004C2262">
        <w:t xml:space="preserve"> make works available</w:t>
      </w:r>
      <w:r w:rsidR="00A80B82">
        <w:t>,</w:t>
      </w:r>
      <w:r w:rsidR="006F0C99">
        <w:rPr>
          <w:rStyle w:val="FootnoteReference"/>
        </w:rPr>
        <w:footnoteReference w:id="12"/>
      </w:r>
      <w:r w:rsidRPr="004C2262">
        <w:t xml:space="preserve"> </w:t>
      </w:r>
      <w:r w:rsidR="00FC5F33">
        <w:t>it held that links to content freely accessible online with the rights holder’s consent do not infringe Article 3(1) where no new public is reached</w:t>
      </w:r>
      <w:r w:rsidRPr="004C2262">
        <w:t>.</w:t>
      </w:r>
      <w:r w:rsidR="00FF7804">
        <w:rPr>
          <w:rStyle w:val="FootnoteReference"/>
        </w:rPr>
        <w:footnoteReference w:id="13"/>
      </w:r>
      <w:r w:rsidRPr="004C2262">
        <w:t xml:space="preserve"> </w:t>
      </w:r>
      <w:r w:rsidR="00F318BA">
        <w:t xml:space="preserve">The public contemplated by the right holder when placing authorised content on an open website is, in principle, all internet users. In that sense, </w:t>
      </w:r>
      <w:r w:rsidR="00F318BA" w:rsidRPr="00F318BA">
        <w:rPr>
          <w:i/>
          <w:iCs/>
        </w:rPr>
        <w:t>Svensson</w:t>
      </w:r>
      <w:r w:rsidR="00F318BA">
        <w:t xml:space="preserve"> protects the ordinary practice of citing and directing users to authorised material on the open web rather than attacking it. It therefore shows that Article 3 can accommodate hyperlinking without treating every facilitative act as wrongful.</w:t>
      </w:r>
    </w:p>
    <w:p w14:paraId="40066C94" w14:textId="77777777" w:rsidR="00F318BA" w:rsidRPr="004C2262" w:rsidRDefault="00F318BA" w:rsidP="004C2262">
      <w:pPr>
        <w:rPr>
          <w:lang w:eastAsia="zh-CN"/>
        </w:rPr>
      </w:pPr>
    </w:p>
    <w:p w14:paraId="4CAFEC63" w14:textId="6ED6E2A6" w:rsidR="001D3F03" w:rsidRDefault="00491A28" w:rsidP="004C2262">
      <w:r>
        <w:t xml:space="preserve">That logic was extended in </w:t>
      </w:r>
      <w:r w:rsidRPr="004B2302">
        <w:rPr>
          <w:i/>
          <w:iCs/>
        </w:rPr>
        <w:t>BestWater</w:t>
      </w:r>
      <w:r>
        <w:t>, where the Court held that framing authorised, freely accessible content did not reach a new public if no different technical means were used</w:t>
      </w:r>
      <w:r w:rsidR="004C2262" w:rsidRPr="004C2262">
        <w:t>.</w:t>
      </w:r>
      <w:r w:rsidR="00C40037">
        <w:rPr>
          <w:rStyle w:val="FootnoteReference"/>
        </w:rPr>
        <w:footnoteReference w:id="14"/>
      </w:r>
      <w:r w:rsidR="00104F75">
        <w:rPr>
          <w:lang w:eastAsia="zh-CN"/>
        </w:rPr>
        <w:t xml:space="preserve"> </w:t>
      </w:r>
      <w:r w:rsidR="004C2262" w:rsidRPr="004C2262">
        <w:t xml:space="preserve">The </w:t>
      </w:r>
      <w:r w:rsidR="004D4F51">
        <w:t>difficult development came in</w:t>
      </w:r>
      <w:r w:rsidR="004C2262" w:rsidRPr="004C2262">
        <w:t xml:space="preserve"> </w:t>
      </w:r>
      <w:r w:rsidR="004C2262" w:rsidRPr="00C06EF2">
        <w:rPr>
          <w:i/>
          <w:iCs/>
        </w:rPr>
        <w:t>GS Media</w:t>
      </w:r>
      <w:r w:rsidR="004C2262" w:rsidRPr="004C2262">
        <w:t xml:space="preserve">, </w:t>
      </w:r>
      <w:r w:rsidR="00A93D87">
        <w:t>which concerned</w:t>
      </w:r>
      <w:r w:rsidR="004C2262" w:rsidRPr="004C2262">
        <w:t xml:space="preserve"> links to </w:t>
      </w:r>
      <w:r w:rsidR="005D75BF">
        <w:t>works</w:t>
      </w:r>
      <w:r w:rsidR="004C2262" w:rsidRPr="004C2262">
        <w:t xml:space="preserve"> placed online </w:t>
      </w:r>
      <w:r w:rsidR="004C2262" w:rsidRPr="0094153A">
        <w:t>without</w:t>
      </w:r>
      <w:r w:rsidR="004C2262" w:rsidRPr="004C2262">
        <w:t xml:space="preserve"> the right</w:t>
      </w:r>
      <w:r w:rsidR="00900084">
        <w:t xml:space="preserve">s </w:t>
      </w:r>
      <w:r w:rsidR="004C2262" w:rsidRPr="004C2262">
        <w:t>holder’s consent.</w:t>
      </w:r>
      <w:r w:rsidR="00A16743">
        <w:rPr>
          <w:rStyle w:val="FootnoteReference"/>
        </w:rPr>
        <w:footnoteReference w:id="15"/>
      </w:r>
      <w:r w:rsidR="004C2262" w:rsidRPr="004C2262">
        <w:t xml:space="preserve"> </w:t>
      </w:r>
      <w:r w:rsidR="005D75BF">
        <w:t xml:space="preserve">The Court refused both extremes: </w:t>
      </w:r>
      <w:r w:rsidR="003E0D0A">
        <w:t>it did not held that links can never infringe</w:t>
      </w:r>
      <w:r w:rsidR="004C2262" w:rsidRPr="004C2262">
        <w:t>,</w:t>
      </w:r>
      <w:r w:rsidR="001C46A9">
        <w:rPr>
          <w:rStyle w:val="FootnoteReference"/>
        </w:rPr>
        <w:footnoteReference w:id="16"/>
      </w:r>
      <w:r w:rsidR="004C2262" w:rsidRPr="004C2262">
        <w:t xml:space="preserve"> but it</w:t>
      </w:r>
      <w:r w:rsidR="00177980">
        <w:t xml:space="preserve"> also avoided strict liability</w:t>
      </w:r>
      <w:r w:rsidR="004C2262" w:rsidRPr="004C2262">
        <w:t xml:space="preserve">. </w:t>
      </w:r>
      <w:r w:rsidR="00815788">
        <w:t>Instead, liability turns on knowledge.</w:t>
      </w:r>
      <w:r w:rsidR="0079503D">
        <w:t xml:space="preserve"> </w:t>
      </w:r>
      <w:r w:rsidR="004C2262" w:rsidRPr="004C2262">
        <w:t xml:space="preserve">If the linker </w:t>
      </w:r>
      <w:r w:rsidR="000A0504">
        <w:t>‘</w:t>
      </w:r>
      <w:r w:rsidR="004C2262" w:rsidRPr="0094153A">
        <w:t>knew or ought to have known</w:t>
      </w:r>
      <w:r w:rsidR="000A0504">
        <w:t>’</w:t>
      </w:r>
      <w:r w:rsidR="004C2262" w:rsidRPr="0094153A">
        <w:t xml:space="preserve"> that</w:t>
      </w:r>
      <w:r w:rsidR="004C2262" w:rsidRPr="004C2262">
        <w:t xml:space="preserve"> the </w:t>
      </w:r>
      <w:r w:rsidR="003E767E">
        <w:t xml:space="preserve">source </w:t>
      </w:r>
      <w:r w:rsidR="004C2262" w:rsidRPr="004C2262">
        <w:t xml:space="preserve">was unauthorised, posting the link may </w:t>
      </w:r>
      <w:r w:rsidR="00126648">
        <w:t xml:space="preserve">constitute </w:t>
      </w:r>
      <w:r w:rsidR="004C2262" w:rsidRPr="004C2262">
        <w:t xml:space="preserve">a </w:t>
      </w:r>
      <w:r w:rsidR="000A0504">
        <w:t>‘</w:t>
      </w:r>
      <w:r w:rsidR="004C2262" w:rsidRPr="004C2262">
        <w:t>communication to the public</w:t>
      </w:r>
      <w:r w:rsidR="000A0504">
        <w:t>’</w:t>
      </w:r>
      <w:r w:rsidR="004C2262" w:rsidRPr="004C2262">
        <w:t>;</w:t>
      </w:r>
      <w:r w:rsidR="008B23E2">
        <w:rPr>
          <w:rStyle w:val="FootnoteReference"/>
        </w:rPr>
        <w:footnoteReference w:id="17"/>
      </w:r>
      <w:r w:rsidR="004C2262" w:rsidRPr="004C2262">
        <w:t xml:space="preserve"> </w:t>
      </w:r>
      <w:r w:rsidR="00E25852">
        <w:t xml:space="preserve">where linking </w:t>
      </w:r>
      <w:r w:rsidR="00E422E0">
        <w:t>‘</w:t>
      </w:r>
      <w:r w:rsidR="00E25852">
        <w:t>is carried out</w:t>
      </w:r>
      <w:r w:rsidR="004C2262" w:rsidRPr="009356EE">
        <w:t xml:space="preserve"> for profit</w:t>
      </w:r>
      <w:r w:rsidR="00BE7101">
        <w:t>’</w:t>
      </w:r>
      <w:r w:rsidR="004C2262" w:rsidRPr="004C2262">
        <w:t xml:space="preserve">, </w:t>
      </w:r>
      <w:r w:rsidR="004A2FF3">
        <w:t xml:space="preserve">such </w:t>
      </w:r>
      <w:r w:rsidR="004C2262" w:rsidRPr="004C2262">
        <w:t>knowledge is presumed</w:t>
      </w:r>
      <w:r w:rsidR="005A6926">
        <w:t xml:space="preserve">, though </w:t>
      </w:r>
      <w:r w:rsidR="004C2262" w:rsidRPr="004C2262">
        <w:t>rebutt</w:t>
      </w:r>
      <w:r w:rsidR="00DE6DBB">
        <w:t>ably</w:t>
      </w:r>
      <w:r w:rsidR="00BB1D1E">
        <w:t>.</w:t>
      </w:r>
      <w:r w:rsidR="002343BD">
        <w:rPr>
          <w:rStyle w:val="FootnoteReference"/>
        </w:rPr>
        <w:footnoteReference w:id="18"/>
      </w:r>
      <w:r w:rsidR="004C2262" w:rsidRPr="004C2262">
        <w:t xml:space="preserve"> </w:t>
      </w:r>
      <w:r w:rsidR="006A5EF0">
        <w:t>This undoubtedly creates some chilling effect, especially for commercial actors who must assess the legality of sources before posting. Still, calling that a fundamental attack on openness overstates the case.</w:t>
      </w:r>
      <w:r w:rsidR="004C2262" w:rsidRPr="004C2262">
        <w:t xml:space="preserve"> GS Media is targeted </w:t>
      </w:r>
      <w:r w:rsidR="004C36F4">
        <w:t>targets links that channel users to unlawful availability,</w:t>
      </w:r>
      <w:r w:rsidR="005A1353">
        <w:rPr>
          <w:rStyle w:val="FootnoteReference"/>
        </w:rPr>
        <w:footnoteReference w:id="19"/>
      </w:r>
      <w:r w:rsidR="004C2262" w:rsidRPr="004C2262">
        <w:t xml:space="preserve"> </w:t>
      </w:r>
      <w:r w:rsidR="00DA0E48">
        <w:t>while links to authorised and freely accessible material remain largely governed by</w:t>
      </w:r>
      <w:r w:rsidR="004C2262" w:rsidRPr="004C2262">
        <w:t xml:space="preserve"> </w:t>
      </w:r>
      <w:r w:rsidR="004C2262" w:rsidRPr="00F602DF">
        <w:rPr>
          <w:i/>
          <w:iCs/>
        </w:rPr>
        <w:t>Svensson</w:t>
      </w:r>
      <w:r w:rsidR="004C2262" w:rsidRPr="004C2262">
        <w:t>’s no</w:t>
      </w:r>
      <w:r w:rsidR="00DA0E48">
        <w:t>-</w:t>
      </w:r>
      <w:r w:rsidR="004C2262" w:rsidRPr="004C2262">
        <w:t>new</w:t>
      </w:r>
      <w:r w:rsidR="00DA0E48">
        <w:t>-</w:t>
      </w:r>
      <w:r w:rsidR="004C2262" w:rsidRPr="004C2262">
        <w:t xml:space="preserve">public </w:t>
      </w:r>
      <w:r w:rsidR="00DA0E48">
        <w:t>approach</w:t>
      </w:r>
      <w:r w:rsidR="004C2262" w:rsidRPr="004C2262">
        <w:t>.</w:t>
      </w:r>
      <w:r w:rsidR="00D55394">
        <w:rPr>
          <w:rStyle w:val="FootnoteReference"/>
        </w:rPr>
        <w:footnoteReference w:id="20"/>
      </w:r>
      <w:r w:rsidR="004C2262" w:rsidRPr="004C2262">
        <w:t xml:space="preserve"> </w:t>
      </w:r>
      <w:r w:rsidR="00730701">
        <w:t xml:space="preserve">Openness on the internet has never meant freedom to facilitate infringement without legal consequence, and a knowledge-based standard is narrower than a general prohibition on </w:t>
      </w:r>
      <w:r w:rsidR="00730701">
        <w:lastRenderedPageBreak/>
        <w:t>linking. It is therefore more accurate to describe GS Media as drawing a fault line between innocent reference and blameworthy facilitation.</w:t>
      </w:r>
    </w:p>
    <w:p w14:paraId="080B5C82" w14:textId="77777777" w:rsidR="00730701" w:rsidRPr="004C2262" w:rsidRDefault="00730701" w:rsidP="004C2262">
      <w:pPr>
        <w:rPr>
          <w:lang w:eastAsia="zh-CN"/>
        </w:rPr>
      </w:pPr>
    </w:p>
    <w:p w14:paraId="74AA08EB" w14:textId="26FF28F8" w:rsidR="004C2262" w:rsidRDefault="00476F60" w:rsidP="004C2262">
      <w:pPr>
        <w:rPr>
          <w:lang w:eastAsia="zh-CN"/>
        </w:rPr>
      </w:pPr>
      <w:r>
        <w:t xml:space="preserve">The same pattern appears in later cases. </w:t>
      </w:r>
      <w:r w:rsidR="002816CA" w:rsidRPr="002816CA">
        <w:rPr>
          <w:i/>
          <w:iCs/>
        </w:rPr>
        <w:t>Filmspeler</w:t>
      </w:r>
      <w:r w:rsidR="002816CA">
        <w:t xml:space="preserve"> and </w:t>
      </w:r>
      <w:r w:rsidR="002816CA" w:rsidRPr="002816CA">
        <w:rPr>
          <w:i/>
          <w:iCs/>
        </w:rPr>
        <w:t>Ziggo</w:t>
      </w:r>
      <w:r w:rsidR="002816CA">
        <w:t xml:space="preserve"> are better understood as decisions about active, organised facilitation of infringement than about ordinary citation-style linking</w:t>
      </w:r>
      <w:r w:rsidR="004C2262" w:rsidRPr="0050108E">
        <w:t xml:space="preserve">. </w:t>
      </w:r>
      <w:r w:rsidR="00ED6630">
        <w:t xml:space="preserve">In </w:t>
      </w:r>
      <w:r w:rsidR="004C2262" w:rsidRPr="00CB2974">
        <w:rPr>
          <w:i/>
          <w:iCs/>
        </w:rPr>
        <w:t>Filmspeler</w:t>
      </w:r>
      <w:r w:rsidR="00036A6C" w:rsidRPr="00036A6C">
        <w:t>,</w:t>
      </w:r>
      <w:r w:rsidR="004C2262" w:rsidRPr="0050108E">
        <w:t xml:space="preserve"> </w:t>
      </w:r>
      <w:r w:rsidR="00036A6C">
        <w:t>the defendant sold a multimedia player configured to reach unauthorised streams;</w:t>
      </w:r>
      <w:r w:rsidR="00CB2974">
        <w:rPr>
          <w:rStyle w:val="FootnoteReference"/>
        </w:rPr>
        <w:footnoteReference w:id="21"/>
      </w:r>
      <w:r w:rsidR="004C2262" w:rsidRPr="0050108E">
        <w:t xml:space="preserve"> </w:t>
      </w:r>
      <w:r w:rsidR="00036A6C">
        <w:t xml:space="preserve">in </w:t>
      </w:r>
      <w:r w:rsidR="004C2262" w:rsidRPr="005047EE">
        <w:rPr>
          <w:i/>
          <w:iCs/>
        </w:rPr>
        <w:t>Ziggo</w:t>
      </w:r>
      <w:r w:rsidR="00036A6C" w:rsidRPr="00036A6C">
        <w:t>,</w:t>
      </w:r>
      <w:r w:rsidR="004C2262" w:rsidRPr="0050108E">
        <w:t xml:space="preserve"> </w:t>
      </w:r>
      <w:r w:rsidR="00207F05">
        <w:t>the operators indexed and organised access to infringing files on a sharing platform</w:t>
      </w:r>
      <w:r w:rsidR="004C2262" w:rsidRPr="004C2262">
        <w:t>.</w:t>
      </w:r>
      <w:r w:rsidR="004D60EB">
        <w:rPr>
          <w:rStyle w:val="FootnoteReference"/>
        </w:rPr>
        <w:footnoteReference w:id="22"/>
      </w:r>
      <w:r w:rsidR="004C2262" w:rsidRPr="004C2262">
        <w:t xml:space="preserve"> </w:t>
      </w:r>
      <w:r w:rsidR="00F1033F">
        <w:t>In each case the Court emphasised intervention that made infringement conveniently accessible on a large scale and with clear awareness of the unlawful nature of the material. Those rulings therefore do not map neatly onto a normal user posting a link on a blog, social-media page, or article. They instead show that Article 3 can catch intermediaries whose business model is built around making unlawful content easy to find and consume. Seen that way, the case law narrows openness only at the point where linking becomes a commercial architecture for piracy, not where it performs its ordinary informational function. This distinction is important, because it confines the heaviest copyright consequences to actors who systematically organise unlawful access for others.</w:t>
      </w:r>
    </w:p>
    <w:p w14:paraId="3B59F1F7" w14:textId="77777777" w:rsidR="001D3F03" w:rsidRPr="004C2262" w:rsidRDefault="001D3F03" w:rsidP="004C2262">
      <w:pPr>
        <w:rPr>
          <w:lang w:eastAsia="zh-CN"/>
        </w:rPr>
      </w:pPr>
    </w:p>
    <w:p w14:paraId="1497559A" w14:textId="0FA91BF0" w:rsidR="007F7A1C" w:rsidRDefault="003C4A65" w:rsidP="004C2262">
      <w:r>
        <w:t>A more serious limit arises where rights holders use technological restrictions</w:t>
      </w:r>
      <w:r w:rsidR="004C2262" w:rsidRPr="0050108E">
        <w:t xml:space="preserve">. In </w:t>
      </w:r>
      <w:r w:rsidR="004C2262" w:rsidRPr="00CE4C21">
        <w:rPr>
          <w:i/>
          <w:iCs/>
        </w:rPr>
        <w:t>VG Bild-Kunst</w:t>
      </w:r>
      <w:r w:rsidR="004C2262" w:rsidRPr="004C2262">
        <w:t>, the Court held that</w:t>
      </w:r>
      <w:r w:rsidR="008C706D">
        <w:t xml:space="preserve"> framing may </w:t>
      </w:r>
      <w:r w:rsidR="004F4D6C">
        <w:t>amount to</w:t>
      </w:r>
      <w:r w:rsidR="004C2262" w:rsidRPr="004C2262">
        <w:t xml:space="preserve"> </w:t>
      </w:r>
      <w:r w:rsidR="004F4D6C">
        <w:t>‘</w:t>
      </w:r>
      <w:r w:rsidR="004C2262" w:rsidRPr="004C2262">
        <w:t>communication to the public</w:t>
      </w:r>
      <w:r w:rsidR="004E6F97">
        <w:t>’</w:t>
      </w:r>
      <w:r w:rsidR="004C2262" w:rsidRPr="004C2262">
        <w:t xml:space="preserve"> when the right</w:t>
      </w:r>
      <w:r w:rsidR="004C60EC">
        <w:t xml:space="preserve">s </w:t>
      </w:r>
      <w:r w:rsidR="004C2262" w:rsidRPr="004C2262">
        <w:t xml:space="preserve">holder has required effective technological measures against framing and those measures are </w:t>
      </w:r>
      <w:r w:rsidR="00B92E59">
        <w:t>bypassed or disregarded</w:t>
      </w:r>
      <w:r w:rsidR="004C2262" w:rsidRPr="004C2262">
        <w:t>.</w:t>
      </w:r>
      <w:r w:rsidR="00CC6BBF">
        <w:rPr>
          <w:rStyle w:val="FootnoteReference"/>
        </w:rPr>
        <w:footnoteReference w:id="23"/>
      </w:r>
      <w:r w:rsidR="004C2262" w:rsidRPr="004C2262">
        <w:t xml:space="preserve"> </w:t>
      </w:r>
      <w:r w:rsidR="000A7903">
        <w:t>That rule matters because it lets rights holders define the conditions on which works are available online and gives legal significance to whether access is offered on the open web or only within technically controlled boundaries. One may therefore argue that the judgment encourages a more permissioned and segmented internet. Even so, it does not show that openness is fundamentally undermined</w:t>
      </w:r>
      <w:r w:rsidR="004C2262" w:rsidRPr="004C2262">
        <w:t xml:space="preserve">. </w:t>
      </w:r>
      <w:r w:rsidR="002C7B92">
        <w:t>The Court expressly approached the issue through the balance</w:t>
      </w:r>
      <w:r w:rsidR="001C055A">
        <w:t>,</w:t>
      </w:r>
      <w:r w:rsidR="001C055A" w:rsidRPr="004C2262">
        <w:t xml:space="preserve"> </w:t>
      </w:r>
      <w:r w:rsidR="001C055A">
        <w:t xml:space="preserve">under the </w:t>
      </w:r>
      <w:r w:rsidR="004013E4">
        <w:t xml:space="preserve">EU </w:t>
      </w:r>
      <w:r w:rsidR="004A21B0">
        <w:t>Charter</w:t>
      </w:r>
      <w:r w:rsidR="001C055A">
        <w:t>,</w:t>
      </w:r>
      <w:r w:rsidR="004A21B0">
        <w:t xml:space="preserve"> </w:t>
      </w:r>
      <w:r w:rsidR="004C2262" w:rsidRPr="004C2262">
        <w:t xml:space="preserve">between </w:t>
      </w:r>
      <w:r w:rsidR="00E52DA5">
        <w:t>‘</w:t>
      </w:r>
      <w:r w:rsidR="004C2262" w:rsidRPr="004C2262">
        <w:t>freedom of expression</w:t>
      </w:r>
      <w:r w:rsidR="009030C2">
        <w:t xml:space="preserve"> and information</w:t>
      </w:r>
      <w:r w:rsidR="00E52DA5">
        <w:t>’</w:t>
      </w:r>
      <w:r w:rsidR="004C2262" w:rsidRPr="004C2262">
        <w:t xml:space="preserve"> and </w:t>
      </w:r>
      <w:r w:rsidR="00303CF3">
        <w:t>‘</w:t>
      </w:r>
      <w:r w:rsidR="004C2262" w:rsidRPr="004C2262">
        <w:t>intellectual property</w:t>
      </w:r>
      <w:r w:rsidR="00303CF3">
        <w:t>’</w:t>
      </w:r>
      <w:r w:rsidR="004C2262" w:rsidRPr="004C2262">
        <w:t>.</w:t>
      </w:r>
      <w:r w:rsidR="00CA3325">
        <w:rPr>
          <w:rStyle w:val="FootnoteReference"/>
        </w:rPr>
        <w:footnoteReference w:id="24"/>
      </w:r>
      <w:r w:rsidR="004C2262" w:rsidRPr="004C2262">
        <w:t xml:space="preserve"> </w:t>
      </w:r>
      <w:r w:rsidR="000974E0">
        <w:t xml:space="preserve">Its reasoning implies that where a rights holder has chosen unrestricted open access, ordinary hyperlinking and framing should generally remain </w:t>
      </w:r>
      <w:r w:rsidR="000974E0">
        <w:lastRenderedPageBreak/>
        <w:t>free;</w:t>
      </w:r>
      <w:r w:rsidR="001A152E" w:rsidRPr="001A152E">
        <w:rPr>
          <w:rStyle w:val="FootnoteReference"/>
        </w:rPr>
        <w:footnoteReference w:id="25"/>
      </w:r>
      <w:r w:rsidR="004C2262" w:rsidRPr="004C2262">
        <w:t xml:space="preserve"> </w:t>
      </w:r>
      <w:r w:rsidR="001F7D92">
        <w:t>only where the right holder has preserved a controlled audience through effective measures does circumvention trigger Article 3</w:t>
      </w:r>
      <w:r w:rsidR="004C2262" w:rsidRPr="00FF010A">
        <w:t>.</w:t>
      </w:r>
      <w:r w:rsidR="005E7D38" w:rsidRPr="00FF010A">
        <w:rPr>
          <w:rStyle w:val="FootnoteReference"/>
        </w:rPr>
        <w:footnoteReference w:id="26"/>
      </w:r>
      <w:r w:rsidR="004C2262" w:rsidRPr="004C2262">
        <w:t xml:space="preserve"> </w:t>
      </w:r>
      <w:r w:rsidR="00B751DA">
        <w:t>The result is a conditional rather than absolute model of openness, but it still leaves substantial room for ordinary linking practices and for the circulation of lawfully available information across the web.</w:t>
      </w:r>
    </w:p>
    <w:p w14:paraId="3267FA3B" w14:textId="77777777" w:rsidR="00B751DA" w:rsidRPr="004C2262" w:rsidRDefault="00B751DA" w:rsidP="004C2262">
      <w:pPr>
        <w:rPr>
          <w:lang w:eastAsia="zh-CN"/>
        </w:rPr>
      </w:pPr>
    </w:p>
    <w:p w14:paraId="21C3C87C" w14:textId="51BE0BD2" w:rsidR="007A4273" w:rsidRDefault="00DE2EAB" w:rsidP="00E856BE">
      <w:r>
        <w:t>The strongest criticism of the CJEU’s approach is therefore uncertainty, not structural incompatibility</w:t>
      </w:r>
      <w:r w:rsidR="004C2262" w:rsidRPr="00C46775">
        <w:t>.</w:t>
      </w:r>
      <w:r w:rsidR="004C2262" w:rsidRPr="004C2262">
        <w:t xml:space="preserve"> </w:t>
      </w:r>
      <w:r w:rsidR="004C2262" w:rsidRPr="00002C99">
        <w:rPr>
          <w:i/>
          <w:iCs/>
        </w:rPr>
        <w:t>GS Media</w:t>
      </w:r>
      <w:r w:rsidR="004C2262" w:rsidRPr="004C2262">
        <w:t xml:space="preserve">’s </w:t>
      </w:r>
      <w:r w:rsidR="00820258">
        <w:t>for-profit presumption is not always easy to apply,</w:t>
      </w:r>
      <w:r w:rsidR="007F1E9E">
        <w:rPr>
          <w:rStyle w:val="FootnoteReference"/>
        </w:rPr>
        <w:footnoteReference w:id="27"/>
      </w:r>
      <w:r w:rsidR="004C2262" w:rsidRPr="004C2262">
        <w:t xml:space="preserve"> </w:t>
      </w:r>
      <w:r w:rsidR="00CF6A30">
        <w:t>and the new public criterion has attracted criticism for doctrinal complexity</w:t>
      </w:r>
      <w:r w:rsidR="004C2262" w:rsidRPr="004C2262">
        <w:t>.</w:t>
      </w:r>
      <w:r w:rsidR="00B04C76">
        <w:rPr>
          <w:rStyle w:val="FootnoteReference"/>
        </w:rPr>
        <w:footnoteReference w:id="28"/>
      </w:r>
      <w:r w:rsidR="004C2262" w:rsidRPr="004C2262">
        <w:t xml:space="preserve"> </w:t>
      </w:r>
      <w:r w:rsidR="00937092">
        <w:t>Those features may encourage cautious linking, over-removal, or self-censorship, particularly in journalism and smaller online publishing</w:t>
      </w:r>
      <w:r w:rsidR="004C2262" w:rsidRPr="004C2262">
        <w:t xml:space="preserve">. </w:t>
      </w:r>
      <w:r w:rsidR="00481B7C">
        <w:t>Even so, the overall trajectory of the case law is better described as an imperfect attempt to reconcile two legitimate objectives:</w:t>
      </w:r>
      <w:r w:rsidR="00A65C8D">
        <w:t xml:space="preserve"> </w:t>
      </w:r>
      <w:r w:rsidR="00AC6079">
        <w:t>protecting the Article 3(1) making-available right and preserving the ordinary function of hyperlinks as references to lawfully available information</w:t>
      </w:r>
      <w:r w:rsidR="004C2262" w:rsidRPr="004C2262">
        <w:t>.</w:t>
      </w:r>
      <w:r w:rsidR="000E710D">
        <w:rPr>
          <w:rStyle w:val="FootnoteReference"/>
        </w:rPr>
        <w:footnoteReference w:id="29"/>
      </w:r>
      <w:r w:rsidR="004C2262" w:rsidRPr="004C2262">
        <w:t xml:space="preserve"> </w:t>
      </w:r>
      <w:r w:rsidR="00F93865">
        <w:t>The internet’s core openness</w:t>
      </w:r>
      <w:r w:rsidR="00F23073" w:rsidRPr="00F23073">
        <w:t>—</w:t>
      </w:r>
      <w:r w:rsidR="004C2262" w:rsidRPr="004C2262">
        <w:t>permissionless linking to authorised</w:t>
      </w:r>
      <w:r w:rsidR="0058476A">
        <w:t>,</w:t>
      </w:r>
      <w:r w:rsidR="00951002">
        <w:t xml:space="preserve"> </w:t>
      </w:r>
      <w:r w:rsidR="004C2262" w:rsidRPr="004C2262">
        <w:t>freely accessible content</w:t>
      </w:r>
      <w:r w:rsidR="0058476A" w:rsidRPr="0058476A">
        <w:t>—</w:t>
      </w:r>
      <w:r w:rsidR="004C2262" w:rsidRPr="004C2262">
        <w:t xml:space="preserve">largely survives under </w:t>
      </w:r>
      <w:r w:rsidR="004C2262" w:rsidRPr="00001A82">
        <w:rPr>
          <w:i/>
          <w:iCs/>
        </w:rPr>
        <w:t>Svensson</w:t>
      </w:r>
      <w:r w:rsidR="004C2262" w:rsidRPr="004C2262">
        <w:t xml:space="preserve"> and </w:t>
      </w:r>
      <w:r w:rsidR="004C2262" w:rsidRPr="00001A82">
        <w:rPr>
          <w:i/>
          <w:iCs/>
        </w:rPr>
        <w:t>BestWater</w:t>
      </w:r>
      <w:r w:rsidR="004C2262" w:rsidRPr="004C2262">
        <w:t>.</w:t>
      </w:r>
      <w:r w:rsidR="00F10EA3">
        <w:rPr>
          <w:rStyle w:val="FootnoteReference"/>
        </w:rPr>
        <w:footnoteReference w:id="30"/>
      </w:r>
      <w:r w:rsidR="004C2262" w:rsidRPr="004C2262">
        <w:t xml:space="preserve"> </w:t>
      </w:r>
      <w:r w:rsidR="00327A09">
        <w:t>R</w:t>
      </w:r>
      <w:r w:rsidR="004C2262" w:rsidRPr="004C2262">
        <w:t xml:space="preserve">estrictions arise </w:t>
      </w:r>
      <w:r w:rsidR="00010F60">
        <w:t xml:space="preserve">mainly </w:t>
      </w:r>
      <w:r w:rsidR="00AB41AA">
        <w:t>where linking</w:t>
      </w:r>
      <w:r w:rsidR="00AB41AA" w:rsidRPr="004C2262">
        <w:t xml:space="preserve"> </w:t>
      </w:r>
      <w:r w:rsidR="00427474">
        <w:t>routes users</w:t>
      </w:r>
      <w:r w:rsidR="00D30781">
        <w:t xml:space="preserve"> to unauthorised content with the requisite knowledge</w:t>
      </w:r>
      <w:r w:rsidR="004C2262" w:rsidRPr="004C2262">
        <w:t>,</w:t>
      </w:r>
      <w:r w:rsidR="005F31D3">
        <w:rPr>
          <w:rStyle w:val="FootnoteReference"/>
        </w:rPr>
        <w:footnoteReference w:id="31"/>
      </w:r>
      <w:r w:rsidR="004C2262" w:rsidRPr="004C2262">
        <w:t xml:space="preserve"> </w:t>
      </w:r>
      <w:r w:rsidR="00B6449B">
        <w:t>forms part of a commercial model of infringement</w:t>
      </w:r>
      <w:r w:rsidR="004C2262" w:rsidRPr="004C2262">
        <w:t>,</w:t>
      </w:r>
      <w:r w:rsidR="005F31D3">
        <w:rPr>
          <w:rStyle w:val="FootnoteReference"/>
        </w:rPr>
        <w:footnoteReference w:id="32"/>
      </w:r>
      <w:r w:rsidR="004C2262" w:rsidRPr="004C2262">
        <w:t xml:space="preserve"> or </w:t>
      </w:r>
      <w:r w:rsidR="0008324C">
        <w:t>defeats effective technical restrictions imposed by the rights holder</w:t>
      </w:r>
      <w:r w:rsidR="00F345FE">
        <w:t>.</w:t>
      </w:r>
      <w:r w:rsidR="004D7A05">
        <w:rPr>
          <w:rStyle w:val="FootnoteReference"/>
        </w:rPr>
        <w:footnoteReference w:id="33"/>
      </w:r>
      <w:r w:rsidR="0008324C">
        <w:t xml:space="preserve"> That is a meaningful qualification of openness, and one capable of generating cost and uncertainty, but not its fundamental destruction. On balance, the proposition is too absolute: the jurisprudence constrains some harmful linking practices, yet it stops short of disabling the basic linking culture on which the open internet depends.</w:t>
      </w:r>
    </w:p>
    <w:p w14:paraId="43D60B3A" w14:textId="77777777" w:rsidR="00F345FE" w:rsidRDefault="00F345FE" w:rsidP="00E856BE">
      <w:pPr>
        <w:rPr>
          <w:rFonts w:cs="Times New Roman"/>
          <w:lang w:eastAsia="zh-CN"/>
        </w:rPr>
      </w:pPr>
    </w:p>
    <w:p w14:paraId="1B33AC5C" w14:textId="066FD120" w:rsidR="007A4273" w:rsidRDefault="007A4273" w:rsidP="007A4273">
      <w:pPr>
        <w:pStyle w:val="Heading1"/>
      </w:pPr>
      <w:r>
        <w:t>3. Conclusion</w:t>
      </w:r>
    </w:p>
    <w:p w14:paraId="727C5D78" w14:textId="19208F6C" w:rsidR="007A4273" w:rsidRPr="007A4273" w:rsidRDefault="000C1AAC" w:rsidP="007A4273">
      <w:pPr>
        <w:rPr>
          <w:lang w:eastAsia="zh-CN"/>
        </w:rPr>
      </w:pPr>
      <w:r>
        <w:t xml:space="preserve">In conclusion, bringing some hyperlinks within Article 3 of the Information Society Directive does not fundamentally undermine the openness of the internet. The CJEU’s case law leaves </w:t>
      </w:r>
      <w:r>
        <w:lastRenderedPageBreak/>
        <w:t>ordinary linking to authorised, freely accessible material largely intact, while imposing liability chiefly where links knowingly facilitate infringement, support commercial piracy, or circumvent effective technical restrictions. Although the jurisprudence introduces uncertainty and may chill some online speech, it remains a qualified limitation rather than a wholesale attack on openness. The proposition is therefore overstated in both doctrinal and practical terms.</w:t>
      </w:r>
    </w:p>
    <w:sectPr w:rsidR="007A4273" w:rsidRPr="007A4273" w:rsidSect="001059E6">
      <w:headerReference w:type="default" r:id="rId14"/>
      <w:footerReference w:type="default" r:id="rId1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41AF2" w14:textId="77777777" w:rsidR="00EA4937" w:rsidRDefault="00EA4937">
      <w:r>
        <w:separator/>
      </w:r>
    </w:p>
  </w:endnote>
  <w:endnote w:type="continuationSeparator" w:id="0">
    <w:p w14:paraId="7791DE6B" w14:textId="77777777" w:rsidR="00EA4937" w:rsidRDefault="00EA4937">
      <w:r>
        <w:continuationSeparator/>
      </w:r>
    </w:p>
  </w:endnote>
  <w:endnote w:type="continuationNotice" w:id="1">
    <w:p w14:paraId="76D85AA0" w14:textId="77777777" w:rsidR="00EA4937" w:rsidRDefault="00EA49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6312450"/>
      <w:docPartObj>
        <w:docPartGallery w:val="Page Numbers (Bottom of Page)"/>
        <w:docPartUnique/>
      </w:docPartObj>
    </w:sdtPr>
    <w:sdtEndPr>
      <w:rPr>
        <w:rStyle w:val="PageNumber"/>
      </w:rPr>
    </w:sdtEndPr>
    <w:sdtContent>
      <w:p w14:paraId="5E3E9EE1" w14:textId="77777777" w:rsidR="00833800" w:rsidRDefault="00833800" w:rsidP="001059E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61FB40" w14:textId="77777777" w:rsidR="00833800" w:rsidRDefault="00833800" w:rsidP="005403E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9039178"/>
      <w:docPartObj>
        <w:docPartGallery w:val="Page Numbers (Bottom of Page)"/>
        <w:docPartUnique/>
      </w:docPartObj>
    </w:sdtPr>
    <w:sdtEndPr>
      <w:rPr>
        <w:rStyle w:val="PageNumber"/>
      </w:rPr>
    </w:sdtEndPr>
    <w:sdtContent>
      <w:p w14:paraId="3D2A9475" w14:textId="77777777" w:rsidR="001059E6" w:rsidRDefault="001059E6" w:rsidP="00D073A8">
        <w:pPr>
          <w:pStyle w:val="Footer"/>
          <w:framePr w:wrap="none" w:vAnchor="text" w:hAnchor="margin" w:xAlign="center" w:y="1"/>
          <w:rPr>
            <w:rStyle w:val="PageNumber"/>
          </w:rPr>
        </w:pPr>
        <w:r w:rsidRPr="0030669C">
          <w:rPr>
            <w:rStyle w:val="PageNumber"/>
            <w:sz w:val="18"/>
            <w:szCs w:val="18"/>
          </w:rPr>
          <w:fldChar w:fldCharType="begin"/>
        </w:r>
        <w:r w:rsidRPr="0030669C">
          <w:rPr>
            <w:rStyle w:val="PageNumber"/>
            <w:sz w:val="18"/>
            <w:szCs w:val="18"/>
          </w:rPr>
          <w:instrText xml:space="preserve"> PAGE </w:instrText>
        </w:r>
        <w:r w:rsidRPr="0030669C">
          <w:rPr>
            <w:rStyle w:val="PageNumber"/>
            <w:sz w:val="18"/>
            <w:szCs w:val="18"/>
          </w:rPr>
          <w:fldChar w:fldCharType="separate"/>
        </w:r>
        <w:r w:rsidRPr="0030669C">
          <w:rPr>
            <w:rStyle w:val="PageNumber"/>
            <w:noProof/>
            <w:sz w:val="18"/>
            <w:szCs w:val="18"/>
          </w:rPr>
          <w:t>1</w:t>
        </w:r>
        <w:r w:rsidRPr="0030669C">
          <w:rPr>
            <w:rStyle w:val="PageNumber"/>
            <w:sz w:val="18"/>
            <w:szCs w:val="18"/>
          </w:rPr>
          <w:fldChar w:fldCharType="end"/>
        </w:r>
      </w:p>
    </w:sdtContent>
  </w:sdt>
  <w:p w14:paraId="258E2106" w14:textId="77777777" w:rsidR="001059E6" w:rsidRDefault="001059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DA984" w14:textId="77777777" w:rsidR="00EA4937" w:rsidRDefault="00EA4937">
      <w:r>
        <w:separator/>
      </w:r>
    </w:p>
  </w:footnote>
  <w:footnote w:type="continuationSeparator" w:id="0">
    <w:p w14:paraId="4D68A569" w14:textId="77777777" w:rsidR="00EA4937" w:rsidRDefault="00EA4937">
      <w:r>
        <w:continuationSeparator/>
      </w:r>
    </w:p>
  </w:footnote>
  <w:footnote w:type="continuationNotice" w:id="1">
    <w:p w14:paraId="5A05DCAE" w14:textId="77777777" w:rsidR="00EA4937" w:rsidRDefault="00EA4937"/>
  </w:footnote>
  <w:footnote w:id="2">
    <w:p w14:paraId="6832BDF9" w14:textId="77777777" w:rsidR="00806599" w:rsidRDefault="00806599" w:rsidP="007D17F7">
      <w:pPr>
        <w:pStyle w:val="FootnoteText"/>
        <w:spacing w:line="360" w:lineRule="auto"/>
      </w:pPr>
      <w:r>
        <w:rPr>
          <w:rStyle w:val="FootnoteReference"/>
        </w:rPr>
        <w:footnoteRef/>
      </w:r>
      <w:r>
        <w:t xml:space="preserve"> </w:t>
      </w:r>
      <w:r w:rsidRPr="0076243D">
        <w:t>Aleena Chia</w:t>
      </w:r>
      <w:r>
        <w:t>, ‘“</w:t>
      </w:r>
      <w:r w:rsidRPr="004515C4">
        <w:t>Everything Is Connected</w:t>
      </w:r>
      <w:r>
        <w:t>”</w:t>
      </w:r>
      <w:r w:rsidRPr="004515C4">
        <w:t>: Networked Conspirituality in New Age Media</w:t>
      </w:r>
      <w:r>
        <w:t>’ (The 22nd Annual Conference of the Association of Internet Researchers, Virtual Event, October 2021) 7.</w:t>
      </w:r>
    </w:p>
  </w:footnote>
  <w:footnote w:id="3">
    <w:p w14:paraId="093C59B0" w14:textId="77777777" w:rsidR="00261A50" w:rsidRDefault="00261A50" w:rsidP="00261A50">
      <w:pPr>
        <w:pStyle w:val="FootnoteText"/>
        <w:spacing w:line="360" w:lineRule="auto"/>
      </w:pPr>
      <w:r>
        <w:rPr>
          <w:rStyle w:val="FootnoteReference"/>
        </w:rPr>
        <w:footnoteRef/>
      </w:r>
      <w:r>
        <w:t xml:space="preserve"> </w:t>
      </w:r>
      <w:r w:rsidRPr="004C2262">
        <w:t>Directive 2001/29/EC</w:t>
      </w:r>
      <w:r>
        <w:t xml:space="preserve"> (</w:t>
      </w:r>
      <w:r w:rsidRPr="004C2262">
        <w:t>Information Society Directive</w:t>
      </w:r>
      <w:r>
        <w:t>), art 3.</w:t>
      </w:r>
    </w:p>
  </w:footnote>
  <w:footnote w:id="4">
    <w:p w14:paraId="00B7F050" w14:textId="68CF7A28" w:rsidR="007D17F7" w:rsidRPr="00742B28" w:rsidRDefault="007D17F7" w:rsidP="00BF6512">
      <w:pPr>
        <w:pStyle w:val="FootnoteText"/>
        <w:spacing w:line="360" w:lineRule="auto"/>
        <w:rPr>
          <w:lang w:eastAsia="zh-CN"/>
        </w:rPr>
      </w:pPr>
      <w:r w:rsidRPr="00742B28">
        <w:rPr>
          <w:rStyle w:val="FootnoteReference"/>
        </w:rPr>
        <w:footnoteRef/>
      </w:r>
      <w:r w:rsidRPr="00742B28">
        <w:t xml:space="preserve"> </w:t>
      </w:r>
      <w:r w:rsidR="00742B28" w:rsidRPr="00742B28">
        <w:t xml:space="preserve">Case C-466/12 </w:t>
      </w:r>
      <w:r w:rsidR="00742B28" w:rsidRPr="00E85C54">
        <w:rPr>
          <w:i/>
          <w:iCs/>
        </w:rPr>
        <w:t>Svensson v. Retriever Sverige</w:t>
      </w:r>
      <w:r w:rsidR="00742B28">
        <w:t xml:space="preserve"> </w:t>
      </w:r>
      <w:r w:rsidR="00742B28" w:rsidRPr="00742B28">
        <w:t>EU:C:2014:76</w:t>
      </w:r>
      <w:r w:rsidR="00861E33">
        <w:t xml:space="preserve"> (</w:t>
      </w:r>
      <w:r w:rsidR="00861E33" w:rsidRPr="00E85C54">
        <w:rPr>
          <w:i/>
          <w:iCs/>
        </w:rPr>
        <w:t>Svensson</w:t>
      </w:r>
      <w:r w:rsidR="00861E33">
        <w:t>)</w:t>
      </w:r>
      <w:r w:rsidR="00742B28" w:rsidRPr="00742B28">
        <w:t xml:space="preserve">, </w:t>
      </w:r>
      <w:r w:rsidR="00742B28">
        <w:rPr>
          <w:rFonts w:eastAsia="Microsoft YaHei" w:cs="Times New Roman"/>
          <w:lang w:eastAsia="zh-CN"/>
        </w:rPr>
        <w:t>[</w:t>
      </w:r>
      <w:r w:rsidR="00742B28" w:rsidRPr="00742B28">
        <w:t>18</w:t>
      </w:r>
      <w:r w:rsidR="00742B28">
        <w:t>]</w:t>
      </w:r>
      <w:r w:rsidR="00742B28" w:rsidRPr="00742B28">
        <w:t>–</w:t>
      </w:r>
      <w:r w:rsidR="00742B28">
        <w:t>[</w:t>
      </w:r>
      <w:r w:rsidR="00742B28" w:rsidRPr="00742B28">
        <w:t>20</w:t>
      </w:r>
      <w:r w:rsidR="00742B28">
        <w:t>]</w:t>
      </w:r>
      <w:r w:rsidR="00155A15">
        <w:t xml:space="preserve"> and</w:t>
      </w:r>
      <w:r w:rsidR="00742B28" w:rsidRPr="00742B28">
        <w:t xml:space="preserve"> </w:t>
      </w:r>
      <w:r w:rsidR="00742B28">
        <w:t>[</w:t>
      </w:r>
      <w:r w:rsidR="00742B28" w:rsidRPr="00742B28">
        <w:t>24</w:t>
      </w:r>
      <w:r w:rsidR="00742B28">
        <w:t>]</w:t>
      </w:r>
      <w:r w:rsidR="00742B28" w:rsidRPr="00742B28">
        <w:t>–</w:t>
      </w:r>
      <w:r w:rsidR="00742B28">
        <w:t>[</w:t>
      </w:r>
      <w:r w:rsidR="00742B28" w:rsidRPr="00742B28">
        <w:t>28</w:t>
      </w:r>
      <w:r w:rsidR="00742B28">
        <w:t>]</w:t>
      </w:r>
      <w:r w:rsidR="00742B28" w:rsidRPr="00742B28">
        <w:t xml:space="preserve">; </w:t>
      </w:r>
      <w:r w:rsidR="00742B28" w:rsidRPr="00C81357">
        <w:t>Case C-160/15</w:t>
      </w:r>
      <w:r w:rsidR="00742B28" w:rsidRPr="00742B28">
        <w:t xml:space="preserve"> </w:t>
      </w:r>
      <w:r w:rsidR="00C81357" w:rsidRPr="00DB7641">
        <w:rPr>
          <w:i/>
          <w:iCs/>
        </w:rPr>
        <w:t>GS Media v. Sanoma</w:t>
      </w:r>
      <w:r w:rsidR="00C81357">
        <w:t xml:space="preserve"> </w:t>
      </w:r>
      <w:r w:rsidR="00742B28" w:rsidRPr="00742B28">
        <w:t>EU:C:2016:644</w:t>
      </w:r>
      <w:r w:rsidR="00F57294">
        <w:t xml:space="preserve"> (</w:t>
      </w:r>
      <w:r w:rsidR="00F57294" w:rsidRPr="00DB7641">
        <w:rPr>
          <w:i/>
          <w:iCs/>
        </w:rPr>
        <w:t>GS Media</w:t>
      </w:r>
      <w:r w:rsidR="00F57294">
        <w:t>)</w:t>
      </w:r>
      <w:r w:rsidR="00742B28" w:rsidRPr="00742B28">
        <w:t xml:space="preserve">, </w:t>
      </w:r>
      <w:r w:rsidR="00F57294">
        <w:t>[</w:t>
      </w:r>
      <w:r w:rsidR="00742B28" w:rsidRPr="00742B28">
        <w:t>47</w:t>
      </w:r>
      <w:r w:rsidR="00F57294">
        <w:t>]</w:t>
      </w:r>
      <w:r w:rsidR="00742B28" w:rsidRPr="00742B28">
        <w:t>–</w:t>
      </w:r>
      <w:r w:rsidR="00F57294">
        <w:t>[</w:t>
      </w:r>
      <w:r w:rsidR="00742B28" w:rsidRPr="00742B28">
        <w:t>53</w:t>
      </w:r>
      <w:r w:rsidR="00F57294">
        <w:t>]</w:t>
      </w:r>
      <w:r w:rsidR="00742B28" w:rsidRPr="00742B28">
        <w:t xml:space="preserve">; </w:t>
      </w:r>
      <w:r w:rsidR="00742B28" w:rsidRPr="00511A7A">
        <w:t>Case C-527/15</w:t>
      </w:r>
      <w:r w:rsidR="00742B28" w:rsidRPr="00742B28">
        <w:t xml:space="preserve"> </w:t>
      </w:r>
      <w:r w:rsidR="00511A7A" w:rsidRPr="00CE684D">
        <w:rPr>
          <w:i/>
          <w:iCs/>
        </w:rPr>
        <w:t>Brein v. Wullems</w:t>
      </w:r>
      <w:r w:rsidR="00742B28" w:rsidRPr="00742B28">
        <w:t xml:space="preserve"> EU:C:2017:300</w:t>
      </w:r>
      <w:r w:rsidR="00511A7A">
        <w:t xml:space="preserve"> (</w:t>
      </w:r>
      <w:r w:rsidR="00511A7A" w:rsidRPr="004B2DE9">
        <w:rPr>
          <w:i/>
          <w:iCs/>
        </w:rPr>
        <w:t>Filmspeler</w:t>
      </w:r>
      <w:r w:rsidR="00511A7A">
        <w:t>)</w:t>
      </w:r>
      <w:r w:rsidR="00742B28" w:rsidRPr="00742B28">
        <w:t xml:space="preserve">, </w:t>
      </w:r>
      <w:r w:rsidR="004B2DE9">
        <w:t>[</w:t>
      </w:r>
      <w:r w:rsidR="00742B28" w:rsidRPr="00742B28">
        <w:t>45</w:t>
      </w:r>
      <w:r w:rsidR="004B2DE9">
        <w:t>]</w:t>
      </w:r>
      <w:r w:rsidR="00742B28" w:rsidRPr="00742B28">
        <w:t>–</w:t>
      </w:r>
      <w:r w:rsidR="004B2DE9">
        <w:t>[</w:t>
      </w:r>
      <w:r w:rsidR="00742B28" w:rsidRPr="00742B28">
        <w:t>51</w:t>
      </w:r>
      <w:r w:rsidR="004B2DE9">
        <w:t>]</w:t>
      </w:r>
      <w:r w:rsidR="00742B28" w:rsidRPr="00742B28">
        <w:t xml:space="preserve">; </w:t>
      </w:r>
      <w:r w:rsidR="00742B28" w:rsidRPr="004B2DE9">
        <w:t>Case C-610/15</w:t>
      </w:r>
      <w:r w:rsidR="00742B28" w:rsidRPr="00742B28">
        <w:t xml:space="preserve"> </w:t>
      </w:r>
      <w:r w:rsidR="007024A0" w:rsidRPr="000C6A96">
        <w:rPr>
          <w:i/>
          <w:iCs/>
        </w:rPr>
        <w:t>Brein v. Ziggo and XS4ALL</w:t>
      </w:r>
      <w:r w:rsidR="007024A0">
        <w:t xml:space="preserve"> </w:t>
      </w:r>
      <w:r w:rsidR="00742B28" w:rsidRPr="00742B28">
        <w:t>EU:C:2017:456</w:t>
      </w:r>
      <w:r w:rsidR="007024A0">
        <w:t xml:space="preserve"> (</w:t>
      </w:r>
      <w:r w:rsidR="007024A0" w:rsidRPr="000C6A96">
        <w:rPr>
          <w:i/>
          <w:iCs/>
        </w:rPr>
        <w:t>Ziggo</w:t>
      </w:r>
      <w:r w:rsidR="007024A0">
        <w:t>)</w:t>
      </w:r>
      <w:r w:rsidR="00742B28" w:rsidRPr="00742B28">
        <w:t xml:space="preserve">, </w:t>
      </w:r>
      <w:r w:rsidR="00185661">
        <w:t>[</w:t>
      </w:r>
      <w:r w:rsidR="00742B28" w:rsidRPr="00742B28">
        <w:t>45</w:t>
      </w:r>
      <w:r w:rsidR="00185661">
        <w:t>]</w:t>
      </w:r>
      <w:r w:rsidR="00742B28" w:rsidRPr="00742B28">
        <w:t>–</w:t>
      </w:r>
      <w:r w:rsidR="00185661">
        <w:t>[</w:t>
      </w:r>
      <w:r w:rsidR="00742B28" w:rsidRPr="00742B28">
        <w:t>46</w:t>
      </w:r>
      <w:r w:rsidR="00185661">
        <w:t>]</w:t>
      </w:r>
      <w:r w:rsidR="00742B28" w:rsidRPr="00742B28">
        <w:t xml:space="preserve">; </w:t>
      </w:r>
      <w:r w:rsidR="00742B28" w:rsidRPr="00397293">
        <w:t xml:space="preserve">Case C-392/19 </w:t>
      </w:r>
      <w:r w:rsidR="002217E9" w:rsidRPr="00A8664E">
        <w:rPr>
          <w:i/>
          <w:iCs/>
        </w:rPr>
        <w:t xml:space="preserve">VG Bild-Kunst v. Stiftung Preußischer Kulturbesitz </w:t>
      </w:r>
      <w:r w:rsidR="00742B28" w:rsidRPr="00742B28">
        <w:t>EU:C:2021:181</w:t>
      </w:r>
      <w:r w:rsidR="002217E9">
        <w:t xml:space="preserve"> (</w:t>
      </w:r>
      <w:r w:rsidR="002217E9" w:rsidRPr="00A8664E">
        <w:rPr>
          <w:i/>
          <w:iCs/>
        </w:rPr>
        <w:t>VG Bild-Kunst</w:t>
      </w:r>
      <w:r w:rsidR="002217E9">
        <w:t>)</w:t>
      </w:r>
      <w:r w:rsidR="00742B28" w:rsidRPr="00742B28">
        <w:t xml:space="preserve">, </w:t>
      </w:r>
      <w:r w:rsidR="00E0716A">
        <w:t>[</w:t>
      </w:r>
      <w:r w:rsidR="00742B28" w:rsidRPr="00742B28">
        <w:t>52</w:t>
      </w:r>
      <w:r w:rsidR="00E0716A">
        <w:t>]</w:t>
      </w:r>
      <w:r w:rsidR="00742B28" w:rsidRPr="00742B28">
        <w:t>–</w:t>
      </w:r>
      <w:r w:rsidR="00E0716A">
        <w:t>[</w:t>
      </w:r>
      <w:r w:rsidR="00742B28" w:rsidRPr="00742B28">
        <w:t>54</w:t>
      </w:r>
      <w:r w:rsidR="00E0716A">
        <w:t>]</w:t>
      </w:r>
      <w:r w:rsidR="00037601">
        <w:t xml:space="preserve"> and</w:t>
      </w:r>
      <w:r w:rsidR="00742B28" w:rsidRPr="00742B28">
        <w:t xml:space="preserve"> </w:t>
      </w:r>
      <w:r w:rsidR="00E0716A">
        <w:t>[</w:t>
      </w:r>
      <w:r w:rsidR="00742B28" w:rsidRPr="00742B28">
        <w:t>61</w:t>
      </w:r>
      <w:r w:rsidR="00E0716A">
        <w:t>]</w:t>
      </w:r>
      <w:r w:rsidR="00742B28" w:rsidRPr="00742B28">
        <w:t>–</w:t>
      </w:r>
      <w:r w:rsidR="00E0716A">
        <w:t>[</w:t>
      </w:r>
      <w:r w:rsidR="00742B28" w:rsidRPr="00742B28">
        <w:t>62</w:t>
      </w:r>
      <w:r w:rsidR="00E0716A">
        <w:t>]</w:t>
      </w:r>
      <w:r w:rsidR="00742B28" w:rsidRPr="00742B28">
        <w:t>.</w:t>
      </w:r>
    </w:p>
  </w:footnote>
  <w:footnote w:id="5">
    <w:p w14:paraId="637321D3" w14:textId="6D1D3923" w:rsidR="00BC3CF0" w:rsidRPr="00EF6E41" w:rsidRDefault="00BC3CF0" w:rsidP="00742730">
      <w:pPr>
        <w:pStyle w:val="FootnoteText"/>
        <w:spacing w:line="360" w:lineRule="auto"/>
        <w:rPr>
          <w:rFonts w:eastAsia="Microsoft YaHei" w:cs="Times New Roman"/>
          <w:lang w:eastAsia="zh-CN"/>
        </w:rPr>
      </w:pPr>
      <w:r>
        <w:rPr>
          <w:rStyle w:val="FootnoteReference"/>
        </w:rPr>
        <w:footnoteRef/>
      </w:r>
      <w:r>
        <w:t xml:space="preserve"> </w:t>
      </w:r>
      <w:r w:rsidR="00EF6E41" w:rsidRPr="00E85C54">
        <w:rPr>
          <w:i/>
          <w:iCs/>
        </w:rPr>
        <w:t>Svensson</w:t>
      </w:r>
      <w:r w:rsidR="00EF6E41">
        <w:rPr>
          <w:rFonts w:hint="eastAsia"/>
          <w:i/>
          <w:iCs/>
          <w:lang w:eastAsia="zh-CN"/>
        </w:rPr>
        <w:t xml:space="preserve"> </w:t>
      </w:r>
      <w:r w:rsidR="00EF6E41" w:rsidRPr="00EF6E41">
        <w:rPr>
          <w:rFonts w:eastAsia="Microsoft YaHei" w:cs="Times New Roman"/>
          <w:lang w:eastAsia="zh-CN"/>
        </w:rPr>
        <w:t>(n 3)</w:t>
      </w:r>
      <w:r w:rsidR="00EF6E41">
        <w:rPr>
          <w:rFonts w:eastAsia="Microsoft YaHei" w:cs="Times New Roman"/>
          <w:lang w:eastAsia="zh-CN"/>
        </w:rPr>
        <w:t xml:space="preserve">, </w:t>
      </w:r>
      <w:r w:rsidR="00566B07">
        <w:rPr>
          <w:rFonts w:eastAsia="Microsoft YaHei" w:cs="Times New Roman"/>
          <w:lang w:eastAsia="zh-CN"/>
        </w:rPr>
        <w:t>[</w:t>
      </w:r>
      <w:r w:rsidR="00566B07">
        <w:t>18]–[20]</w:t>
      </w:r>
      <w:r w:rsidR="00AE2796">
        <w:t xml:space="preserve"> and</w:t>
      </w:r>
      <w:r w:rsidR="00566B07">
        <w:t xml:space="preserve"> [24]–[28].</w:t>
      </w:r>
    </w:p>
  </w:footnote>
  <w:footnote w:id="6">
    <w:p w14:paraId="78EA4106" w14:textId="6F1644E4" w:rsidR="00BF6512" w:rsidRDefault="00BF6512" w:rsidP="00742730">
      <w:pPr>
        <w:pStyle w:val="FootnoteText"/>
        <w:spacing w:line="360" w:lineRule="auto"/>
      </w:pPr>
      <w:r>
        <w:rPr>
          <w:rStyle w:val="FootnoteReference"/>
        </w:rPr>
        <w:footnoteRef/>
      </w:r>
      <w:r>
        <w:t xml:space="preserve"> </w:t>
      </w:r>
      <w:r w:rsidR="001C7F32" w:rsidRPr="00DB7641">
        <w:rPr>
          <w:i/>
          <w:iCs/>
        </w:rPr>
        <w:t>GS Media</w:t>
      </w:r>
      <w:r w:rsidR="001C7F32">
        <w:t xml:space="preserve"> (n 3), [</w:t>
      </w:r>
      <w:r w:rsidR="001C7F32" w:rsidRPr="00742B28">
        <w:t>47</w:t>
      </w:r>
      <w:r w:rsidR="001C7F32">
        <w:t>]</w:t>
      </w:r>
      <w:r w:rsidR="001C7F32" w:rsidRPr="00742B28">
        <w:t>–</w:t>
      </w:r>
      <w:r w:rsidR="001C7F32">
        <w:t>[</w:t>
      </w:r>
      <w:r w:rsidR="001C7F32" w:rsidRPr="00742B28">
        <w:t>53</w:t>
      </w:r>
      <w:r w:rsidR="001C7F32">
        <w:t>].</w:t>
      </w:r>
    </w:p>
  </w:footnote>
  <w:footnote w:id="7">
    <w:p w14:paraId="528AD8FE" w14:textId="4C3999C9" w:rsidR="00742730" w:rsidRDefault="00742730" w:rsidP="00742730">
      <w:pPr>
        <w:pStyle w:val="FootnoteText"/>
        <w:spacing w:line="360" w:lineRule="auto"/>
        <w:rPr>
          <w:lang w:eastAsia="zh-CN"/>
        </w:rPr>
      </w:pPr>
      <w:r>
        <w:rPr>
          <w:rStyle w:val="FootnoteReference"/>
        </w:rPr>
        <w:footnoteRef/>
      </w:r>
      <w:r>
        <w:t xml:space="preserve"> </w:t>
      </w:r>
      <w:r w:rsidR="00496190" w:rsidRPr="004B2DE9">
        <w:rPr>
          <w:i/>
          <w:iCs/>
        </w:rPr>
        <w:t>Filmspeler</w:t>
      </w:r>
      <w:r w:rsidR="00496190">
        <w:t xml:space="preserve"> (n 3), [36]–[38]</w:t>
      </w:r>
      <w:r w:rsidR="00AE2796">
        <w:t xml:space="preserve"> and</w:t>
      </w:r>
      <w:r w:rsidR="00496190">
        <w:t xml:space="preserve"> [45]–[51]</w:t>
      </w:r>
      <w:r w:rsidR="00204BDB">
        <w:t xml:space="preserve">; </w:t>
      </w:r>
      <w:r w:rsidR="009E357B" w:rsidRPr="000C6A96">
        <w:rPr>
          <w:i/>
          <w:iCs/>
        </w:rPr>
        <w:t>Ziggo</w:t>
      </w:r>
      <w:r w:rsidR="009E357B">
        <w:t xml:space="preserve"> (n 3), </w:t>
      </w:r>
      <w:r w:rsidR="00022BAF">
        <w:t>[</w:t>
      </w:r>
      <w:r w:rsidR="009E357B">
        <w:t>36</w:t>
      </w:r>
      <w:r w:rsidR="00022BAF">
        <w:t>]</w:t>
      </w:r>
      <w:r w:rsidR="009E357B">
        <w:t xml:space="preserve">, </w:t>
      </w:r>
      <w:r w:rsidR="00022BAF">
        <w:t>[</w:t>
      </w:r>
      <w:r w:rsidR="009E357B">
        <w:t>41</w:t>
      </w:r>
      <w:r w:rsidR="00022BAF">
        <w:t>]</w:t>
      </w:r>
      <w:r w:rsidR="009E357B">
        <w:t>,</w:t>
      </w:r>
      <w:r w:rsidR="00AE2796">
        <w:t xml:space="preserve"> and</w:t>
      </w:r>
      <w:r w:rsidR="009E357B">
        <w:t xml:space="preserve"> </w:t>
      </w:r>
      <w:r w:rsidR="00022BAF">
        <w:t>[</w:t>
      </w:r>
      <w:r w:rsidR="009E357B">
        <w:t>45</w:t>
      </w:r>
      <w:r w:rsidR="00022BAF">
        <w:t>]</w:t>
      </w:r>
      <w:r w:rsidR="009E357B">
        <w:t>–</w:t>
      </w:r>
      <w:r w:rsidR="00022BAF">
        <w:t>[</w:t>
      </w:r>
      <w:r w:rsidR="009E357B">
        <w:t>46</w:t>
      </w:r>
      <w:r w:rsidR="00022BAF">
        <w:t>]</w:t>
      </w:r>
      <w:r w:rsidR="009E357B">
        <w:t>.</w:t>
      </w:r>
    </w:p>
  </w:footnote>
  <w:footnote w:id="8">
    <w:p w14:paraId="324521F1" w14:textId="4FA12195" w:rsidR="00FF1E31" w:rsidRDefault="00FF1E31" w:rsidP="00C275A0">
      <w:pPr>
        <w:pStyle w:val="FootnoteText"/>
        <w:spacing w:line="360" w:lineRule="auto"/>
      </w:pPr>
      <w:r>
        <w:rPr>
          <w:rStyle w:val="FootnoteReference"/>
        </w:rPr>
        <w:footnoteRef/>
      </w:r>
      <w:r>
        <w:t xml:space="preserve"> </w:t>
      </w:r>
      <w:r w:rsidR="00D95D77" w:rsidRPr="004C2262">
        <w:t>Information Society Directive</w:t>
      </w:r>
      <w:r>
        <w:t>, art 3(1).</w:t>
      </w:r>
    </w:p>
  </w:footnote>
  <w:footnote w:id="9">
    <w:p w14:paraId="40B34B50" w14:textId="50E6E982" w:rsidR="00C275A0" w:rsidRDefault="00C275A0" w:rsidP="00C275A0">
      <w:pPr>
        <w:pStyle w:val="FootnoteText"/>
        <w:spacing w:line="360" w:lineRule="auto"/>
      </w:pPr>
      <w:r>
        <w:rPr>
          <w:rStyle w:val="FootnoteReference"/>
        </w:rPr>
        <w:footnoteRef/>
      </w:r>
      <w:r>
        <w:t xml:space="preserve"> </w:t>
      </w:r>
      <w:r w:rsidR="0073316D">
        <w:t xml:space="preserve">Case C-306/05 </w:t>
      </w:r>
      <w:r w:rsidR="0073316D" w:rsidRPr="00444AB1">
        <w:rPr>
          <w:i/>
          <w:iCs/>
        </w:rPr>
        <w:t>SGAE v. Rafael Hoteles</w:t>
      </w:r>
      <w:r w:rsidR="0073316D">
        <w:t xml:space="preserve"> </w:t>
      </w:r>
      <w:r w:rsidR="0073316D" w:rsidRPr="00444AB1">
        <w:t>EU:C:2006:764</w:t>
      </w:r>
      <w:r w:rsidR="0073316D">
        <w:t>, [</w:t>
      </w:r>
      <w:r w:rsidR="00511172">
        <w:t>42</w:t>
      </w:r>
      <w:r w:rsidR="0073316D">
        <w:t>]</w:t>
      </w:r>
      <w:r w:rsidR="00511172">
        <w:t>–[43].</w:t>
      </w:r>
    </w:p>
  </w:footnote>
  <w:footnote w:id="10">
    <w:p w14:paraId="339C5AAE" w14:textId="06906D85" w:rsidR="00C275A0" w:rsidRDefault="00C275A0" w:rsidP="00C275A0">
      <w:pPr>
        <w:pStyle w:val="FootnoteText"/>
        <w:spacing w:line="360" w:lineRule="auto"/>
      </w:pPr>
      <w:r>
        <w:rPr>
          <w:rStyle w:val="FootnoteReference"/>
        </w:rPr>
        <w:footnoteRef/>
      </w:r>
      <w:r>
        <w:t xml:space="preserve"> </w:t>
      </w:r>
      <w:r w:rsidR="00511172">
        <w:t xml:space="preserve">ibid, </w:t>
      </w:r>
      <w:r w:rsidR="00B217B4">
        <w:t>[37]–[39].</w:t>
      </w:r>
    </w:p>
  </w:footnote>
  <w:footnote w:id="11">
    <w:p w14:paraId="6B051F2B" w14:textId="6E252B14" w:rsidR="0085615D" w:rsidRDefault="0085615D" w:rsidP="00C275A0">
      <w:pPr>
        <w:pStyle w:val="FootnoteText"/>
        <w:spacing w:line="360" w:lineRule="auto"/>
      </w:pPr>
      <w:r>
        <w:rPr>
          <w:rStyle w:val="FootnoteReference"/>
        </w:rPr>
        <w:footnoteRef/>
      </w:r>
      <w:r>
        <w:t xml:space="preserve"> </w:t>
      </w:r>
      <w:r w:rsidR="0073316D">
        <w:t>ibid</w:t>
      </w:r>
      <w:r w:rsidR="00444AB1">
        <w:t>, [</w:t>
      </w:r>
      <w:r w:rsidR="0073316D">
        <w:t>40</w:t>
      </w:r>
      <w:r w:rsidR="00444AB1">
        <w:t>].</w:t>
      </w:r>
    </w:p>
  </w:footnote>
  <w:footnote w:id="12">
    <w:p w14:paraId="1853FDC9" w14:textId="2330BBC9" w:rsidR="006F0C99" w:rsidRDefault="006F0C99" w:rsidP="007D17F7">
      <w:pPr>
        <w:pStyle w:val="FootnoteText"/>
        <w:spacing w:line="360" w:lineRule="auto"/>
      </w:pPr>
      <w:r>
        <w:rPr>
          <w:rStyle w:val="FootnoteReference"/>
        </w:rPr>
        <w:footnoteRef/>
      </w:r>
      <w:r>
        <w:t xml:space="preserve"> </w:t>
      </w:r>
      <w:r w:rsidR="00E85C54" w:rsidRPr="00E85C54">
        <w:rPr>
          <w:i/>
          <w:iCs/>
        </w:rPr>
        <w:t>Svensson</w:t>
      </w:r>
      <w:r w:rsidR="001205C5" w:rsidRPr="001205C5">
        <w:t xml:space="preserve"> (n 3)</w:t>
      </w:r>
      <w:r w:rsidR="00C429D1" w:rsidRPr="001205C5">
        <w:t>,</w:t>
      </w:r>
      <w:r w:rsidR="00E85C54" w:rsidRPr="001205C5">
        <w:t xml:space="preserve"> </w:t>
      </w:r>
      <w:r w:rsidR="00E85C54" w:rsidRPr="00E85C54">
        <w:t>[20].</w:t>
      </w:r>
    </w:p>
  </w:footnote>
  <w:footnote w:id="13">
    <w:p w14:paraId="461F25BC" w14:textId="491444DB" w:rsidR="00FF7804" w:rsidRDefault="00FF7804" w:rsidP="008B23E2">
      <w:pPr>
        <w:pStyle w:val="FootnoteText"/>
        <w:spacing w:line="360" w:lineRule="auto"/>
      </w:pPr>
      <w:r>
        <w:rPr>
          <w:rStyle w:val="FootnoteReference"/>
        </w:rPr>
        <w:footnoteRef/>
      </w:r>
      <w:r>
        <w:t xml:space="preserve"> </w:t>
      </w:r>
      <w:r w:rsidR="004626AC">
        <w:t xml:space="preserve">ibid, </w:t>
      </w:r>
      <w:r w:rsidR="00DC637B">
        <w:t xml:space="preserve">[24] and </w:t>
      </w:r>
      <w:r w:rsidR="004626AC">
        <w:t>[28].</w:t>
      </w:r>
    </w:p>
  </w:footnote>
  <w:footnote w:id="14">
    <w:p w14:paraId="15254B2A" w14:textId="2707DE50" w:rsidR="00C40037" w:rsidRPr="00466404" w:rsidRDefault="00C40037" w:rsidP="008B23E2">
      <w:pPr>
        <w:pStyle w:val="FootnoteText"/>
        <w:spacing w:line="360" w:lineRule="auto"/>
        <w:rPr>
          <w:b/>
          <w:bCs/>
        </w:rPr>
      </w:pPr>
      <w:r>
        <w:rPr>
          <w:rStyle w:val="FootnoteReference"/>
        </w:rPr>
        <w:footnoteRef/>
      </w:r>
      <w:r>
        <w:t xml:space="preserve"> </w:t>
      </w:r>
      <w:r w:rsidR="00C75795">
        <w:t xml:space="preserve">Case </w:t>
      </w:r>
      <w:r w:rsidR="00C75795" w:rsidRPr="00C75795">
        <w:t>C</w:t>
      </w:r>
      <w:r w:rsidR="00C75795">
        <w:t>-</w:t>
      </w:r>
      <w:r w:rsidR="00C75795" w:rsidRPr="00C75795">
        <w:t>348/</w:t>
      </w:r>
      <w:r w:rsidR="00C75795" w:rsidRPr="00F13C8C">
        <w:t xml:space="preserve">13 </w:t>
      </w:r>
      <w:r w:rsidR="00C75795" w:rsidRPr="00DF2191">
        <w:rPr>
          <w:i/>
          <w:iCs/>
        </w:rPr>
        <w:t>BestWater</w:t>
      </w:r>
      <w:r w:rsidR="00FC6EDD" w:rsidRPr="00DF2191">
        <w:rPr>
          <w:i/>
          <w:iCs/>
        </w:rPr>
        <w:t xml:space="preserve"> v. </w:t>
      </w:r>
      <w:r w:rsidR="00466404" w:rsidRPr="00DF2191">
        <w:rPr>
          <w:i/>
          <w:iCs/>
        </w:rPr>
        <w:t>Mebes &amp; Potsch</w:t>
      </w:r>
      <w:r w:rsidR="00466404">
        <w:t xml:space="preserve"> </w:t>
      </w:r>
      <w:r w:rsidR="00DF2191">
        <w:t>EU: C:2014:2315</w:t>
      </w:r>
      <w:r w:rsidR="00482EA3" w:rsidRPr="00466404">
        <w:rPr>
          <w:rFonts w:eastAsia="Microsoft YaHei" w:cs="Times New Roman"/>
          <w:lang w:eastAsia="zh-CN"/>
        </w:rPr>
        <w:t>,</w:t>
      </w:r>
      <w:r w:rsidR="00482EA3">
        <w:rPr>
          <w:rFonts w:eastAsia="Microsoft YaHei" w:cs="Times New Roman"/>
          <w:lang w:eastAsia="zh-CN"/>
        </w:rPr>
        <w:t xml:space="preserve"> [19].</w:t>
      </w:r>
    </w:p>
  </w:footnote>
  <w:footnote w:id="15">
    <w:p w14:paraId="17C24BF6" w14:textId="4F5C66C4" w:rsidR="00A16743" w:rsidRPr="00284DAD" w:rsidRDefault="00A16743" w:rsidP="008B23E2">
      <w:pPr>
        <w:pStyle w:val="FootnoteText"/>
        <w:spacing w:line="360" w:lineRule="auto"/>
        <w:rPr>
          <w:rFonts w:eastAsia="Microsoft YaHei" w:cs="Times New Roman"/>
          <w:lang w:eastAsia="zh-CN"/>
        </w:rPr>
      </w:pPr>
      <w:r>
        <w:rPr>
          <w:rStyle w:val="FootnoteReference"/>
        </w:rPr>
        <w:footnoteRef/>
      </w:r>
      <w:r>
        <w:t xml:space="preserve"> </w:t>
      </w:r>
      <w:r w:rsidR="00DB7641" w:rsidRPr="00DB7641">
        <w:rPr>
          <w:i/>
          <w:iCs/>
        </w:rPr>
        <w:t>GS Media</w:t>
      </w:r>
      <w:r w:rsidR="00434597">
        <w:rPr>
          <w:i/>
          <w:iCs/>
        </w:rPr>
        <w:t xml:space="preserve"> </w:t>
      </w:r>
      <w:r w:rsidR="00434597" w:rsidRPr="00434597">
        <w:t>(n 3)</w:t>
      </w:r>
      <w:r w:rsidR="00284DAD" w:rsidRPr="00434597">
        <w:rPr>
          <w:rFonts w:eastAsia="Microsoft YaHei" w:cs="Times New Roman"/>
          <w:lang w:eastAsia="zh-CN"/>
        </w:rPr>
        <w:t>,</w:t>
      </w:r>
      <w:r w:rsidR="00284DAD">
        <w:rPr>
          <w:rFonts w:eastAsia="Microsoft YaHei" w:cs="Times New Roman"/>
          <w:lang w:eastAsia="zh-CN"/>
        </w:rPr>
        <w:t xml:space="preserve"> [25].</w:t>
      </w:r>
    </w:p>
  </w:footnote>
  <w:footnote w:id="16">
    <w:p w14:paraId="0DE4A9DC" w14:textId="24859213" w:rsidR="001C46A9" w:rsidRPr="00B3653B" w:rsidRDefault="001C46A9" w:rsidP="008B23E2">
      <w:pPr>
        <w:pStyle w:val="FootnoteText"/>
        <w:spacing w:line="360" w:lineRule="auto"/>
        <w:rPr>
          <w:rFonts w:eastAsia="Microsoft YaHei" w:cs="Times New Roman"/>
          <w:lang w:eastAsia="zh-CN"/>
        </w:rPr>
      </w:pPr>
      <w:r>
        <w:rPr>
          <w:rStyle w:val="FootnoteReference"/>
        </w:rPr>
        <w:footnoteRef/>
      </w:r>
      <w:r>
        <w:t xml:space="preserve"> ibid, </w:t>
      </w:r>
      <w:r w:rsidR="00B3653B">
        <w:rPr>
          <w:rFonts w:eastAsia="Microsoft YaHei" w:cs="Times New Roman"/>
          <w:lang w:eastAsia="zh-CN"/>
        </w:rPr>
        <w:t>[43].</w:t>
      </w:r>
    </w:p>
  </w:footnote>
  <w:footnote w:id="17">
    <w:p w14:paraId="70225CEE" w14:textId="1880432D" w:rsidR="008B23E2" w:rsidRDefault="008B23E2" w:rsidP="008B23E2">
      <w:pPr>
        <w:pStyle w:val="FootnoteText"/>
        <w:spacing w:line="360" w:lineRule="auto"/>
      </w:pPr>
      <w:r>
        <w:rPr>
          <w:rStyle w:val="FootnoteReference"/>
        </w:rPr>
        <w:footnoteRef/>
      </w:r>
      <w:r>
        <w:t xml:space="preserve"> </w:t>
      </w:r>
      <w:r w:rsidR="001832FA">
        <w:t>ibid, [49].</w:t>
      </w:r>
    </w:p>
  </w:footnote>
  <w:footnote w:id="18">
    <w:p w14:paraId="6304DB5F" w14:textId="393B3415" w:rsidR="002343BD" w:rsidRDefault="002343BD" w:rsidP="002343BD">
      <w:pPr>
        <w:pStyle w:val="FootnoteText"/>
        <w:spacing w:line="360" w:lineRule="auto"/>
      </w:pPr>
      <w:r>
        <w:rPr>
          <w:rStyle w:val="FootnoteReference"/>
        </w:rPr>
        <w:footnoteRef/>
      </w:r>
      <w:r>
        <w:t xml:space="preserve"> </w:t>
      </w:r>
      <w:r w:rsidR="006E1C75">
        <w:t>ibid, [51].</w:t>
      </w:r>
    </w:p>
  </w:footnote>
  <w:footnote w:id="19">
    <w:p w14:paraId="451994D4" w14:textId="32429F5E" w:rsidR="005A1353" w:rsidRDefault="005A1353" w:rsidP="004C2D65">
      <w:pPr>
        <w:pStyle w:val="FootnoteText"/>
        <w:spacing w:line="360" w:lineRule="auto"/>
      </w:pPr>
      <w:r>
        <w:rPr>
          <w:rStyle w:val="FootnoteReference"/>
        </w:rPr>
        <w:footnoteRef/>
      </w:r>
      <w:r>
        <w:t xml:space="preserve"> ibid, [49].</w:t>
      </w:r>
    </w:p>
  </w:footnote>
  <w:footnote w:id="20">
    <w:p w14:paraId="49A00153" w14:textId="3F712199" w:rsidR="00D55394" w:rsidRPr="00D55394" w:rsidRDefault="00D55394" w:rsidP="004C2D65">
      <w:pPr>
        <w:pStyle w:val="FootnoteText"/>
        <w:spacing w:line="360" w:lineRule="auto"/>
      </w:pPr>
      <w:r>
        <w:rPr>
          <w:rStyle w:val="FootnoteReference"/>
        </w:rPr>
        <w:footnoteRef/>
      </w:r>
      <w:r>
        <w:t xml:space="preserve"> </w:t>
      </w:r>
      <w:r w:rsidRPr="00E85C54">
        <w:rPr>
          <w:i/>
          <w:iCs/>
        </w:rPr>
        <w:t>Svensson</w:t>
      </w:r>
      <w:r>
        <w:rPr>
          <w:i/>
          <w:iCs/>
        </w:rPr>
        <w:t xml:space="preserve"> </w:t>
      </w:r>
      <w:r>
        <w:t>(</w:t>
      </w:r>
      <w:r w:rsidRPr="004C2D65">
        <w:t xml:space="preserve">n </w:t>
      </w:r>
      <w:r w:rsidR="004C2D65" w:rsidRPr="004C2D65">
        <w:t>3</w:t>
      </w:r>
      <w:r w:rsidRPr="004C2D65">
        <w:t>)</w:t>
      </w:r>
      <w:r w:rsidR="00173B48" w:rsidRPr="004C2D65">
        <w:t>,</w:t>
      </w:r>
      <w:r w:rsidR="00173B48">
        <w:t xml:space="preserve"> [</w:t>
      </w:r>
      <w:r w:rsidR="008E373F">
        <w:t>24</w:t>
      </w:r>
      <w:r w:rsidR="00173B48">
        <w:t>]</w:t>
      </w:r>
      <w:r w:rsidR="008E373F">
        <w:t xml:space="preserve"> and [28]</w:t>
      </w:r>
      <w:r>
        <w:t>.</w:t>
      </w:r>
    </w:p>
  </w:footnote>
  <w:footnote w:id="21">
    <w:p w14:paraId="2D1021FD" w14:textId="4D822861" w:rsidR="00CB2974" w:rsidRDefault="00CB2974" w:rsidP="005C77F0">
      <w:pPr>
        <w:pStyle w:val="FootnoteText"/>
        <w:spacing w:line="360" w:lineRule="auto"/>
      </w:pPr>
      <w:r>
        <w:rPr>
          <w:rStyle w:val="FootnoteReference"/>
        </w:rPr>
        <w:footnoteRef/>
      </w:r>
      <w:r>
        <w:t xml:space="preserve"> </w:t>
      </w:r>
      <w:r w:rsidR="004B2DE9" w:rsidRPr="00CB2974">
        <w:rPr>
          <w:i/>
          <w:iCs/>
        </w:rPr>
        <w:t>Filmspeler</w:t>
      </w:r>
      <w:r w:rsidR="004B2DE9">
        <w:rPr>
          <w:i/>
          <w:iCs/>
        </w:rPr>
        <w:t xml:space="preserve"> </w:t>
      </w:r>
      <w:r w:rsidR="004B2DE9" w:rsidRPr="004B2DE9">
        <w:t>(n 3)</w:t>
      </w:r>
      <w:r w:rsidR="00A005DA" w:rsidRPr="004B2DE9">
        <w:t>,</w:t>
      </w:r>
      <w:r w:rsidR="00A005DA">
        <w:t xml:space="preserve"> [</w:t>
      </w:r>
      <w:r w:rsidR="0023344C">
        <w:t>5</w:t>
      </w:r>
      <w:r w:rsidR="00A005DA">
        <w:t>3].</w:t>
      </w:r>
    </w:p>
  </w:footnote>
  <w:footnote w:id="22">
    <w:p w14:paraId="2A7CF292" w14:textId="71B6F8BE" w:rsidR="004D60EB" w:rsidRDefault="004D60EB" w:rsidP="005C77F0">
      <w:pPr>
        <w:pStyle w:val="FootnoteText"/>
        <w:spacing w:line="360" w:lineRule="auto"/>
      </w:pPr>
      <w:r>
        <w:rPr>
          <w:rStyle w:val="FootnoteReference"/>
        </w:rPr>
        <w:footnoteRef/>
      </w:r>
      <w:r>
        <w:t xml:space="preserve"> </w:t>
      </w:r>
      <w:r w:rsidR="007024A0" w:rsidRPr="000C6A96">
        <w:rPr>
          <w:i/>
          <w:iCs/>
        </w:rPr>
        <w:t>Ziggo</w:t>
      </w:r>
      <w:r w:rsidR="007024A0">
        <w:rPr>
          <w:i/>
          <w:iCs/>
        </w:rPr>
        <w:t xml:space="preserve"> </w:t>
      </w:r>
      <w:r w:rsidR="007024A0" w:rsidRPr="007024A0">
        <w:t>(n 3)</w:t>
      </w:r>
      <w:r w:rsidR="00CC6A75" w:rsidRPr="007024A0">
        <w:t>,</w:t>
      </w:r>
      <w:r w:rsidR="00CC6A75">
        <w:t xml:space="preserve"> [</w:t>
      </w:r>
      <w:r w:rsidR="005D5732">
        <w:t>48</w:t>
      </w:r>
      <w:r w:rsidR="00CC6A75">
        <w:t>].</w:t>
      </w:r>
    </w:p>
  </w:footnote>
  <w:footnote w:id="23">
    <w:p w14:paraId="6A1B7809" w14:textId="0024CB9B" w:rsidR="00CC6BBF" w:rsidRDefault="00CC6BBF" w:rsidP="005C77F0">
      <w:pPr>
        <w:pStyle w:val="FootnoteText"/>
        <w:spacing w:line="360" w:lineRule="auto"/>
        <w:rPr>
          <w:lang w:eastAsia="zh-CN"/>
        </w:rPr>
      </w:pPr>
      <w:r>
        <w:rPr>
          <w:rStyle w:val="FootnoteReference"/>
        </w:rPr>
        <w:footnoteRef/>
      </w:r>
      <w:r>
        <w:t xml:space="preserve"> </w:t>
      </w:r>
      <w:r w:rsidR="00EA2E1D" w:rsidRPr="00A8664E">
        <w:rPr>
          <w:i/>
          <w:iCs/>
        </w:rPr>
        <w:t>VG Bild-Kunst</w:t>
      </w:r>
      <w:r w:rsidR="00EA2E1D">
        <w:rPr>
          <w:i/>
          <w:iCs/>
        </w:rPr>
        <w:t xml:space="preserve"> </w:t>
      </w:r>
      <w:r w:rsidR="00EA2E1D" w:rsidRPr="007024A0">
        <w:t>(n 3)</w:t>
      </w:r>
      <w:r w:rsidR="00A8664E">
        <w:t>, [</w:t>
      </w:r>
      <w:r w:rsidR="00C159DD">
        <w:t>55</w:t>
      </w:r>
      <w:r w:rsidR="00A8664E">
        <w:t>].</w:t>
      </w:r>
    </w:p>
  </w:footnote>
  <w:footnote w:id="24">
    <w:p w14:paraId="4D3B2B9D" w14:textId="1B7A7854" w:rsidR="00CA3325" w:rsidRDefault="00CA3325" w:rsidP="007F1E9E">
      <w:pPr>
        <w:pStyle w:val="FootnoteText"/>
        <w:spacing w:line="360" w:lineRule="auto"/>
        <w:rPr>
          <w:lang w:eastAsia="zh-CN"/>
        </w:rPr>
      </w:pPr>
      <w:r>
        <w:rPr>
          <w:rStyle w:val="FootnoteReference"/>
        </w:rPr>
        <w:footnoteRef/>
      </w:r>
      <w:r>
        <w:t xml:space="preserve"> </w:t>
      </w:r>
      <w:r w:rsidR="00303CF3">
        <w:t>ibid, [54].</w:t>
      </w:r>
    </w:p>
  </w:footnote>
  <w:footnote w:id="25">
    <w:p w14:paraId="44F0834D" w14:textId="36B8BAC4" w:rsidR="001A152E" w:rsidRDefault="001A152E" w:rsidP="007F1E9E">
      <w:pPr>
        <w:pStyle w:val="FootnoteText"/>
        <w:spacing w:line="360" w:lineRule="auto"/>
      </w:pPr>
      <w:r>
        <w:rPr>
          <w:rStyle w:val="FootnoteReference"/>
        </w:rPr>
        <w:footnoteRef/>
      </w:r>
      <w:r>
        <w:t xml:space="preserve"> ibid, [37].</w:t>
      </w:r>
    </w:p>
  </w:footnote>
  <w:footnote w:id="26">
    <w:p w14:paraId="7BCA0096" w14:textId="7131A44E" w:rsidR="005E7D38" w:rsidRPr="00B908CE" w:rsidRDefault="005E7D38" w:rsidP="007F1E9E">
      <w:pPr>
        <w:pStyle w:val="FootnoteText"/>
        <w:spacing w:line="360" w:lineRule="auto"/>
        <w:rPr>
          <w:b/>
          <w:bCs/>
        </w:rPr>
      </w:pPr>
      <w:r>
        <w:rPr>
          <w:rStyle w:val="FootnoteReference"/>
        </w:rPr>
        <w:footnoteRef/>
      </w:r>
      <w:r>
        <w:t xml:space="preserve"> ibid, [42]</w:t>
      </w:r>
      <w:r w:rsidR="00B908CE" w:rsidRPr="00B908CE">
        <w:t>–</w:t>
      </w:r>
      <w:r>
        <w:t>[43]</w:t>
      </w:r>
      <w:r w:rsidR="000F2C4C">
        <w:t xml:space="preserve"> and</w:t>
      </w:r>
      <w:r>
        <w:t xml:space="preserve"> [48]; </w:t>
      </w:r>
      <w:r w:rsidR="00B908CE" w:rsidRPr="004C2262">
        <w:t>Information Society Directive</w:t>
      </w:r>
      <w:r w:rsidR="00B908CE">
        <w:t>, art 3</w:t>
      </w:r>
      <w:r>
        <w:t>.</w:t>
      </w:r>
    </w:p>
  </w:footnote>
  <w:footnote w:id="27">
    <w:p w14:paraId="1F715D5E" w14:textId="30BAEB93" w:rsidR="007F1E9E" w:rsidRDefault="007F1E9E" w:rsidP="007F1E9E">
      <w:pPr>
        <w:pStyle w:val="FootnoteText"/>
        <w:spacing w:line="360" w:lineRule="auto"/>
      </w:pPr>
      <w:r>
        <w:rPr>
          <w:rStyle w:val="FootnoteReference"/>
        </w:rPr>
        <w:footnoteRef/>
      </w:r>
      <w:r>
        <w:t xml:space="preserve"> </w:t>
      </w:r>
      <w:r w:rsidRPr="00002C99">
        <w:rPr>
          <w:i/>
          <w:iCs/>
        </w:rPr>
        <w:t>GS Media</w:t>
      </w:r>
      <w:r>
        <w:rPr>
          <w:i/>
          <w:iCs/>
        </w:rPr>
        <w:t xml:space="preserve"> </w:t>
      </w:r>
      <w:r w:rsidRPr="007F1E9E">
        <w:t>(n 3),</w:t>
      </w:r>
      <w:r>
        <w:t xml:space="preserve"> [</w:t>
      </w:r>
      <w:r w:rsidR="00B51C0D">
        <w:t>51</w:t>
      </w:r>
      <w:r>
        <w:t>].</w:t>
      </w:r>
    </w:p>
  </w:footnote>
  <w:footnote w:id="28">
    <w:p w14:paraId="55F2542B" w14:textId="21040D83" w:rsidR="00B04C76" w:rsidRPr="009F1856" w:rsidRDefault="00B04C76" w:rsidP="007F1E9E">
      <w:pPr>
        <w:pStyle w:val="FootnoteText"/>
        <w:spacing w:line="360" w:lineRule="auto"/>
      </w:pPr>
      <w:r>
        <w:rPr>
          <w:rStyle w:val="FootnoteReference"/>
        </w:rPr>
        <w:footnoteRef/>
      </w:r>
      <w:r>
        <w:t xml:space="preserve"> </w:t>
      </w:r>
      <w:r w:rsidR="009F1856">
        <w:t xml:space="preserve">Stavroula Karapapa, </w:t>
      </w:r>
      <w:r w:rsidR="00377386">
        <w:t>‘The Requirement for a “New Public” in EU Copyright Law’</w:t>
      </w:r>
      <w:r w:rsidR="009F1856">
        <w:t xml:space="preserve"> (</w:t>
      </w:r>
      <w:r w:rsidR="009F1856" w:rsidRPr="009F1856">
        <w:t>2017) 42 European Law Review 63</w:t>
      </w:r>
      <w:r w:rsidR="00377386" w:rsidRPr="009F1856">
        <w:t xml:space="preserve">, </w:t>
      </w:r>
      <w:r w:rsidR="00C302EB">
        <w:rPr>
          <w:rFonts w:hint="eastAsia"/>
          <w:lang w:eastAsia="zh-CN"/>
        </w:rPr>
        <w:t>76</w:t>
      </w:r>
      <w:r w:rsidR="00C302EB" w:rsidRPr="00B908CE">
        <w:t>–</w:t>
      </w:r>
      <w:r w:rsidR="00C302EB">
        <w:rPr>
          <w:rFonts w:hint="eastAsia"/>
          <w:lang w:eastAsia="zh-CN"/>
        </w:rPr>
        <w:t>77</w:t>
      </w:r>
      <w:r w:rsidR="00377386" w:rsidRPr="009F1856">
        <w:t>.</w:t>
      </w:r>
    </w:p>
  </w:footnote>
  <w:footnote w:id="29">
    <w:p w14:paraId="0135237B" w14:textId="7893C639" w:rsidR="000E710D" w:rsidRDefault="000E710D" w:rsidP="005F31D3">
      <w:pPr>
        <w:pStyle w:val="FootnoteText"/>
        <w:spacing w:line="360" w:lineRule="auto"/>
      </w:pPr>
      <w:r>
        <w:rPr>
          <w:rStyle w:val="FootnoteReference"/>
        </w:rPr>
        <w:footnoteRef/>
      </w:r>
      <w:r>
        <w:t xml:space="preserve"> </w:t>
      </w:r>
      <w:r w:rsidR="00964363" w:rsidRPr="004C2262">
        <w:t>Information Society Directive</w:t>
      </w:r>
      <w:r w:rsidR="00964363">
        <w:t>, art 3(1).</w:t>
      </w:r>
    </w:p>
  </w:footnote>
  <w:footnote w:id="30">
    <w:p w14:paraId="723CEDCD" w14:textId="14898C3A" w:rsidR="00F10EA3" w:rsidRDefault="00F10EA3" w:rsidP="005F31D3">
      <w:pPr>
        <w:pStyle w:val="FootnoteText"/>
        <w:spacing w:line="360" w:lineRule="auto"/>
      </w:pPr>
      <w:r>
        <w:rPr>
          <w:rStyle w:val="FootnoteReference"/>
        </w:rPr>
        <w:footnoteRef/>
      </w:r>
      <w:r>
        <w:t xml:space="preserve"> </w:t>
      </w:r>
      <w:r w:rsidR="005F40BE" w:rsidRPr="00001A82">
        <w:rPr>
          <w:i/>
          <w:iCs/>
        </w:rPr>
        <w:t>Svensson</w:t>
      </w:r>
      <w:r w:rsidR="005F40BE" w:rsidRPr="004C2262">
        <w:t xml:space="preserve"> </w:t>
      </w:r>
      <w:r w:rsidR="005F40BE">
        <w:t>(n 3), [26]</w:t>
      </w:r>
      <w:r w:rsidR="00FD6B4D" w:rsidRPr="00B908CE">
        <w:t>–</w:t>
      </w:r>
      <w:r w:rsidR="005F40BE">
        <w:t>[28];</w:t>
      </w:r>
      <w:r w:rsidR="005F40BE" w:rsidRPr="004C2262">
        <w:t xml:space="preserve"> </w:t>
      </w:r>
      <w:r w:rsidR="005F40BE" w:rsidRPr="00001A82">
        <w:rPr>
          <w:i/>
          <w:iCs/>
        </w:rPr>
        <w:t>BestWater</w:t>
      </w:r>
      <w:r w:rsidR="00933AFB">
        <w:rPr>
          <w:i/>
          <w:iCs/>
        </w:rPr>
        <w:t xml:space="preserve"> </w:t>
      </w:r>
      <w:r w:rsidR="00933AFB" w:rsidRPr="00933AFB">
        <w:t xml:space="preserve">(n </w:t>
      </w:r>
      <w:r w:rsidR="00F64EA7">
        <w:t>13</w:t>
      </w:r>
      <w:r w:rsidR="00933AFB" w:rsidRPr="00933AFB">
        <w:t>)</w:t>
      </w:r>
      <w:r w:rsidR="005F40BE" w:rsidRPr="00933AFB">
        <w:t>,</w:t>
      </w:r>
      <w:r w:rsidR="005F40BE" w:rsidRPr="005F40BE">
        <w:t xml:space="preserve"> </w:t>
      </w:r>
      <w:r w:rsidR="005F40BE">
        <w:t>[</w:t>
      </w:r>
      <w:r w:rsidR="00C10B09">
        <w:t>14</w:t>
      </w:r>
      <w:r w:rsidR="005F40BE">
        <w:t>]</w:t>
      </w:r>
      <w:r w:rsidR="00FD6B4D" w:rsidRPr="00B908CE">
        <w:t>–</w:t>
      </w:r>
      <w:r w:rsidR="00C10B09">
        <w:t>[19]</w:t>
      </w:r>
      <w:r w:rsidR="005F40BE" w:rsidRPr="005F40BE">
        <w:t>.</w:t>
      </w:r>
    </w:p>
  </w:footnote>
  <w:footnote w:id="31">
    <w:p w14:paraId="77743EF2" w14:textId="46F7BA2D" w:rsidR="005F31D3" w:rsidRPr="005F31D3" w:rsidRDefault="005F31D3" w:rsidP="005F31D3">
      <w:pPr>
        <w:pStyle w:val="FootnoteText"/>
        <w:spacing w:line="360" w:lineRule="auto"/>
        <w:rPr>
          <w:rFonts w:eastAsia="Microsoft YaHei" w:cs="Times New Roman"/>
          <w:lang w:eastAsia="zh-CN"/>
        </w:rPr>
      </w:pPr>
      <w:r>
        <w:rPr>
          <w:rStyle w:val="FootnoteReference"/>
        </w:rPr>
        <w:footnoteRef/>
      </w:r>
      <w:r>
        <w:t xml:space="preserve"> </w:t>
      </w:r>
      <w:r w:rsidRPr="005F31D3">
        <w:rPr>
          <w:i/>
          <w:iCs/>
        </w:rPr>
        <w:t>GS Media</w:t>
      </w:r>
      <w:r>
        <w:rPr>
          <w:rFonts w:hint="eastAsia"/>
          <w:i/>
          <w:iCs/>
          <w:lang w:eastAsia="zh-CN"/>
        </w:rPr>
        <w:t xml:space="preserve"> </w:t>
      </w:r>
      <w:r w:rsidRPr="005F31D3">
        <w:rPr>
          <w:rFonts w:eastAsia="Microsoft YaHei" w:cs="Times New Roman"/>
          <w:lang w:eastAsia="zh-CN"/>
        </w:rPr>
        <w:t>(n 3), [</w:t>
      </w:r>
      <w:r w:rsidR="00532931">
        <w:rPr>
          <w:rFonts w:eastAsia="Microsoft YaHei" w:cs="Times New Roman" w:hint="eastAsia"/>
          <w:lang w:eastAsia="zh-CN"/>
        </w:rPr>
        <w:t>43</w:t>
      </w:r>
      <w:r w:rsidRPr="005F31D3">
        <w:rPr>
          <w:rFonts w:eastAsia="Microsoft YaHei" w:cs="Times New Roman"/>
          <w:lang w:eastAsia="zh-CN"/>
        </w:rPr>
        <w:t>]</w:t>
      </w:r>
      <w:r w:rsidR="0029429F">
        <w:rPr>
          <w:rFonts w:eastAsia="Microsoft YaHei" w:cs="Times New Roman"/>
          <w:lang w:eastAsia="zh-CN"/>
        </w:rPr>
        <w:t xml:space="preserve"> and</w:t>
      </w:r>
      <w:r w:rsidR="00532931">
        <w:rPr>
          <w:rFonts w:eastAsia="Microsoft YaHei" w:cs="Times New Roman"/>
          <w:lang w:eastAsia="zh-CN"/>
        </w:rPr>
        <w:t xml:space="preserve"> [49]</w:t>
      </w:r>
      <w:r w:rsidR="00532931" w:rsidRPr="00B908CE">
        <w:t>–</w:t>
      </w:r>
      <w:r w:rsidR="00532931">
        <w:rPr>
          <w:rFonts w:eastAsia="Microsoft YaHei" w:cs="Times New Roman"/>
          <w:lang w:eastAsia="zh-CN"/>
        </w:rPr>
        <w:t>[51]</w:t>
      </w:r>
      <w:r w:rsidRPr="005F31D3">
        <w:rPr>
          <w:rFonts w:eastAsia="Microsoft YaHei" w:cs="Times New Roman"/>
          <w:lang w:eastAsia="zh-CN"/>
        </w:rPr>
        <w:t>.</w:t>
      </w:r>
    </w:p>
  </w:footnote>
  <w:footnote w:id="32">
    <w:p w14:paraId="35B3BD89" w14:textId="7CF65ABD" w:rsidR="005F31D3" w:rsidRDefault="005F31D3" w:rsidP="005F31D3">
      <w:pPr>
        <w:pStyle w:val="FootnoteText"/>
        <w:spacing w:line="360" w:lineRule="auto"/>
        <w:rPr>
          <w:lang w:eastAsia="zh-CN"/>
        </w:rPr>
      </w:pPr>
      <w:r>
        <w:rPr>
          <w:rStyle w:val="FootnoteReference"/>
        </w:rPr>
        <w:footnoteRef/>
      </w:r>
      <w:r>
        <w:t xml:space="preserve"> </w:t>
      </w:r>
      <w:r w:rsidRPr="005F31D3">
        <w:rPr>
          <w:i/>
          <w:iCs/>
        </w:rPr>
        <w:t>Filmspeler</w:t>
      </w:r>
      <w:r>
        <w:t xml:space="preserve"> (n 3), [</w:t>
      </w:r>
      <w:r w:rsidR="00071842">
        <w:t>41</w:t>
      </w:r>
      <w:r>
        <w:t>]</w:t>
      </w:r>
      <w:r w:rsidR="00071842" w:rsidRPr="00B908CE">
        <w:t>–</w:t>
      </w:r>
      <w:r w:rsidR="00071842">
        <w:t>[42], [45]</w:t>
      </w:r>
      <w:r w:rsidR="00316472">
        <w:t>,</w:t>
      </w:r>
      <w:r w:rsidR="00071842">
        <w:t xml:space="preserve"> and [53]</w:t>
      </w:r>
      <w:r>
        <w:t xml:space="preserve">; </w:t>
      </w:r>
      <w:r w:rsidRPr="005F31D3">
        <w:rPr>
          <w:i/>
          <w:iCs/>
        </w:rPr>
        <w:t>Ziggo</w:t>
      </w:r>
      <w:r>
        <w:t xml:space="preserve"> (n 3), [</w:t>
      </w:r>
      <w:r w:rsidR="00041A2B">
        <w:t>36</w:t>
      </w:r>
      <w:r>
        <w:t>]</w:t>
      </w:r>
      <w:r w:rsidR="00041A2B" w:rsidRPr="00B908CE">
        <w:t>–</w:t>
      </w:r>
      <w:r w:rsidR="00041A2B">
        <w:t>[39] and [42]</w:t>
      </w:r>
      <w:r w:rsidR="00041A2B" w:rsidRPr="00B908CE">
        <w:t>–</w:t>
      </w:r>
      <w:r w:rsidR="00041A2B">
        <w:t>[43]</w:t>
      </w:r>
      <w:r>
        <w:t>.</w:t>
      </w:r>
    </w:p>
  </w:footnote>
  <w:footnote w:id="33">
    <w:p w14:paraId="78D5DBF7" w14:textId="1313BA2C" w:rsidR="004D7A05" w:rsidRDefault="004D7A05" w:rsidP="004D7A05">
      <w:pPr>
        <w:pStyle w:val="FootnoteText"/>
        <w:spacing w:line="360" w:lineRule="auto"/>
      </w:pPr>
      <w:r>
        <w:rPr>
          <w:rStyle w:val="FootnoteReference"/>
        </w:rPr>
        <w:footnoteRef/>
      </w:r>
      <w:r>
        <w:t xml:space="preserve"> </w:t>
      </w:r>
      <w:r w:rsidRPr="004D7A05">
        <w:rPr>
          <w:i/>
          <w:iCs/>
        </w:rPr>
        <w:t>VG Bild-Kunst</w:t>
      </w:r>
      <w:r>
        <w:t xml:space="preserve"> (n3), [</w:t>
      </w:r>
      <w:r w:rsidR="001D7864">
        <w:t>38</w:t>
      </w:r>
      <w:r>
        <w:t>]</w:t>
      </w:r>
      <w:r w:rsidR="001D7864" w:rsidRPr="00B908CE">
        <w:t>–</w:t>
      </w:r>
      <w:r w:rsidR="001D7864">
        <w:t>[43] and [46].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7CCB" w14:textId="719AFB73" w:rsidR="00833800" w:rsidRDefault="0083380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01C4B">
      <w:rPr>
        <w:rStyle w:val="PageNumber"/>
        <w:noProof/>
      </w:rPr>
      <w:t>1</w:t>
    </w:r>
    <w:r>
      <w:rPr>
        <w:rStyle w:val="PageNumber"/>
      </w:rPr>
      <w:fldChar w:fldCharType="end"/>
    </w:r>
  </w:p>
  <w:p w14:paraId="49386AE9" w14:textId="77777777" w:rsidR="00833800" w:rsidRDefault="0083380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A28B1" w14:textId="4746CD5B" w:rsidR="00833800" w:rsidRPr="00DA6CDE" w:rsidRDefault="00833800" w:rsidP="005E3099">
    <w:pPr>
      <w:pStyle w:val="Header"/>
      <w:ind w:right="360"/>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E78B9" w14:textId="77777777" w:rsidR="00833800" w:rsidRDefault="00833800">
    <w:pPr>
      <w:pStyle w:val="Header"/>
      <w:jc w:val="right"/>
      <w:rPr>
        <w:sz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C9AF2" w14:textId="07D18F0B" w:rsidR="005E3099" w:rsidRPr="00E32A41" w:rsidRDefault="005E3099" w:rsidP="00E32A41">
    <w:pPr>
      <w:pStyle w:val="Header"/>
      <w:ind w:right="360"/>
      <w:jc w:val="center"/>
      <w:rPr>
        <w:b/>
        <w:bCs/>
        <w:sz w:val="18"/>
        <w:szCs w:val="18"/>
      </w:rPr>
    </w:pPr>
    <w:r w:rsidRPr="00A5118B">
      <w:rPr>
        <w:sz w:val="18"/>
        <w:szCs w:val="18"/>
      </w:rPr>
      <w:t xml:space="preserve">3103914 </w:t>
    </w:r>
    <w:r w:rsidR="00E32A41" w:rsidRPr="00E32A41">
      <w:rPr>
        <w:sz w:val="18"/>
        <w:szCs w:val="18"/>
      </w:rPr>
      <w:t>Contemporary Issues in Intellectual Property Law</w:t>
    </w:r>
    <w:r w:rsidR="00E32A41">
      <w:rPr>
        <w:b/>
        <w:bCs/>
        <w:sz w:val="18"/>
        <w:szCs w:val="18"/>
      </w:rPr>
      <w:t xml:space="preserve"> </w:t>
    </w:r>
    <w:r w:rsidR="00E32A41">
      <w:rPr>
        <w:sz w:val="18"/>
        <w:szCs w:val="18"/>
      </w:rPr>
      <w:t>Summative</w:t>
    </w:r>
    <w:r w:rsidRPr="00A5118B">
      <w:rPr>
        <w:sz w:val="18"/>
        <w:szCs w:val="18"/>
      </w:rPr>
      <w:t xml:space="preserve"> Essay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72FFD"/>
    <w:multiLevelType w:val="multilevel"/>
    <w:tmpl w:val="8D9AE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CE3A2B"/>
    <w:multiLevelType w:val="multilevel"/>
    <w:tmpl w:val="9BD4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66D221F"/>
    <w:multiLevelType w:val="hybridMultilevel"/>
    <w:tmpl w:val="5FD86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2228433">
    <w:abstractNumId w:val="2"/>
  </w:num>
  <w:num w:numId="2" w16cid:durableId="275600164">
    <w:abstractNumId w:val="0"/>
  </w:num>
  <w:num w:numId="3" w16cid:durableId="587546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1DF"/>
    <w:rsid w:val="000007A1"/>
    <w:rsid w:val="00001A82"/>
    <w:rsid w:val="00002C99"/>
    <w:rsid w:val="000102E7"/>
    <w:rsid w:val="00010F60"/>
    <w:rsid w:val="00021E46"/>
    <w:rsid w:val="0002230D"/>
    <w:rsid w:val="00022BAF"/>
    <w:rsid w:val="0002698D"/>
    <w:rsid w:val="000307DB"/>
    <w:rsid w:val="00034A39"/>
    <w:rsid w:val="00036A6C"/>
    <w:rsid w:val="00037601"/>
    <w:rsid w:val="00041A2B"/>
    <w:rsid w:val="00043CDF"/>
    <w:rsid w:val="00045006"/>
    <w:rsid w:val="00050703"/>
    <w:rsid w:val="0005344F"/>
    <w:rsid w:val="000554EA"/>
    <w:rsid w:val="00055C02"/>
    <w:rsid w:val="000604BC"/>
    <w:rsid w:val="00061A46"/>
    <w:rsid w:val="00067AF7"/>
    <w:rsid w:val="00071842"/>
    <w:rsid w:val="00072EB1"/>
    <w:rsid w:val="000731A1"/>
    <w:rsid w:val="00073D0B"/>
    <w:rsid w:val="00074BC3"/>
    <w:rsid w:val="0007597A"/>
    <w:rsid w:val="000761A1"/>
    <w:rsid w:val="00080181"/>
    <w:rsid w:val="0008157D"/>
    <w:rsid w:val="00082F81"/>
    <w:rsid w:val="0008324C"/>
    <w:rsid w:val="000974E0"/>
    <w:rsid w:val="000A0504"/>
    <w:rsid w:val="000A4115"/>
    <w:rsid w:val="000A5515"/>
    <w:rsid w:val="000A5813"/>
    <w:rsid w:val="000A7903"/>
    <w:rsid w:val="000B1540"/>
    <w:rsid w:val="000B1D04"/>
    <w:rsid w:val="000C05E3"/>
    <w:rsid w:val="000C09AC"/>
    <w:rsid w:val="000C0AD7"/>
    <w:rsid w:val="000C1AAC"/>
    <w:rsid w:val="000C2CDB"/>
    <w:rsid w:val="000C48B8"/>
    <w:rsid w:val="000C517B"/>
    <w:rsid w:val="000C6A96"/>
    <w:rsid w:val="000D21EA"/>
    <w:rsid w:val="000D3660"/>
    <w:rsid w:val="000E0BBB"/>
    <w:rsid w:val="000E1473"/>
    <w:rsid w:val="000E1F0E"/>
    <w:rsid w:val="000E306C"/>
    <w:rsid w:val="000E4C43"/>
    <w:rsid w:val="000E620C"/>
    <w:rsid w:val="000E710D"/>
    <w:rsid w:val="000E738E"/>
    <w:rsid w:val="000F2C4C"/>
    <w:rsid w:val="000F4D59"/>
    <w:rsid w:val="00100EDC"/>
    <w:rsid w:val="00104766"/>
    <w:rsid w:val="00104F75"/>
    <w:rsid w:val="001059E6"/>
    <w:rsid w:val="00113299"/>
    <w:rsid w:val="001138A3"/>
    <w:rsid w:val="00115058"/>
    <w:rsid w:val="001205C5"/>
    <w:rsid w:val="00120C5F"/>
    <w:rsid w:val="001215B2"/>
    <w:rsid w:val="00121B6D"/>
    <w:rsid w:val="00121F2A"/>
    <w:rsid w:val="00122264"/>
    <w:rsid w:val="00122B29"/>
    <w:rsid w:val="00125857"/>
    <w:rsid w:val="00126648"/>
    <w:rsid w:val="00130CCC"/>
    <w:rsid w:val="00130D49"/>
    <w:rsid w:val="0013452B"/>
    <w:rsid w:val="001345C4"/>
    <w:rsid w:val="00136D25"/>
    <w:rsid w:val="00137EB4"/>
    <w:rsid w:val="001463FE"/>
    <w:rsid w:val="00155492"/>
    <w:rsid w:val="001559F8"/>
    <w:rsid w:val="00155A15"/>
    <w:rsid w:val="0017031F"/>
    <w:rsid w:val="001710CE"/>
    <w:rsid w:val="00172298"/>
    <w:rsid w:val="00173B48"/>
    <w:rsid w:val="0017573E"/>
    <w:rsid w:val="00175CCF"/>
    <w:rsid w:val="00177980"/>
    <w:rsid w:val="00177A41"/>
    <w:rsid w:val="001812BA"/>
    <w:rsid w:val="001823BE"/>
    <w:rsid w:val="001832FA"/>
    <w:rsid w:val="00183905"/>
    <w:rsid w:val="00185661"/>
    <w:rsid w:val="00192B39"/>
    <w:rsid w:val="00196EC2"/>
    <w:rsid w:val="001A152E"/>
    <w:rsid w:val="001A214C"/>
    <w:rsid w:val="001A2410"/>
    <w:rsid w:val="001A4A58"/>
    <w:rsid w:val="001A4BCC"/>
    <w:rsid w:val="001A6B23"/>
    <w:rsid w:val="001A7216"/>
    <w:rsid w:val="001B0076"/>
    <w:rsid w:val="001B238A"/>
    <w:rsid w:val="001B30AC"/>
    <w:rsid w:val="001B4306"/>
    <w:rsid w:val="001B604A"/>
    <w:rsid w:val="001B666E"/>
    <w:rsid w:val="001B7B0E"/>
    <w:rsid w:val="001C0055"/>
    <w:rsid w:val="001C055A"/>
    <w:rsid w:val="001C1CF0"/>
    <w:rsid w:val="001C2C33"/>
    <w:rsid w:val="001C34EA"/>
    <w:rsid w:val="001C46A9"/>
    <w:rsid w:val="001C7F32"/>
    <w:rsid w:val="001D08C3"/>
    <w:rsid w:val="001D3F03"/>
    <w:rsid w:val="001D5BBB"/>
    <w:rsid w:val="001D6ED1"/>
    <w:rsid w:val="001D7078"/>
    <w:rsid w:val="001D7864"/>
    <w:rsid w:val="001E26F8"/>
    <w:rsid w:val="001F1665"/>
    <w:rsid w:val="001F2D44"/>
    <w:rsid w:val="001F37E8"/>
    <w:rsid w:val="001F4642"/>
    <w:rsid w:val="001F4889"/>
    <w:rsid w:val="001F7D92"/>
    <w:rsid w:val="002023DF"/>
    <w:rsid w:val="0020243B"/>
    <w:rsid w:val="00202989"/>
    <w:rsid w:val="00202C88"/>
    <w:rsid w:val="00204875"/>
    <w:rsid w:val="00204B51"/>
    <w:rsid w:val="00204BDB"/>
    <w:rsid w:val="00206A62"/>
    <w:rsid w:val="00207F05"/>
    <w:rsid w:val="00211CDA"/>
    <w:rsid w:val="00212BEC"/>
    <w:rsid w:val="0021360E"/>
    <w:rsid w:val="00213E11"/>
    <w:rsid w:val="00220977"/>
    <w:rsid w:val="002217E9"/>
    <w:rsid w:val="00221F01"/>
    <w:rsid w:val="0023283D"/>
    <w:rsid w:val="0023344C"/>
    <w:rsid w:val="002343BD"/>
    <w:rsid w:val="00237881"/>
    <w:rsid w:val="0024052B"/>
    <w:rsid w:val="00242C68"/>
    <w:rsid w:val="00242CDF"/>
    <w:rsid w:val="00242CFE"/>
    <w:rsid w:val="002435B8"/>
    <w:rsid w:val="00254E6B"/>
    <w:rsid w:val="00261698"/>
    <w:rsid w:val="00261A50"/>
    <w:rsid w:val="00273767"/>
    <w:rsid w:val="00275472"/>
    <w:rsid w:val="002804C1"/>
    <w:rsid w:val="00281404"/>
    <w:rsid w:val="002816CA"/>
    <w:rsid w:val="00284DAD"/>
    <w:rsid w:val="00285620"/>
    <w:rsid w:val="00286AB8"/>
    <w:rsid w:val="00286D29"/>
    <w:rsid w:val="00286DA0"/>
    <w:rsid w:val="00292355"/>
    <w:rsid w:val="00292E24"/>
    <w:rsid w:val="002936E7"/>
    <w:rsid w:val="0029429F"/>
    <w:rsid w:val="002975C8"/>
    <w:rsid w:val="002A4DB7"/>
    <w:rsid w:val="002A50F9"/>
    <w:rsid w:val="002A56E8"/>
    <w:rsid w:val="002A67BD"/>
    <w:rsid w:val="002C0177"/>
    <w:rsid w:val="002C0BD1"/>
    <w:rsid w:val="002C1808"/>
    <w:rsid w:val="002C2188"/>
    <w:rsid w:val="002C2E52"/>
    <w:rsid w:val="002C35DA"/>
    <w:rsid w:val="002C446E"/>
    <w:rsid w:val="002C7B92"/>
    <w:rsid w:val="002D2041"/>
    <w:rsid w:val="002D35DC"/>
    <w:rsid w:val="002D3B4C"/>
    <w:rsid w:val="002D3E06"/>
    <w:rsid w:val="002D4C7D"/>
    <w:rsid w:val="002D7C0D"/>
    <w:rsid w:val="002E0128"/>
    <w:rsid w:val="002E27A7"/>
    <w:rsid w:val="002E366F"/>
    <w:rsid w:val="002E4BA5"/>
    <w:rsid w:val="002F0FBB"/>
    <w:rsid w:val="002F1E17"/>
    <w:rsid w:val="002F2045"/>
    <w:rsid w:val="002F22CE"/>
    <w:rsid w:val="002F3AC1"/>
    <w:rsid w:val="002F3EF3"/>
    <w:rsid w:val="002F46F9"/>
    <w:rsid w:val="002F54BA"/>
    <w:rsid w:val="00303CF3"/>
    <w:rsid w:val="00305B50"/>
    <w:rsid w:val="0030669C"/>
    <w:rsid w:val="0031272E"/>
    <w:rsid w:val="003143C0"/>
    <w:rsid w:val="00316472"/>
    <w:rsid w:val="00320A5A"/>
    <w:rsid w:val="00326454"/>
    <w:rsid w:val="00327A09"/>
    <w:rsid w:val="003319E8"/>
    <w:rsid w:val="00334B95"/>
    <w:rsid w:val="00336AE3"/>
    <w:rsid w:val="0033730C"/>
    <w:rsid w:val="00337839"/>
    <w:rsid w:val="003404F4"/>
    <w:rsid w:val="003415E5"/>
    <w:rsid w:val="0034209D"/>
    <w:rsid w:val="00350BCF"/>
    <w:rsid w:val="00352531"/>
    <w:rsid w:val="00362BAD"/>
    <w:rsid w:val="0036565B"/>
    <w:rsid w:val="00365986"/>
    <w:rsid w:val="00370BD2"/>
    <w:rsid w:val="00371819"/>
    <w:rsid w:val="0037604D"/>
    <w:rsid w:val="003768B3"/>
    <w:rsid w:val="00377386"/>
    <w:rsid w:val="00377AF0"/>
    <w:rsid w:val="00383347"/>
    <w:rsid w:val="003835D0"/>
    <w:rsid w:val="003874A2"/>
    <w:rsid w:val="003874DF"/>
    <w:rsid w:val="00391FDA"/>
    <w:rsid w:val="00397293"/>
    <w:rsid w:val="003A0A38"/>
    <w:rsid w:val="003A1537"/>
    <w:rsid w:val="003A1A13"/>
    <w:rsid w:val="003B196E"/>
    <w:rsid w:val="003B1E30"/>
    <w:rsid w:val="003B2161"/>
    <w:rsid w:val="003B4426"/>
    <w:rsid w:val="003B4C5A"/>
    <w:rsid w:val="003B6798"/>
    <w:rsid w:val="003B7011"/>
    <w:rsid w:val="003C03E9"/>
    <w:rsid w:val="003C4A65"/>
    <w:rsid w:val="003C7333"/>
    <w:rsid w:val="003D0DBA"/>
    <w:rsid w:val="003D1B1D"/>
    <w:rsid w:val="003D4E45"/>
    <w:rsid w:val="003D5FAA"/>
    <w:rsid w:val="003E0D0A"/>
    <w:rsid w:val="003E4B63"/>
    <w:rsid w:val="003E6EFB"/>
    <w:rsid w:val="003E767E"/>
    <w:rsid w:val="003F25C9"/>
    <w:rsid w:val="003F2B83"/>
    <w:rsid w:val="003F35FF"/>
    <w:rsid w:val="003F38D3"/>
    <w:rsid w:val="004013E4"/>
    <w:rsid w:val="00406791"/>
    <w:rsid w:val="00406B70"/>
    <w:rsid w:val="00410AE3"/>
    <w:rsid w:val="00427474"/>
    <w:rsid w:val="00432772"/>
    <w:rsid w:val="004333F7"/>
    <w:rsid w:val="00433622"/>
    <w:rsid w:val="00434597"/>
    <w:rsid w:val="00434829"/>
    <w:rsid w:val="0043564C"/>
    <w:rsid w:val="00436D8A"/>
    <w:rsid w:val="00440CB0"/>
    <w:rsid w:val="00442952"/>
    <w:rsid w:val="00444AB1"/>
    <w:rsid w:val="00444D3B"/>
    <w:rsid w:val="0044598E"/>
    <w:rsid w:val="0044641A"/>
    <w:rsid w:val="00450F94"/>
    <w:rsid w:val="004515C4"/>
    <w:rsid w:val="00454461"/>
    <w:rsid w:val="0046035C"/>
    <w:rsid w:val="00460434"/>
    <w:rsid w:val="004626AC"/>
    <w:rsid w:val="004637D8"/>
    <w:rsid w:val="00464CF8"/>
    <w:rsid w:val="004651EB"/>
    <w:rsid w:val="00465B24"/>
    <w:rsid w:val="00466404"/>
    <w:rsid w:val="004665AD"/>
    <w:rsid w:val="004675C1"/>
    <w:rsid w:val="004713A6"/>
    <w:rsid w:val="00471443"/>
    <w:rsid w:val="00471A2D"/>
    <w:rsid w:val="004732F5"/>
    <w:rsid w:val="00476F60"/>
    <w:rsid w:val="00477C1E"/>
    <w:rsid w:val="00480CAC"/>
    <w:rsid w:val="00481B7C"/>
    <w:rsid w:val="00482EA3"/>
    <w:rsid w:val="00484C16"/>
    <w:rsid w:val="0048519E"/>
    <w:rsid w:val="0048675E"/>
    <w:rsid w:val="004879CD"/>
    <w:rsid w:val="00490FE2"/>
    <w:rsid w:val="00491A28"/>
    <w:rsid w:val="00496190"/>
    <w:rsid w:val="004A19EC"/>
    <w:rsid w:val="004A21B0"/>
    <w:rsid w:val="004A2FF3"/>
    <w:rsid w:val="004A4DFA"/>
    <w:rsid w:val="004A50B0"/>
    <w:rsid w:val="004B2302"/>
    <w:rsid w:val="004B2DE9"/>
    <w:rsid w:val="004B3A9D"/>
    <w:rsid w:val="004B511C"/>
    <w:rsid w:val="004B5818"/>
    <w:rsid w:val="004C0A88"/>
    <w:rsid w:val="004C15C6"/>
    <w:rsid w:val="004C2262"/>
    <w:rsid w:val="004C2D65"/>
    <w:rsid w:val="004C31C2"/>
    <w:rsid w:val="004C36F4"/>
    <w:rsid w:val="004C3994"/>
    <w:rsid w:val="004C431C"/>
    <w:rsid w:val="004C4794"/>
    <w:rsid w:val="004C51DA"/>
    <w:rsid w:val="004C58A8"/>
    <w:rsid w:val="004C60EC"/>
    <w:rsid w:val="004D153C"/>
    <w:rsid w:val="004D4F51"/>
    <w:rsid w:val="004D60EB"/>
    <w:rsid w:val="004D6706"/>
    <w:rsid w:val="004D7A05"/>
    <w:rsid w:val="004E0216"/>
    <w:rsid w:val="004E207B"/>
    <w:rsid w:val="004E21E0"/>
    <w:rsid w:val="004E3DAC"/>
    <w:rsid w:val="004E3FEB"/>
    <w:rsid w:val="004E4C60"/>
    <w:rsid w:val="004E6F97"/>
    <w:rsid w:val="004E7F13"/>
    <w:rsid w:val="004F0647"/>
    <w:rsid w:val="004F097D"/>
    <w:rsid w:val="004F36EE"/>
    <w:rsid w:val="004F4D6C"/>
    <w:rsid w:val="004F7237"/>
    <w:rsid w:val="0050057A"/>
    <w:rsid w:val="0050108E"/>
    <w:rsid w:val="005047EE"/>
    <w:rsid w:val="00504A4B"/>
    <w:rsid w:val="00506750"/>
    <w:rsid w:val="00506851"/>
    <w:rsid w:val="00511172"/>
    <w:rsid w:val="00511A7A"/>
    <w:rsid w:val="00512499"/>
    <w:rsid w:val="005131D0"/>
    <w:rsid w:val="00526768"/>
    <w:rsid w:val="00527E08"/>
    <w:rsid w:val="00532033"/>
    <w:rsid w:val="00532931"/>
    <w:rsid w:val="00532E28"/>
    <w:rsid w:val="005403ED"/>
    <w:rsid w:val="00540FF3"/>
    <w:rsid w:val="00542D99"/>
    <w:rsid w:val="005555BA"/>
    <w:rsid w:val="005558B1"/>
    <w:rsid w:val="0056086D"/>
    <w:rsid w:val="005623D4"/>
    <w:rsid w:val="00566B07"/>
    <w:rsid w:val="00567F60"/>
    <w:rsid w:val="00570D19"/>
    <w:rsid w:val="00571BBF"/>
    <w:rsid w:val="00574543"/>
    <w:rsid w:val="00574A13"/>
    <w:rsid w:val="0057758B"/>
    <w:rsid w:val="0057792F"/>
    <w:rsid w:val="005816D0"/>
    <w:rsid w:val="0058476A"/>
    <w:rsid w:val="005918CE"/>
    <w:rsid w:val="00596B8C"/>
    <w:rsid w:val="0059702A"/>
    <w:rsid w:val="00597871"/>
    <w:rsid w:val="00597C03"/>
    <w:rsid w:val="005A1353"/>
    <w:rsid w:val="005A6926"/>
    <w:rsid w:val="005B0574"/>
    <w:rsid w:val="005B21EC"/>
    <w:rsid w:val="005B255C"/>
    <w:rsid w:val="005B46FB"/>
    <w:rsid w:val="005C2545"/>
    <w:rsid w:val="005C262F"/>
    <w:rsid w:val="005C4CC1"/>
    <w:rsid w:val="005C5EAF"/>
    <w:rsid w:val="005C649F"/>
    <w:rsid w:val="005C77F0"/>
    <w:rsid w:val="005D1D49"/>
    <w:rsid w:val="005D5732"/>
    <w:rsid w:val="005D75BF"/>
    <w:rsid w:val="005E04F3"/>
    <w:rsid w:val="005E13B7"/>
    <w:rsid w:val="005E3099"/>
    <w:rsid w:val="005E3B15"/>
    <w:rsid w:val="005E7D38"/>
    <w:rsid w:val="005F31D3"/>
    <w:rsid w:val="005F40BE"/>
    <w:rsid w:val="005F63B2"/>
    <w:rsid w:val="006012A0"/>
    <w:rsid w:val="00613D90"/>
    <w:rsid w:val="00614D32"/>
    <w:rsid w:val="006206D3"/>
    <w:rsid w:val="006213B0"/>
    <w:rsid w:val="00634141"/>
    <w:rsid w:val="00634899"/>
    <w:rsid w:val="00635243"/>
    <w:rsid w:val="00644339"/>
    <w:rsid w:val="00645EC8"/>
    <w:rsid w:val="006517A5"/>
    <w:rsid w:val="006529B6"/>
    <w:rsid w:val="006546B4"/>
    <w:rsid w:val="00655F8F"/>
    <w:rsid w:val="00660E5A"/>
    <w:rsid w:val="0066730C"/>
    <w:rsid w:val="006771BD"/>
    <w:rsid w:val="00677354"/>
    <w:rsid w:val="00684CF5"/>
    <w:rsid w:val="0068573D"/>
    <w:rsid w:val="0068673B"/>
    <w:rsid w:val="00687CBC"/>
    <w:rsid w:val="00690146"/>
    <w:rsid w:val="00693898"/>
    <w:rsid w:val="006A5EF0"/>
    <w:rsid w:val="006B1B50"/>
    <w:rsid w:val="006B2C9D"/>
    <w:rsid w:val="006B4B83"/>
    <w:rsid w:val="006B56E9"/>
    <w:rsid w:val="006C0F50"/>
    <w:rsid w:val="006C0FD0"/>
    <w:rsid w:val="006C1BD3"/>
    <w:rsid w:val="006E1C75"/>
    <w:rsid w:val="006E395A"/>
    <w:rsid w:val="006E48EA"/>
    <w:rsid w:val="006E7B6B"/>
    <w:rsid w:val="006F0C99"/>
    <w:rsid w:val="006F658C"/>
    <w:rsid w:val="006F66CB"/>
    <w:rsid w:val="00701C4B"/>
    <w:rsid w:val="007024A0"/>
    <w:rsid w:val="007024BC"/>
    <w:rsid w:val="00705BAA"/>
    <w:rsid w:val="0071010C"/>
    <w:rsid w:val="00714EB0"/>
    <w:rsid w:val="007279AF"/>
    <w:rsid w:val="00730701"/>
    <w:rsid w:val="00731126"/>
    <w:rsid w:val="00732347"/>
    <w:rsid w:val="00732916"/>
    <w:rsid w:val="0073316D"/>
    <w:rsid w:val="00736E0F"/>
    <w:rsid w:val="00740E19"/>
    <w:rsid w:val="00742730"/>
    <w:rsid w:val="00742B28"/>
    <w:rsid w:val="00743B43"/>
    <w:rsid w:val="007448D7"/>
    <w:rsid w:val="0075219B"/>
    <w:rsid w:val="00752F9B"/>
    <w:rsid w:val="00756FD1"/>
    <w:rsid w:val="00760AAD"/>
    <w:rsid w:val="00760C05"/>
    <w:rsid w:val="0076243D"/>
    <w:rsid w:val="0076549E"/>
    <w:rsid w:val="00765A70"/>
    <w:rsid w:val="007714F6"/>
    <w:rsid w:val="007740BC"/>
    <w:rsid w:val="00774BBD"/>
    <w:rsid w:val="007751FE"/>
    <w:rsid w:val="00785E93"/>
    <w:rsid w:val="00786B04"/>
    <w:rsid w:val="00787C69"/>
    <w:rsid w:val="007909F7"/>
    <w:rsid w:val="00791D42"/>
    <w:rsid w:val="00791EBE"/>
    <w:rsid w:val="007942A5"/>
    <w:rsid w:val="0079503D"/>
    <w:rsid w:val="0079581E"/>
    <w:rsid w:val="007A005E"/>
    <w:rsid w:val="007A11F1"/>
    <w:rsid w:val="007A2018"/>
    <w:rsid w:val="007A3793"/>
    <w:rsid w:val="007A4273"/>
    <w:rsid w:val="007A54DC"/>
    <w:rsid w:val="007A640D"/>
    <w:rsid w:val="007B0080"/>
    <w:rsid w:val="007B03F9"/>
    <w:rsid w:val="007B06CF"/>
    <w:rsid w:val="007B64C9"/>
    <w:rsid w:val="007B672B"/>
    <w:rsid w:val="007C00F8"/>
    <w:rsid w:val="007C1470"/>
    <w:rsid w:val="007C381B"/>
    <w:rsid w:val="007D17F7"/>
    <w:rsid w:val="007D31A5"/>
    <w:rsid w:val="007E60DE"/>
    <w:rsid w:val="007F0043"/>
    <w:rsid w:val="007F1E9E"/>
    <w:rsid w:val="007F459C"/>
    <w:rsid w:val="007F474F"/>
    <w:rsid w:val="007F7A1C"/>
    <w:rsid w:val="0080209D"/>
    <w:rsid w:val="00806599"/>
    <w:rsid w:val="00806FB7"/>
    <w:rsid w:val="00815788"/>
    <w:rsid w:val="00820258"/>
    <w:rsid w:val="008204E3"/>
    <w:rsid w:val="008206A3"/>
    <w:rsid w:val="008208D1"/>
    <w:rsid w:val="00820B90"/>
    <w:rsid w:val="00821EFA"/>
    <w:rsid w:val="00822582"/>
    <w:rsid w:val="0083372B"/>
    <w:rsid w:val="00833800"/>
    <w:rsid w:val="00833F0F"/>
    <w:rsid w:val="00836CF3"/>
    <w:rsid w:val="00843061"/>
    <w:rsid w:val="00844B4A"/>
    <w:rsid w:val="008521AC"/>
    <w:rsid w:val="0085615D"/>
    <w:rsid w:val="008611B7"/>
    <w:rsid w:val="00861E33"/>
    <w:rsid w:val="00862FEA"/>
    <w:rsid w:val="00864E2E"/>
    <w:rsid w:val="00864E3C"/>
    <w:rsid w:val="008753F6"/>
    <w:rsid w:val="008766A4"/>
    <w:rsid w:val="0088037F"/>
    <w:rsid w:val="008838A7"/>
    <w:rsid w:val="00891CEA"/>
    <w:rsid w:val="00892BCA"/>
    <w:rsid w:val="00893601"/>
    <w:rsid w:val="008A18F4"/>
    <w:rsid w:val="008A47F0"/>
    <w:rsid w:val="008A70A2"/>
    <w:rsid w:val="008B23E2"/>
    <w:rsid w:val="008B2E17"/>
    <w:rsid w:val="008B7FEF"/>
    <w:rsid w:val="008C4AC1"/>
    <w:rsid w:val="008C5910"/>
    <w:rsid w:val="008C5DD1"/>
    <w:rsid w:val="008C6E6E"/>
    <w:rsid w:val="008C705A"/>
    <w:rsid w:val="008C706D"/>
    <w:rsid w:val="008D3BF5"/>
    <w:rsid w:val="008D3FE9"/>
    <w:rsid w:val="008D5B67"/>
    <w:rsid w:val="008E373F"/>
    <w:rsid w:val="008E39FF"/>
    <w:rsid w:val="008E4F79"/>
    <w:rsid w:val="008E6BEC"/>
    <w:rsid w:val="008F0F06"/>
    <w:rsid w:val="008F1DBF"/>
    <w:rsid w:val="008F6E50"/>
    <w:rsid w:val="00900084"/>
    <w:rsid w:val="0090077F"/>
    <w:rsid w:val="00900A65"/>
    <w:rsid w:val="009030C2"/>
    <w:rsid w:val="0090372E"/>
    <w:rsid w:val="0090395B"/>
    <w:rsid w:val="0090559F"/>
    <w:rsid w:val="0091183F"/>
    <w:rsid w:val="009174A8"/>
    <w:rsid w:val="00920DCB"/>
    <w:rsid w:val="00922AC4"/>
    <w:rsid w:val="0092379A"/>
    <w:rsid w:val="009244FB"/>
    <w:rsid w:val="00931FEE"/>
    <w:rsid w:val="00932C48"/>
    <w:rsid w:val="00933AFB"/>
    <w:rsid w:val="00935050"/>
    <w:rsid w:val="009356EE"/>
    <w:rsid w:val="00935FF0"/>
    <w:rsid w:val="00937092"/>
    <w:rsid w:val="009402C1"/>
    <w:rsid w:val="0094153A"/>
    <w:rsid w:val="00943275"/>
    <w:rsid w:val="00944314"/>
    <w:rsid w:val="00946053"/>
    <w:rsid w:val="00946D01"/>
    <w:rsid w:val="00950A05"/>
    <w:rsid w:val="00951002"/>
    <w:rsid w:val="00956B9C"/>
    <w:rsid w:val="00957742"/>
    <w:rsid w:val="009611FC"/>
    <w:rsid w:val="00961C22"/>
    <w:rsid w:val="00964363"/>
    <w:rsid w:val="009657D6"/>
    <w:rsid w:val="00966E9F"/>
    <w:rsid w:val="009678CE"/>
    <w:rsid w:val="0097021E"/>
    <w:rsid w:val="009779D3"/>
    <w:rsid w:val="00982E95"/>
    <w:rsid w:val="00983264"/>
    <w:rsid w:val="009838C3"/>
    <w:rsid w:val="009904E9"/>
    <w:rsid w:val="00993FB9"/>
    <w:rsid w:val="00995724"/>
    <w:rsid w:val="00995B1B"/>
    <w:rsid w:val="00997394"/>
    <w:rsid w:val="009A43C8"/>
    <w:rsid w:val="009A7658"/>
    <w:rsid w:val="009B49FC"/>
    <w:rsid w:val="009C5658"/>
    <w:rsid w:val="009C7489"/>
    <w:rsid w:val="009D1D56"/>
    <w:rsid w:val="009D28DB"/>
    <w:rsid w:val="009D4E81"/>
    <w:rsid w:val="009E27CB"/>
    <w:rsid w:val="009E357B"/>
    <w:rsid w:val="009E3A03"/>
    <w:rsid w:val="009F0C7E"/>
    <w:rsid w:val="009F0E58"/>
    <w:rsid w:val="009F1856"/>
    <w:rsid w:val="009F3740"/>
    <w:rsid w:val="009F50DC"/>
    <w:rsid w:val="009F60BE"/>
    <w:rsid w:val="009F6109"/>
    <w:rsid w:val="00A005DA"/>
    <w:rsid w:val="00A019BA"/>
    <w:rsid w:val="00A05CC8"/>
    <w:rsid w:val="00A16743"/>
    <w:rsid w:val="00A24B53"/>
    <w:rsid w:val="00A26A4C"/>
    <w:rsid w:val="00A36906"/>
    <w:rsid w:val="00A41B5F"/>
    <w:rsid w:val="00A436C0"/>
    <w:rsid w:val="00A451B4"/>
    <w:rsid w:val="00A45B6C"/>
    <w:rsid w:val="00A4601A"/>
    <w:rsid w:val="00A460F7"/>
    <w:rsid w:val="00A5118B"/>
    <w:rsid w:val="00A51EC0"/>
    <w:rsid w:val="00A52543"/>
    <w:rsid w:val="00A538B6"/>
    <w:rsid w:val="00A5721E"/>
    <w:rsid w:val="00A65C8D"/>
    <w:rsid w:val="00A674A2"/>
    <w:rsid w:val="00A67619"/>
    <w:rsid w:val="00A71B36"/>
    <w:rsid w:val="00A727B6"/>
    <w:rsid w:val="00A750B3"/>
    <w:rsid w:val="00A80466"/>
    <w:rsid w:val="00A80B82"/>
    <w:rsid w:val="00A84BEE"/>
    <w:rsid w:val="00A8664E"/>
    <w:rsid w:val="00A93D87"/>
    <w:rsid w:val="00A9440D"/>
    <w:rsid w:val="00AA2F3C"/>
    <w:rsid w:val="00AA4C6B"/>
    <w:rsid w:val="00AA7485"/>
    <w:rsid w:val="00AB41AA"/>
    <w:rsid w:val="00AB45DD"/>
    <w:rsid w:val="00AB4A76"/>
    <w:rsid w:val="00AB4D36"/>
    <w:rsid w:val="00AC099E"/>
    <w:rsid w:val="00AC2323"/>
    <w:rsid w:val="00AC3DBA"/>
    <w:rsid w:val="00AC5D3D"/>
    <w:rsid w:val="00AC6079"/>
    <w:rsid w:val="00AD296D"/>
    <w:rsid w:val="00AD3467"/>
    <w:rsid w:val="00AD6747"/>
    <w:rsid w:val="00AE2796"/>
    <w:rsid w:val="00AE55F4"/>
    <w:rsid w:val="00AF1A19"/>
    <w:rsid w:val="00AF5299"/>
    <w:rsid w:val="00AF7ED7"/>
    <w:rsid w:val="00B006B2"/>
    <w:rsid w:val="00B02891"/>
    <w:rsid w:val="00B04C76"/>
    <w:rsid w:val="00B10840"/>
    <w:rsid w:val="00B13675"/>
    <w:rsid w:val="00B14AE1"/>
    <w:rsid w:val="00B17897"/>
    <w:rsid w:val="00B20080"/>
    <w:rsid w:val="00B217B4"/>
    <w:rsid w:val="00B2230D"/>
    <w:rsid w:val="00B2561C"/>
    <w:rsid w:val="00B26487"/>
    <w:rsid w:val="00B27115"/>
    <w:rsid w:val="00B362F9"/>
    <w:rsid w:val="00B3653B"/>
    <w:rsid w:val="00B41424"/>
    <w:rsid w:val="00B460EB"/>
    <w:rsid w:val="00B467BD"/>
    <w:rsid w:val="00B51C0D"/>
    <w:rsid w:val="00B5337E"/>
    <w:rsid w:val="00B61F26"/>
    <w:rsid w:val="00B63E2C"/>
    <w:rsid w:val="00B6449B"/>
    <w:rsid w:val="00B65324"/>
    <w:rsid w:val="00B6600F"/>
    <w:rsid w:val="00B733FE"/>
    <w:rsid w:val="00B751DA"/>
    <w:rsid w:val="00B820E3"/>
    <w:rsid w:val="00B82968"/>
    <w:rsid w:val="00B908CE"/>
    <w:rsid w:val="00B91DF7"/>
    <w:rsid w:val="00B92E59"/>
    <w:rsid w:val="00B952EC"/>
    <w:rsid w:val="00BA1D7E"/>
    <w:rsid w:val="00BA4396"/>
    <w:rsid w:val="00BA5915"/>
    <w:rsid w:val="00BA6BF0"/>
    <w:rsid w:val="00BB1D1E"/>
    <w:rsid w:val="00BB4152"/>
    <w:rsid w:val="00BB5D7A"/>
    <w:rsid w:val="00BC3CF0"/>
    <w:rsid w:val="00BC43E7"/>
    <w:rsid w:val="00BD01DA"/>
    <w:rsid w:val="00BD2C18"/>
    <w:rsid w:val="00BD57FF"/>
    <w:rsid w:val="00BE38E6"/>
    <w:rsid w:val="00BE6F14"/>
    <w:rsid w:val="00BE7101"/>
    <w:rsid w:val="00BE7E75"/>
    <w:rsid w:val="00BF6512"/>
    <w:rsid w:val="00BF697F"/>
    <w:rsid w:val="00C0238D"/>
    <w:rsid w:val="00C06EF2"/>
    <w:rsid w:val="00C10B09"/>
    <w:rsid w:val="00C159DD"/>
    <w:rsid w:val="00C229ED"/>
    <w:rsid w:val="00C242D3"/>
    <w:rsid w:val="00C25FD0"/>
    <w:rsid w:val="00C275A0"/>
    <w:rsid w:val="00C30070"/>
    <w:rsid w:val="00C302EB"/>
    <w:rsid w:val="00C309CC"/>
    <w:rsid w:val="00C3455B"/>
    <w:rsid w:val="00C3739C"/>
    <w:rsid w:val="00C40037"/>
    <w:rsid w:val="00C41048"/>
    <w:rsid w:val="00C429D1"/>
    <w:rsid w:val="00C437CA"/>
    <w:rsid w:val="00C43BAD"/>
    <w:rsid w:val="00C46775"/>
    <w:rsid w:val="00C4718B"/>
    <w:rsid w:val="00C51288"/>
    <w:rsid w:val="00C54DEE"/>
    <w:rsid w:val="00C55AE3"/>
    <w:rsid w:val="00C57149"/>
    <w:rsid w:val="00C632A4"/>
    <w:rsid w:val="00C6580C"/>
    <w:rsid w:val="00C7013B"/>
    <w:rsid w:val="00C73EE3"/>
    <w:rsid w:val="00C74FA8"/>
    <w:rsid w:val="00C75465"/>
    <w:rsid w:val="00C75795"/>
    <w:rsid w:val="00C7753C"/>
    <w:rsid w:val="00C81357"/>
    <w:rsid w:val="00C8781B"/>
    <w:rsid w:val="00C909AD"/>
    <w:rsid w:val="00C90BA5"/>
    <w:rsid w:val="00C90F73"/>
    <w:rsid w:val="00C93E3D"/>
    <w:rsid w:val="00C96783"/>
    <w:rsid w:val="00C968A6"/>
    <w:rsid w:val="00CA3325"/>
    <w:rsid w:val="00CA48F0"/>
    <w:rsid w:val="00CA5A4C"/>
    <w:rsid w:val="00CB2974"/>
    <w:rsid w:val="00CB2E3F"/>
    <w:rsid w:val="00CB482C"/>
    <w:rsid w:val="00CC28B1"/>
    <w:rsid w:val="00CC34B6"/>
    <w:rsid w:val="00CC5477"/>
    <w:rsid w:val="00CC6A75"/>
    <w:rsid w:val="00CC6BBF"/>
    <w:rsid w:val="00CD120E"/>
    <w:rsid w:val="00CD6304"/>
    <w:rsid w:val="00CD6F49"/>
    <w:rsid w:val="00CE2233"/>
    <w:rsid w:val="00CE4C21"/>
    <w:rsid w:val="00CE684D"/>
    <w:rsid w:val="00CF13D6"/>
    <w:rsid w:val="00CF16F6"/>
    <w:rsid w:val="00CF4261"/>
    <w:rsid w:val="00CF47A7"/>
    <w:rsid w:val="00CF6A30"/>
    <w:rsid w:val="00CF77F9"/>
    <w:rsid w:val="00CF7E6C"/>
    <w:rsid w:val="00D03B2D"/>
    <w:rsid w:val="00D04CBE"/>
    <w:rsid w:val="00D11798"/>
    <w:rsid w:val="00D127B9"/>
    <w:rsid w:val="00D13076"/>
    <w:rsid w:val="00D15D8F"/>
    <w:rsid w:val="00D23910"/>
    <w:rsid w:val="00D30781"/>
    <w:rsid w:val="00D37DDD"/>
    <w:rsid w:val="00D466F5"/>
    <w:rsid w:val="00D47E4C"/>
    <w:rsid w:val="00D55394"/>
    <w:rsid w:val="00D5614B"/>
    <w:rsid w:val="00D56990"/>
    <w:rsid w:val="00D678D3"/>
    <w:rsid w:val="00D701DF"/>
    <w:rsid w:val="00D7088F"/>
    <w:rsid w:val="00D70930"/>
    <w:rsid w:val="00D75298"/>
    <w:rsid w:val="00D777A5"/>
    <w:rsid w:val="00D86EA3"/>
    <w:rsid w:val="00D91292"/>
    <w:rsid w:val="00D920FE"/>
    <w:rsid w:val="00D95D77"/>
    <w:rsid w:val="00DA0E48"/>
    <w:rsid w:val="00DA366B"/>
    <w:rsid w:val="00DA4DD4"/>
    <w:rsid w:val="00DA6CDE"/>
    <w:rsid w:val="00DB0412"/>
    <w:rsid w:val="00DB05D2"/>
    <w:rsid w:val="00DB3134"/>
    <w:rsid w:val="00DB688B"/>
    <w:rsid w:val="00DB7641"/>
    <w:rsid w:val="00DC0EE1"/>
    <w:rsid w:val="00DC637B"/>
    <w:rsid w:val="00DC7370"/>
    <w:rsid w:val="00DD287D"/>
    <w:rsid w:val="00DD3AB7"/>
    <w:rsid w:val="00DD60A6"/>
    <w:rsid w:val="00DD6A82"/>
    <w:rsid w:val="00DE2EAB"/>
    <w:rsid w:val="00DE5345"/>
    <w:rsid w:val="00DE5A3D"/>
    <w:rsid w:val="00DE6DBB"/>
    <w:rsid w:val="00DF2191"/>
    <w:rsid w:val="00DF3CD8"/>
    <w:rsid w:val="00E033DE"/>
    <w:rsid w:val="00E04D08"/>
    <w:rsid w:val="00E0716A"/>
    <w:rsid w:val="00E118A1"/>
    <w:rsid w:val="00E1410B"/>
    <w:rsid w:val="00E17546"/>
    <w:rsid w:val="00E24053"/>
    <w:rsid w:val="00E25852"/>
    <w:rsid w:val="00E264FC"/>
    <w:rsid w:val="00E27DF0"/>
    <w:rsid w:val="00E32177"/>
    <w:rsid w:val="00E32A41"/>
    <w:rsid w:val="00E37688"/>
    <w:rsid w:val="00E406A1"/>
    <w:rsid w:val="00E422E0"/>
    <w:rsid w:val="00E427D2"/>
    <w:rsid w:val="00E51A04"/>
    <w:rsid w:val="00E51F41"/>
    <w:rsid w:val="00E52915"/>
    <w:rsid w:val="00E52DA5"/>
    <w:rsid w:val="00E5507B"/>
    <w:rsid w:val="00E63552"/>
    <w:rsid w:val="00E80EB4"/>
    <w:rsid w:val="00E856BE"/>
    <w:rsid w:val="00E85C54"/>
    <w:rsid w:val="00E913C2"/>
    <w:rsid w:val="00E94892"/>
    <w:rsid w:val="00EA2E1D"/>
    <w:rsid w:val="00EA4937"/>
    <w:rsid w:val="00EB260F"/>
    <w:rsid w:val="00EB726C"/>
    <w:rsid w:val="00EC1419"/>
    <w:rsid w:val="00ED1A34"/>
    <w:rsid w:val="00ED1FFC"/>
    <w:rsid w:val="00ED6630"/>
    <w:rsid w:val="00EE2122"/>
    <w:rsid w:val="00EF05E2"/>
    <w:rsid w:val="00EF4E9F"/>
    <w:rsid w:val="00EF6E41"/>
    <w:rsid w:val="00F1033F"/>
    <w:rsid w:val="00F10E46"/>
    <w:rsid w:val="00F10EA3"/>
    <w:rsid w:val="00F13C8C"/>
    <w:rsid w:val="00F17BA3"/>
    <w:rsid w:val="00F2031B"/>
    <w:rsid w:val="00F213ED"/>
    <w:rsid w:val="00F23073"/>
    <w:rsid w:val="00F23D83"/>
    <w:rsid w:val="00F25D42"/>
    <w:rsid w:val="00F313A2"/>
    <w:rsid w:val="00F318BA"/>
    <w:rsid w:val="00F31F64"/>
    <w:rsid w:val="00F330D4"/>
    <w:rsid w:val="00F345FE"/>
    <w:rsid w:val="00F3700A"/>
    <w:rsid w:val="00F37FC8"/>
    <w:rsid w:val="00F407C9"/>
    <w:rsid w:val="00F40EB3"/>
    <w:rsid w:val="00F423B6"/>
    <w:rsid w:val="00F42A0E"/>
    <w:rsid w:val="00F476FA"/>
    <w:rsid w:val="00F57294"/>
    <w:rsid w:val="00F602DF"/>
    <w:rsid w:val="00F6228F"/>
    <w:rsid w:val="00F62B56"/>
    <w:rsid w:val="00F64EA7"/>
    <w:rsid w:val="00F66241"/>
    <w:rsid w:val="00F67057"/>
    <w:rsid w:val="00F67557"/>
    <w:rsid w:val="00F71F1B"/>
    <w:rsid w:val="00F73713"/>
    <w:rsid w:val="00F74753"/>
    <w:rsid w:val="00F8131C"/>
    <w:rsid w:val="00F85AC7"/>
    <w:rsid w:val="00F8622A"/>
    <w:rsid w:val="00F87702"/>
    <w:rsid w:val="00F90B48"/>
    <w:rsid w:val="00F91B44"/>
    <w:rsid w:val="00F93406"/>
    <w:rsid w:val="00F93865"/>
    <w:rsid w:val="00FA0D36"/>
    <w:rsid w:val="00FA18C4"/>
    <w:rsid w:val="00FA4630"/>
    <w:rsid w:val="00FA4B88"/>
    <w:rsid w:val="00FB05EB"/>
    <w:rsid w:val="00FB0AEB"/>
    <w:rsid w:val="00FC0189"/>
    <w:rsid w:val="00FC5F33"/>
    <w:rsid w:val="00FC68D7"/>
    <w:rsid w:val="00FC6EDD"/>
    <w:rsid w:val="00FD0495"/>
    <w:rsid w:val="00FD1189"/>
    <w:rsid w:val="00FD6B4D"/>
    <w:rsid w:val="00FE0365"/>
    <w:rsid w:val="00FE3D86"/>
    <w:rsid w:val="00FE552D"/>
    <w:rsid w:val="00FF010A"/>
    <w:rsid w:val="00FF1E31"/>
    <w:rsid w:val="00FF2832"/>
    <w:rsid w:val="00FF41D3"/>
    <w:rsid w:val="00FF7804"/>
    <w:rsid w:val="02BD6325"/>
    <w:rsid w:val="034386F9"/>
    <w:rsid w:val="062CF60D"/>
    <w:rsid w:val="163DD829"/>
    <w:rsid w:val="186D35FE"/>
    <w:rsid w:val="286346CB"/>
    <w:rsid w:val="32BDB8A5"/>
    <w:rsid w:val="497344AF"/>
    <w:rsid w:val="5A72C08B"/>
    <w:rsid w:val="5CD7BC5C"/>
    <w:rsid w:val="62B4B133"/>
    <w:rsid w:val="64AC1CBB"/>
    <w:rsid w:val="6574DBA2"/>
    <w:rsid w:val="7A5C3F9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5E7C9"/>
  <w14:defaultImageDpi w14:val="32767"/>
  <w15:chartTrackingRefBased/>
  <w15:docId w15:val="{44A27CC1-C5D8-4768-A84C-28DA86ECD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7031F"/>
    <w:pPr>
      <w:spacing w:line="360" w:lineRule="auto"/>
      <w:jc w:val="both"/>
    </w:pPr>
    <w:rPr>
      <w:rFonts w:ascii="Times New Roman" w:eastAsiaTheme="minorHAnsi" w:hAnsi="Times New Roman"/>
      <w:szCs w:val="22"/>
      <w:lang w:eastAsia="en-US"/>
    </w:rPr>
  </w:style>
  <w:style w:type="paragraph" w:styleId="Heading1">
    <w:name w:val="heading 1"/>
    <w:basedOn w:val="Normal"/>
    <w:next w:val="Normal"/>
    <w:link w:val="Heading1Char"/>
    <w:qFormat/>
    <w:rsid w:val="007A4273"/>
    <w:pPr>
      <w:keepNext/>
      <w:outlineLvl w:val="0"/>
    </w:pPr>
    <w:rPr>
      <w:rFonts w:eastAsia="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A4273"/>
    <w:rPr>
      <w:rFonts w:ascii="Times New Roman" w:eastAsia="Times New Roman" w:hAnsi="Times New Roman" w:cs="Times New Roman"/>
      <w:b/>
      <w:sz w:val="28"/>
      <w:szCs w:val="20"/>
      <w:lang w:eastAsia="en-US"/>
    </w:rPr>
  </w:style>
  <w:style w:type="paragraph" w:styleId="BodyTextIndent">
    <w:name w:val="Body Text Indent"/>
    <w:basedOn w:val="Normal"/>
    <w:link w:val="BodyTextIndentChar"/>
    <w:rsid w:val="00D701DF"/>
    <w:pPr>
      <w:widowControl w:val="0"/>
      <w:tabs>
        <w:tab w:val="left" w:pos="284"/>
      </w:tabs>
      <w:ind w:left="284" w:hanging="284"/>
      <w:jc w:val="center"/>
    </w:pPr>
    <w:rPr>
      <w:rFonts w:eastAsia="Times New Roman" w:cs="Times New Roman"/>
      <w:snapToGrid w:val="0"/>
      <w:spacing w:val="-3"/>
      <w:sz w:val="28"/>
      <w:szCs w:val="28"/>
    </w:rPr>
  </w:style>
  <w:style w:type="character" w:customStyle="1" w:styleId="BodyTextIndentChar">
    <w:name w:val="Body Text Indent Char"/>
    <w:basedOn w:val="DefaultParagraphFont"/>
    <w:link w:val="BodyTextIndent"/>
    <w:rsid w:val="00D701DF"/>
    <w:rPr>
      <w:rFonts w:ascii="Times New Roman" w:eastAsia="Times New Roman" w:hAnsi="Times New Roman" w:cs="Times New Roman"/>
      <w:snapToGrid w:val="0"/>
      <w:spacing w:val="-3"/>
      <w:sz w:val="28"/>
      <w:szCs w:val="28"/>
      <w:lang w:eastAsia="en-US"/>
    </w:rPr>
  </w:style>
  <w:style w:type="character" w:styleId="Hyperlink">
    <w:name w:val="Hyperlink"/>
    <w:basedOn w:val="DefaultParagraphFont"/>
    <w:uiPriority w:val="99"/>
    <w:unhideWhenUsed/>
    <w:rsid w:val="00D701DF"/>
    <w:rPr>
      <w:color w:val="0563C1" w:themeColor="hyperlink"/>
      <w:u w:val="single"/>
    </w:rPr>
  </w:style>
  <w:style w:type="table" w:styleId="TableGrid">
    <w:name w:val="Table Grid"/>
    <w:basedOn w:val="TableNormal"/>
    <w:uiPriority w:val="39"/>
    <w:rsid w:val="00D701DF"/>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D701DF"/>
  </w:style>
  <w:style w:type="paragraph" w:styleId="Header">
    <w:name w:val="header"/>
    <w:basedOn w:val="Normal"/>
    <w:link w:val="HeaderChar"/>
    <w:rsid w:val="00D701DF"/>
    <w:pPr>
      <w:tabs>
        <w:tab w:val="center" w:pos="4153"/>
        <w:tab w:val="right" w:pos="8306"/>
      </w:tabs>
    </w:pPr>
    <w:rPr>
      <w:rFonts w:eastAsia="Times New Roman" w:cs="Times New Roman"/>
      <w:szCs w:val="24"/>
      <w:lang w:eastAsia="en-GB"/>
    </w:rPr>
  </w:style>
  <w:style w:type="character" w:customStyle="1" w:styleId="HeaderChar">
    <w:name w:val="Header Char"/>
    <w:basedOn w:val="DefaultParagraphFont"/>
    <w:link w:val="Header"/>
    <w:rsid w:val="00D701DF"/>
    <w:rPr>
      <w:rFonts w:ascii="Times New Roman" w:eastAsia="Times New Roman" w:hAnsi="Times New Roman" w:cs="Times New Roman"/>
      <w:lang w:eastAsia="en-GB"/>
    </w:rPr>
  </w:style>
  <w:style w:type="paragraph" w:styleId="Footer">
    <w:name w:val="footer"/>
    <w:basedOn w:val="Normal"/>
    <w:link w:val="FooterChar"/>
    <w:uiPriority w:val="99"/>
    <w:unhideWhenUsed/>
    <w:rsid w:val="00D701DF"/>
    <w:pPr>
      <w:tabs>
        <w:tab w:val="center" w:pos="4680"/>
        <w:tab w:val="right" w:pos="9360"/>
      </w:tabs>
    </w:pPr>
  </w:style>
  <w:style w:type="character" w:customStyle="1" w:styleId="FooterChar">
    <w:name w:val="Footer Char"/>
    <w:basedOn w:val="DefaultParagraphFont"/>
    <w:link w:val="Footer"/>
    <w:uiPriority w:val="99"/>
    <w:rsid w:val="00D701DF"/>
    <w:rPr>
      <w:rFonts w:eastAsiaTheme="minorHAnsi"/>
      <w:sz w:val="22"/>
      <w:szCs w:val="22"/>
      <w:lang w:eastAsia="en-US"/>
    </w:rPr>
  </w:style>
  <w:style w:type="character" w:styleId="CommentReference">
    <w:name w:val="annotation reference"/>
    <w:basedOn w:val="DefaultParagraphFont"/>
    <w:uiPriority w:val="99"/>
    <w:semiHidden/>
    <w:unhideWhenUsed/>
    <w:rsid w:val="004C51DA"/>
    <w:rPr>
      <w:sz w:val="16"/>
      <w:szCs w:val="16"/>
    </w:rPr>
  </w:style>
  <w:style w:type="paragraph" w:styleId="CommentText">
    <w:name w:val="annotation text"/>
    <w:basedOn w:val="Normal"/>
    <w:link w:val="CommentTextChar"/>
    <w:uiPriority w:val="99"/>
    <w:semiHidden/>
    <w:unhideWhenUsed/>
    <w:rsid w:val="004C51DA"/>
    <w:rPr>
      <w:sz w:val="20"/>
      <w:szCs w:val="20"/>
    </w:rPr>
  </w:style>
  <w:style w:type="character" w:customStyle="1" w:styleId="CommentTextChar">
    <w:name w:val="Comment Text Char"/>
    <w:basedOn w:val="DefaultParagraphFont"/>
    <w:link w:val="CommentText"/>
    <w:uiPriority w:val="99"/>
    <w:semiHidden/>
    <w:rsid w:val="004C51DA"/>
    <w:rPr>
      <w:rFonts w:eastAsiaTheme="minorHAnsi"/>
      <w:sz w:val="20"/>
      <w:szCs w:val="20"/>
      <w:lang w:eastAsia="en-US"/>
    </w:rPr>
  </w:style>
  <w:style w:type="paragraph" w:styleId="CommentSubject">
    <w:name w:val="annotation subject"/>
    <w:basedOn w:val="CommentText"/>
    <w:next w:val="CommentText"/>
    <w:link w:val="CommentSubjectChar"/>
    <w:uiPriority w:val="99"/>
    <w:semiHidden/>
    <w:unhideWhenUsed/>
    <w:rsid w:val="004C51DA"/>
    <w:rPr>
      <w:b/>
      <w:bCs/>
    </w:rPr>
  </w:style>
  <w:style w:type="character" w:customStyle="1" w:styleId="CommentSubjectChar">
    <w:name w:val="Comment Subject Char"/>
    <w:basedOn w:val="CommentTextChar"/>
    <w:link w:val="CommentSubject"/>
    <w:uiPriority w:val="99"/>
    <w:semiHidden/>
    <w:rsid w:val="004C51DA"/>
    <w:rPr>
      <w:rFonts w:eastAsiaTheme="minorHAnsi"/>
      <w:b/>
      <w:bCs/>
      <w:sz w:val="20"/>
      <w:szCs w:val="20"/>
      <w:lang w:eastAsia="en-US"/>
    </w:rPr>
  </w:style>
  <w:style w:type="paragraph" w:styleId="BalloonText">
    <w:name w:val="Balloon Text"/>
    <w:basedOn w:val="Normal"/>
    <w:link w:val="BalloonTextChar"/>
    <w:uiPriority w:val="99"/>
    <w:semiHidden/>
    <w:unhideWhenUsed/>
    <w:rsid w:val="004C51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51DA"/>
    <w:rPr>
      <w:rFonts w:ascii="Segoe UI" w:eastAsiaTheme="minorHAnsi" w:hAnsi="Segoe UI" w:cs="Segoe UI"/>
      <w:sz w:val="18"/>
      <w:szCs w:val="18"/>
      <w:lang w:eastAsia="en-US"/>
    </w:rPr>
  </w:style>
  <w:style w:type="paragraph" w:styleId="NormalWeb">
    <w:name w:val="Normal (Web)"/>
    <w:basedOn w:val="Normal"/>
    <w:uiPriority w:val="99"/>
    <w:unhideWhenUsed/>
    <w:rsid w:val="00AC3DBA"/>
    <w:pPr>
      <w:spacing w:before="100" w:beforeAutospacing="1" w:after="100" w:afterAutospacing="1"/>
    </w:pPr>
    <w:rPr>
      <w:rFonts w:eastAsia="Times New Roman" w:cs="Times New Roman"/>
      <w:szCs w:val="24"/>
      <w:lang w:eastAsia="en-GB"/>
    </w:rPr>
  </w:style>
  <w:style w:type="paragraph" w:styleId="ListParagraph">
    <w:name w:val="List Paragraph"/>
    <w:basedOn w:val="Normal"/>
    <w:uiPriority w:val="34"/>
    <w:rsid w:val="00AB45DD"/>
    <w:pPr>
      <w:ind w:left="720"/>
      <w:contextualSpacing/>
    </w:pPr>
  </w:style>
  <w:style w:type="paragraph" w:styleId="FootnoteText">
    <w:name w:val="footnote text"/>
    <w:basedOn w:val="Normal"/>
    <w:link w:val="FootnoteTextChar"/>
    <w:uiPriority w:val="99"/>
    <w:semiHidden/>
    <w:unhideWhenUsed/>
    <w:rsid w:val="002C1808"/>
    <w:pPr>
      <w:spacing w:line="240" w:lineRule="auto"/>
    </w:pPr>
    <w:rPr>
      <w:sz w:val="20"/>
      <w:szCs w:val="20"/>
    </w:rPr>
  </w:style>
  <w:style w:type="character" w:customStyle="1" w:styleId="FootnoteTextChar">
    <w:name w:val="Footnote Text Char"/>
    <w:basedOn w:val="DefaultParagraphFont"/>
    <w:link w:val="FootnoteText"/>
    <w:uiPriority w:val="99"/>
    <w:semiHidden/>
    <w:rsid w:val="002C1808"/>
    <w:rPr>
      <w:rFonts w:ascii="Times New Roman" w:eastAsiaTheme="minorHAnsi" w:hAnsi="Times New Roman"/>
      <w:sz w:val="20"/>
      <w:szCs w:val="20"/>
      <w:lang w:eastAsia="en-US"/>
    </w:rPr>
  </w:style>
  <w:style w:type="character" w:styleId="FootnoteReference">
    <w:name w:val="footnote reference"/>
    <w:basedOn w:val="DefaultParagraphFont"/>
    <w:uiPriority w:val="99"/>
    <w:semiHidden/>
    <w:unhideWhenUsed/>
    <w:rsid w:val="002C1808"/>
    <w:rPr>
      <w:vertAlign w:val="superscript"/>
    </w:rPr>
  </w:style>
  <w:style w:type="character" w:styleId="Emphasis">
    <w:name w:val="Emphasis"/>
    <w:basedOn w:val="DefaultParagraphFont"/>
    <w:uiPriority w:val="20"/>
    <w:rsid w:val="007B0080"/>
    <w:rPr>
      <w:i/>
      <w:iCs/>
    </w:rPr>
  </w:style>
  <w:style w:type="character" w:styleId="Strong">
    <w:name w:val="Strong"/>
    <w:basedOn w:val="DefaultParagraphFont"/>
    <w:uiPriority w:val="22"/>
    <w:rsid w:val="00192B39"/>
    <w:rPr>
      <w:b/>
      <w:bCs/>
    </w:rPr>
  </w:style>
  <w:style w:type="character" w:styleId="UnresolvedMention">
    <w:name w:val="Unresolved Mention"/>
    <w:basedOn w:val="DefaultParagraphFont"/>
    <w:uiPriority w:val="99"/>
    <w:rsid w:val="000D36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01608">
      <w:bodyDiv w:val="1"/>
      <w:marLeft w:val="0"/>
      <w:marRight w:val="0"/>
      <w:marTop w:val="0"/>
      <w:marBottom w:val="0"/>
      <w:divBdr>
        <w:top w:val="none" w:sz="0" w:space="0" w:color="auto"/>
        <w:left w:val="none" w:sz="0" w:space="0" w:color="auto"/>
        <w:bottom w:val="none" w:sz="0" w:space="0" w:color="auto"/>
        <w:right w:val="none" w:sz="0" w:space="0" w:color="auto"/>
      </w:divBdr>
      <w:divsChild>
        <w:div w:id="401411610">
          <w:marLeft w:val="0"/>
          <w:marRight w:val="0"/>
          <w:marTop w:val="0"/>
          <w:marBottom w:val="0"/>
          <w:divBdr>
            <w:top w:val="none" w:sz="0" w:space="0" w:color="auto"/>
            <w:left w:val="none" w:sz="0" w:space="0" w:color="auto"/>
            <w:bottom w:val="none" w:sz="0" w:space="0" w:color="auto"/>
            <w:right w:val="none" w:sz="0" w:space="0" w:color="auto"/>
          </w:divBdr>
          <w:divsChild>
            <w:div w:id="526917194">
              <w:marLeft w:val="0"/>
              <w:marRight w:val="0"/>
              <w:marTop w:val="0"/>
              <w:marBottom w:val="0"/>
              <w:divBdr>
                <w:top w:val="none" w:sz="0" w:space="0" w:color="auto"/>
                <w:left w:val="none" w:sz="0" w:space="0" w:color="auto"/>
                <w:bottom w:val="none" w:sz="0" w:space="0" w:color="auto"/>
                <w:right w:val="none" w:sz="0" w:space="0" w:color="auto"/>
              </w:divBdr>
              <w:divsChild>
                <w:div w:id="16116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005655">
      <w:bodyDiv w:val="1"/>
      <w:marLeft w:val="0"/>
      <w:marRight w:val="0"/>
      <w:marTop w:val="0"/>
      <w:marBottom w:val="0"/>
      <w:divBdr>
        <w:top w:val="none" w:sz="0" w:space="0" w:color="auto"/>
        <w:left w:val="none" w:sz="0" w:space="0" w:color="auto"/>
        <w:bottom w:val="none" w:sz="0" w:space="0" w:color="auto"/>
        <w:right w:val="none" w:sz="0" w:space="0" w:color="auto"/>
      </w:divBdr>
      <w:divsChild>
        <w:div w:id="1337727482">
          <w:marLeft w:val="0"/>
          <w:marRight w:val="0"/>
          <w:marTop w:val="0"/>
          <w:marBottom w:val="0"/>
          <w:divBdr>
            <w:top w:val="none" w:sz="0" w:space="0" w:color="auto"/>
            <w:left w:val="none" w:sz="0" w:space="0" w:color="auto"/>
            <w:bottom w:val="none" w:sz="0" w:space="0" w:color="auto"/>
            <w:right w:val="none" w:sz="0" w:space="0" w:color="auto"/>
          </w:divBdr>
          <w:divsChild>
            <w:div w:id="1846242360">
              <w:marLeft w:val="0"/>
              <w:marRight w:val="0"/>
              <w:marTop w:val="0"/>
              <w:marBottom w:val="0"/>
              <w:divBdr>
                <w:top w:val="none" w:sz="0" w:space="0" w:color="auto"/>
                <w:left w:val="none" w:sz="0" w:space="0" w:color="auto"/>
                <w:bottom w:val="none" w:sz="0" w:space="0" w:color="auto"/>
                <w:right w:val="none" w:sz="0" w:space="0" w:color="auto"/>
              </w:divBdr>
              <w:divsChild>
                <w:div w:id="174765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681530">
      <w:bodyDiv w:val="1"/>
      <w:marLeft w:val="0"/>
      <w:marRight w:val="0"/>
      <w:marTop w:val="0"/>
      <w:marBottom w:val="0"/>
      <w:divBdr>
        <w:top w:val="none" w:sz="0" w:space="0" w:color="auto"/>
        <w:left w:val="none" w:sz="0" w:space="0" w:color="auto"/>
        <w:bottom w:val="none" w:sz="0" w:space="0" w:color="auto"/>
        <w:right w:val="none" w:sz="0" w:space="0" w:color="auto"/>
      </w:divBdr>
      <w:divsChild>
        <w:div w:id="915896106">
          <w:marLeft w:val="0"/>
          <w:marRight w:val="0"/>
          <w:marTop w:val="0"/>
          <w:marBottom w:val="0"/>
          <w:divBdr>
            <w:top w:val="none" w:sz="0" w:space="0" w:color="auto"/>
            <w:left w:val="none" w:sz="0" w:space="0" w:color="auto"/>
            <w:bottom w:val="none" w:sz="0" w:space="0" w:color="auto"/>
            <w:right w:val="none" w:sz="0" w:space="0" w:color="auto"/>
          </w:divBdr>
          <w:divsChild>
            <w:div w:id="1066803350">
              <w:marLeft w:val="0"/>
              <w:marRight w:val="0"/>
              <w:marTop w:val="0"/>
              <w:marBottom w:val="0"/>
              <w:divBdr>
                <w:top w:val="none" w:sz="0" w:space="0" w:color="auto"/>
                <w:left w:val="none" w:sz="0" w:space="0" w:color="auto"/>
                <w:bottom w:val="none" w:sz="0" w:space="0" w:color="auto"/>
                <w:right w:val="none" w:sz="0" w:space="0" w:color="auto"/>
              </w:divBdr>
              <w:divsChild>
                <w:div w:id="176922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http://www.gla.ac.uk/visualidentity/downloads/files/School%20of%20Law/BMP/Law_mono.bmp" TargetMode="Externa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2B5D7-4B25-1A4E-BFEB-F015927BA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1328</Words>
  <Characters>7840</Characters>
  <Application>Microsoft Office Word</Application>
  <DocSecurity>0</DocSecurity>
  <Lines>137</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Finlay</dc:creator>
  <cp:keywords/>
  <dc:description/>
  <cp:lastModifiedBy>Tianshi Li (student)</cp:lastModifiedBy>
  <cp:revision>4</cp:revision>
  <dcterms:created xsi:type="dcterms:W3CDTF">2026-02-28T12:23:00Z</dcterms:created>
  <dcterms:modified xsi:type="dcterms:W3CDTF">2026-02-28T12:29:00Z</dcterms:modified>
</cp:coreProperties>
</file>