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B82" w14:textId="42CFA590" w:rsidR="002F4817" w:rsidRPr="00C446AD" w:rsidRDefault="00762330" w:rsidP="002F4817">
      <w:pPr>
        <w:ind w:left="360"/>
        <w:jc w:val="center"/>
        <w:rPr>
          <w:rFonts w:ascii="Garamond" w:hAnsi="Garamond" w:cs="Arial"/>
          <w:b/>
          <w:lang w:val="en-GB"/>
        </w:rPr>
      </w:pPr>
      <w:r w:rsidRPr="00C446AD">
        <w:rPr>
          <w:rFonts w:ascii="Garamond" w:hAnsi="Garamond" w:cs="Arial"/>
          <w:b/>
          <w:lang w:val="en-GB"/>
        </w:rPr>
        <w:t xml:space="preserve">Seminar </w:t>
      </w:r>
      <w:r w:rsidR="00C446AD" w:rsidRPr="00C446AD">
        <w:rPr>
          <w:rFonts w:ascii="Garamond" w:hAnsi="Garamond" w:cs="Arial"/>
          <w:b/>
          <w:lang w:val="en-GB"/>
        </w:rPr>
        <w:t>10</w:t>
      </w:r>
      <w:r w:rsidR="002F4817" w:rsidRPr="00C446AD">
        <w:rPr>
          <w:rFonts w:ascii="Garamond" w:hAnsi="Garamond" w:cs="Arial"/>
          <w:b/>
          <w:lang w:val="en-GB"/>
        </w:rPr>
        <w:t xml:space="preserve"> – Current challenges</w:t>
      </w:r>
      <w:r w:rsidR="004676C7">
        <w:rPr>
          <w:rFonts w:ascii="Garamond" w:hAnsi="Garamond" w:cs="Arial"/>
          <w:b/>
          <w:lang w:val="en-GB"/>
        </w:rPr>
        <w:t>:</w:t>
      </w:r>
      <w:r w:rsidR="00C446AD" w:rsidRPr="00C446AD">
        <w:rPr>
          <w:rFonts w:ascii="Garamond" w:hAnsi="Garamond" w:cs="Arial"/>
          <w:b/>
          <w:lang w:val="en-GB"/>
        </w:rPr>
        <w:t xml:space="preserve"> </w:t>
      </w:r>
    </w:p>
    <w:p w14:paraId="32398CD4" w14:textId="77777777" w:rsidR="002F4817" w:rsidRPr="00C446AD" w:rsidRDefault="002F4817" w:rsidP="002F4817">
      <w:pPr>
        <w:ind w:left="360"/>
        <w:jc w:val="center"/>
        <w:rPr>
          <w:rFonts w:ascii="Garamond" w:hAnsi="Garamond" w:cs="Arial"/>
          <w:b/>
          <w:lang w:val="en-GB"/>
        </w:rPr>
      </w:pPr>
      <w:r w:rsidRPr="00C446AD">
        <w:rPr>
          <w:rFonts w:ascii="Garamond" w:hAnsi="Garamond" w:cs="Arial"/>
          <w:b/>
          <w:lang w:val="en-GB"/>
        </w:rPr>
        <w:t>Consistency in investment arbitration</w:t>
      </w:r>
    </w:p>
    <w:p w14:paraId="64DC6B91" w14:textId="77777777" w:rsidR="002F4817" w:rsidRPr="00C446AD" w:rsidRDefault="002F4817" w:rsidP="002F4817">
      <w:pPr>
        <w:rPr>
          <w:rFonts w:ascii="Garamond" w:hAnsi="Garamond" w:cs="Arial"/>
          <w:b/>
          <w:highlight w:val="yellow"/>
          <w:lang w:val="en-GB"/>
        </w:rPr>
      </w:pPr>
    </w:p>
    <w:p w14:paraId="77178F9C" w14:textId="77777777" w:rsidR="002F4817" w:rsidRPr="00C446AD" w:rsidRDefault="002F4817" w:rsidP="002F4817">
      <w:pPr>
        <w:rPr>
          <w:rFonts w:ascii="Garamond" w:hAnsi="Garamond" w:cs="Arial"/>
          <w:b/>
          <w:highlight w:val="yellow"/>
          <w:lang w:val="en-GB"/>
        </w:rPr>
      </w:pPr>
    </w:p>
    <w:p w14:paraId="5DED5020" w14:textId="77777777" w:rsidR="002F4817" w:rsidRDefault="002F4817" w:rsidP="002F4817">
      <w:pPr>
        <w:pStyle w:val="BodyTextIndent"/>
        <w:jc w:val="left"/>
        <w:rPr>
          <w:rFonts w:ascii="Garamond" w:hAnsi="Garamond" w:cs="Arial"/>
          <w:b/>
        </w:rPr>
      </w:pPr>
      <w:r w:rsidRPr="00C446AD">
        <w:rPr>
          <w:rFonts w:ascii="Garamond" w:hAnsi="Garamond" w:cs="Arial"/>
          <w:b/>
        </w:rPr>
        <w:t>I. REQUIRED READING</w:t>
      </w:r>
    </w:p>
    <w:p w14:paraId="6BADB186" w14:textId="77777777" w:rsidR="00C446AD" w:rsidRDefault="00C446AD" w:rsidP="002F4817">
      <w:pPr>
        <w:pStyle w:val="BodyTextIndent"/>
        <w:jc w:val="left"/>
        <w:rPr>
          <w:rFonts w:ascii="Garamond" w:hAnsi="Garamond" w:cs="Arial"/>
          <w:b/>
        </w:rPr>
      </w:pPr>
    </w:p>
    <w:p w14:paraId="329D60E1" w14:textId="77777777" w:rsidR="00C446AD" w:rsidRDefault="00C446AD" w:rsidP="002F4817">
      <w:pPr>
        <w:pStyle w:val="BodyTextIndent"/>
        <w:jc w:val="left"/>
        <w:rPr>
          <w:rFonts w:ascii="Garamond" w:hAnsi="Garamond" w:cs="Arial"/>
          <w:b/>
        </w:rPr>
      </w:pPr>
    </w:p>
    <w:p w14:paraId="623822E6" w14:textId="6FD16150" w:rsidR="00C446AD" w:rsidRPr="004676C7" w:rsidRDefault="00C446AD" w:rsidP="00C446AD">
      <w:pPr>
        <w:pStyle w:val="BodyTextIndent"/>
        <w:numPr>
          <w:ilvl w:val="0"/>
          <w:numId w:val="3"/>
        </w:numPr>
        <w:rPr>
          <w:rStyle w:val="Hyperlink"/>
          <w:rFonts w:ascii="Garamond" w:hAnsi="Garamond" w:cs="Arial"/>
          <w:bCs/>
        </w:rPr>
      </w:pPr>
      <w:r w:rsidRPr="00C446AD">
        <w:rPr>
          <w:rFonts w:ascii="Garamond" w:hAnsi="Garamond" w:cs="Arial"/>
          <w:bCs/>
        </w:rPr>
        <w:t>UNCITRAL, ‘</w:t>
      </w:r>
      <w:r w:rsidRPr="004676C7">
        <w:rPr>
          <w:rFonts w:ascii="Garamond" w:hAnsi="Garamond" w:cs="Arial"/>
          <w:bCs/>
        </w:rPr>
        <w:fldChar w:fldCharType="begin"/>
      </w:r>
      <w:r w:rsidRPr="004676C7">
        <w:rPr>
          <w:rFonts w:ascii="Garamond" w:hAnsi="Garamond" w:cs="Arial"/>
          <w:bCs/>
        </w:rPr>
        <w:instrText>HYPERLINK "https://docs.un.org/en/A/CN.9/WG.III/WP.150"</w:instrText>
      </w:r>
      <w:r w:rsidRPr="004676C7">
        <w:rPr>
          <w:rFonts w:ascii="Garamond" w:hAnsi="Garamond" w:cs="Arial"/>
          <w:bCs/>
        </w:rPr>
      </w:r>
      <w:r w:rsidRPr="004676C7">
        <w:rPr>
          <w:rFonts w:ascii="Garamond" w:hAnsi="Garamond" w:cs="Arial"/>
          <w:bCs/>
        </w:rPr>
        <w:fldChar w:fldCharType="separate"/>
      </w:r>
      <w:r w:rsidRPr="004676C7">
        <w:rPr>
          <w:rStyle w:val="Hyperlink"/>
          <w:rFonts w:ascii="Garamond" w:hAnsi="Garamond" w:cs="Arial"/>
          <w:bCs/>
        </w:rPr>
        <w:t>Possible reform of investor-State dispute settlement (ISDS):</w:t>
      </w:r>
    </w:p>
    <w:p w14:paraId="569E60B7" w14:textId="77777777" w:rsidR="004676C7" w:rsidRPr="004676C7" w:rsidRDefault="00C446AD" w:rsidP="004676C7">
      <w:pPr>
        <w:pStyle w:val="BodyTextIndent"/>
        <w:ind w:left="720" w:firstLine="0"/>
        <w:rPr>
          <w:rFonts w:ascii="Garamond" w:hAnsi="Garamond" w:cs="Arial"/>
          <w:bCs/>
        </w:rPr>
      </w:pPr>
      <w:r w:rsidRPr="00C446AD">
        <w:rPr>
          <w:rStyle w:val="Hyperlink"/>
          <w:rFonts w:ascii="Garamond" w:hAnsi="Garamond" w:cs="Arial"/>
          <w:bCs/>
        </w:rPr>
        <w:t>Consistency and related matters</w:t>
      </w:r>
      <w:r w:rsidRPr="004676C7">
        <w:rPr>
          <w:rFonts w:ascii="Garamond" w:hAnsi="Garamond" w:cs="Arial"/>
          <w:bCs/>
        </w:rPr>
        <w:fldChar w:fldCharType="end"/>
      </w:r>
      <w:r w:rsidRPr="004676C7">
        <w:rPr>
          <w:rFonts w:ascii="Garamond" w:hAnsi="Garamond" w:cs="Arial"/>
          <w:bCs/>
        </w:rPr>
        <w:t>’, Note by the Secretariat, 28 August 2018.</w:t>
      </w:r>
    </w:p>
    <w:p w14:paraId="07092282" w14:textId="1E16B165" w:rsidR="005B6D97" w:rsidRPr="004676C7" w:rsidRDefault="005B6D97" w:rsidP="004676C7">
      <w:pPr>
        <w:pStyle w:val="BodyTextIndent"/>
        <w:numPr>
          <w:ilvl w:val="0"/>
          <w:numId w:val="3"/>
        </w:numPr>
        <w:rPr>
          <w:rFonts w:ascii="Garamond" w:hAnsi="Garamond" w:cs="Arial"/>
          <w:bCs/>
        </w:rPr>
      </w:pPr>
      <w:r w:rsidRPr="004676C7">
        <w:rPr>
          <w:rFonts w:ascii="Garamond" w:hAnsi="Garamond"/>
        </w:rPr>
        <w:t xml:space="preserve">Jones, Investor-State Arbitration: The Problem of Inconsistency and Conflicting Awards (2011), </w:t>
      </w:r>
      <w:r w:rsidRPr="004676C7">
        <w:rPr>
          <w:rFonts w:ascii="Garamond" w:hAnsi="Garamond"/>
          <w:highlight w:val="yellow"/>
        </w:rPr>
        <w:t>uploaded to Moodle.</w:t>
      </w:r>
    </w:p>
    <w:p w14:paraId="00559EBB" w14:textId="77777777" w:rsidR="002F4817" w:rsidRPr="00C446AD" w:rsidRDefault="002F4817" w:rsidP="005B6D97">
      <w:pPr>
        <w:pStyle w:val="BodyTextIndent"/>
        <w:ind w:left="0" w:firstLine="0"/>
        <w:jc w:val="left"/>
        <w:rPr>
          <w:rFonts w:ascii="Garamond" w:hAnsi="Garamond" w:cs="Arial"/>
          <w:highlight w:val="yellow"/>
        </w:rPr>
      </w:pPr>
    </w:p>
    <w:p w14:paraId="6FB72853" w14:textId="77777777" w:rsidR="002F4817" w:rsidRPr="00C446AD" w:rsidRDefault="002F4817" w:rsidP="002F4817">
      <w:pPr>
        <w:pStyle w:val="BodyTextIndent"/>
        <w:jc w:val="left"/>
        <w:rPr>
          <w:rFonts w:ascii="Garamond" w:hAnsi="Garamond" w:cs="Arial"/>
          <w:b/>
        </w:rPr>
      </w:pPr>
      <w:r w:rsidRPr="00C446AD">
        <w:rPr>
          <w:rFonts w:ascii="Garamond" w:hAnsi="Garamond" w:cs="Arial"/>
          <w:b/>
        </w:rPr>
        <w:t>II. RECOMMENDED READING</w:t>
      </w:r>
    </w:p>
    <w:p w14:paraId="6092E16D" w14:textId="016C8533" w:rsidR="002F4817" w:rsidRPr="00C446AD" w:rsidRDefault="002F4817" w:rsidP="006F7873">
      <w:pPr>
        <w:pStyle w:val="BodyTextIndent"/>
        <w:ind w:left="720" w:firstLine="0"/>
        <w:jc w:val="left"/>
        <w:rPr>
          <w:rFonts w:ascii="Garamond" w:hAnsi="Garamond" w:cs="Arial"/>
        </w:rPr>
      </w:pPr>
    </w:p>
    <w:p w14:paraId="1D20CA86" w14:textId="77777777" w:rsidR="00C446AD" w:rsidRPr="00C446AD" w:rsidRDefault="00C446AD" w:rsidP="00C446A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/>
        <w:rPr>
          <w:sz w:val="24"/>
          <w:szCs w:val="24"/>
          <w:lang w:val="en-GB"/>
        </w:rPr>
      </w:pPr>
      <w:r w:rsidRPr="00C446AD">
        <w:rPr>
          <w:rFonts w:eastAsia="MS Mincho" w:cs="Arial"/>
          <w:bCs/>
          <w:sz w:val="24"/>
          <w:szCs w:val="24"/>
          <w:lang w:val="en-GB"/>
        </w:rPr>
        <w:t xml:space="preserve">Kohler-Kauffmann, Is Consistency a Myth?, at </w:t>
      </w:r>
      <w:hyperlink r:id="rId5" w:history="1">
        <w:r w:rsidRPr="00C446AD">
          <w:rPr>
            <w:rStyle w:val="Hyperlink"/>
            <w:rFonts w:eastAsia="MS Mincho" w:cs="Arial"/>
            <w:bCs/>
            <w:sz w:val="24"/>
            <w:szCs w:val="24"/>
            <w:lang w:val="en-GB"/>
          </w:rPr>
          <w:t>http://www.arbitration-icca.o</w:t>
        </w:r>
        <w:r w:rsidRPr="00C446AD">
          <w:rPr>
            <w:rStyle w:val="Hyperlink"/>
            <w:rFonts w:eastAsia="MS Mincho" w:cs="Arial"/>
            <w:bCs/>
            <w:sz w:val="24"/>
            <w:szCs w:val="24"/>
            <w:lang w:val="en-GB"/>
          </w:rPr>
          <w:t>r</w:t>
        </w:r>
        <w:r w:rsidRPr="00C446AD">
          <w:rPr>
            <w:rStyle w:val="Hyperlink"/>
            <w:rFonts w:eastAsia="MS Mincho" w:cs="Arial"/>
            <w:bCs/>
            <w:sz w:val="24"/>
            <w:szCs w:val="24"/>
            <w:lang w:val="en-GB"/>
          </w:rPr>
          <w:t>g/media/4/92392722703895/media01231914136072000950062.pdf</w:t>
        </w:r>
      </w:hyperlink>
    </w:p>
    <w:p w14:paraId="601BBEE5" w14:textId="47DB5116" w:rsidR="00C446AD" w:rsidRPr="00C446AD" w:rsidRDefault="002F4817" w:rsidP="00C446A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/>
        <w:rPr>
          <w:sz w:val="24"/>
          <w:szCs w:val="24"/>
          <w:lang w:val="en-GB"/>
        </w:rPr>
      </w:pPr>
      <w:proofErr w:type="spellStart"/>
      <w:r w:rsidRPr="00C446AD">
        <w:rPr>
          <w:rFonts w:cs="Arial"/>
        </w:rPr>
        <w:t>Schreuer</w:t>
      </w:r>
      <w:proofErr w:type="spellEnd"/>
      <w:r w:rsidRPr="00C446AD">
        <w:rPr>
          <w:rFonts w:cs="Arial"/>
        </w:rPr>
        <w:t xml:space="preserve">, Coherence and Consistency in International Investment Law, </w:t>
      </w:r>
      <w:r w:rsidRPr="00C446AD">
        <w:rPr>
          <w:rFonts w:eastAsia="MS Mincho" w:cs="Arial"/>
          <w:bCs/>
        </w:rPr>
        <w:t xml:space="preserve">in </w:t>
      </w:r>
      <w:hyperlink r:id="rId6" w:history="1">
        <w:r w:rsidRPr="00C446AD">
          <w:rPr>
            <w:rStyle w:val="Hyperlink"/>
            <w:bdr w:val="none" w:sz="0" w:space="0" w:color="auto" w:frame="1"/>
            <w:shd w:val="clear" w:color="auto" w:fill="FFFFFF"/>
          </w:rPr>
          <w:t>Prospects in International Investme</w:t>
        </w:r>
        <w:r w:rsidRPr="00C446AD">
          <w:rPr>
            <w:rStyle w:val="Hyperlink"/>
            <w:bdr w:val="none" w:sz="0" w:space="0" w:color="auto" w:frame="1"/>
            <w:shd w:val="clear" w:color="auto" w:fill="FFFFFF"/>
          </w:rPr>
          <w:t>n</w:t>
        </w:r>
        <w:r w:rsidRPr="00C446AD">
          <w:rPr>
            <w:rStyle w:val="Hyperlink"/>
            <w:bdr w:val="none" w:sz="0" w:space="0" w:color="auto" w:frame="1"/>
            <w:shd w:val="clear" w:color="auto" w:fill="FFFFFF"/>
          </w:rPr>
          <w:t>t Law</w:t>
        </w:r>
        <w:r w:rsidRPr="00C446AD">
          <w:rPr>
            <w:rStyle w:val="Hyperlink"/>
            <w:shd w:val="clear" w:color="auto" w:fill="FFFFFF"/>
          </w:rPr>
          <w:t> and </w:t>
        </w:r>
        <w:r w:rsidRPr="00C446AD">
          <w:rPr>
            <w:rStyle w:val="Hyperlink"/>
            <w:bdr w:val="none" w:sz="0" w:space="0" w:color="auto" w:frame="1"/>
            <w:shd w:val="clear" w:color="auto" w:fill="FFFFFF"/>
          </w:rPr>
          <w:t>Policy</w:t>
        </w:r>
      </w:hyperlink>
      <w:r w:rsidRPr="00C446AD">
        <w:rPr>
          <w:color w:val="003C69"/>
          <w:bdr w:val="none" w:sz="0" w:space="0" w:color="auto" w:frame="1"/>
          <w:shd w:val="clear" w:color="auto" w:fill="FFFFFF"/>
        </w:rPr>
        <w:t xml:space="preserve"> (Echandi and Sauvé), 391</w:t>
      </w:r>
    </w:p>
    <w:p w14:paraId="561B28E4" w14:textId="77777777" w:rsidR="00C446AD" w:rsidRPr="00C446AD" w:rsidRDefault="00762330" w:rsidP="00C446A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/>
        <w:rPr>
          <w:sz w:val="24"/>
          <w:szCs w:val="24"/>
          <w:lang w:val="en-GB"/>
        </w:rPr>
      </w:pPr>
      <w:r w:rsidRPr="00C446AD">
        <w:rPr>
          <w:rFonts w:cs="Arial"/>
        </w:rPr>
        <w:t xml:space="preserve">Tams, An Appealing Option? The Debate about an ICSID Appellate Structure (at </w:t>
      </w:r>
      <w:hyperlink r:id="rId7" w:history="1">
        <w:r w:rsidRPr="00C446AD">
          <w:rPr>
            <w:rStyle w:val="Hyperlink"/>
            <w:rFonts w:cs="Arial"/>
          </w:rPr>
          <w:t>http://telc.jura.uni-halle.de/sites/default/files</w:t>
        </w:r>
        <w:r w:rsidRPr="00C446AD">
          <w:rPr>
            <w:rStyle w:val="Hyperlink"/>
            <w:rFonts w:cs="Arial"/>
          </w:rPr>
          <w:t>/</w:t>
        </w:r>
        <w:r w:rsidRPr="00C446AD">
          <w:rPr>
            <w:rStyle w:val="Hyperlink"/>
            <w:rFonts w:cs="Arial"/>
          </w:rPr>
          <w:t>altbestand/Heft57.pdf</w:t>
        </w:r>
      </w:hyperlink>
      <w:r w:rsidRPr="00C446AD">
        <w:rPr>
          <w:rFonts w:cs="Arial"/>
        </w:rPr>
        <w:t>)</w:t>
      </w:r>
    </w:p>
    <w:p w14:paraId="2151E34E" w14:textId="4FC92757" w:rsidR="00C446AD" w:rsidRPr="00C446AD" w:rsidRDefault="002F4817" w:rsidP="00C446A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/>
        <w:rPr>
          <w:sz w:val="24"/>
          <w:szCs w:val="24"/>
          <w:lang w:val="en-GB"/>
        </w:rPr>
      </w:pPr>
      <w:r w:rsidRPr="00C446AD">
        <w:rPr>
          <w:rFonts w:cs="Arial"/>
        </w:rPr>
        <w:t xml:space="preserve">Schulz, Against </w:t>
      </w:r>
      <w:r w:rsidRPr="00C446AD">
        <w:rPr>
          <w:rFonts w:eastAsia="MS Mincho" w:cs="Times"/>
        </w:rPr>
        <w:t xml:space="preserve">Consistency in Investment Arbitration, in </w:t>
      </w:r>
      <w:r w:rsidRPr="00C446AD">
        <w:rPr>
          <w:rFonts w:eastAsia="MS Mincho" w:cs="Times"/>
          <w:i/>
          <w:iCs/>
        </w:rPr>
        <w:t xml:space="preserve">The Foundations of International Investment Law </w:t>
      </w:r>
      <w:r w:rsidRPr="00C446AD">
        <w:rPr>
          <w:rFonts w:eastAsia="MS Mincho" w:cs="Times"/>
          <w:iCs/>
        </w:rPr>
        <w:t>(</w:t>
      </w:r>
      <w:r w:rsidRPr="00C446AD">
        <w:rPr>
          <w:color w:val="003C69"/>
          <w:bdr w:val="none" w:sz="0" w:space="0" w:color="auto" w:frame="1"/>
          <w:shd w:val="clear" w:color="auto" w:fill="FFFFFF"/>
        </w:rPr>
        <w:t xml:space="preserve">E-book in Library, copy </w:t>
      </w:r>
      <w:r w:rsidRPr="00C446AD">
        <w:rPr>
          <w:rFonts w:eastAsia="MS Mincho" w:cs="Times"/>
          <w:iCs/>
        </w:rPr>
        <w:t xml:space="preserve">available </w:t>
      </w:r>
      <w:hyperlink r:id="rId8" w:history="1">
        <w:r w:rsidRPr="00C446AD">
          <w:rPr>
            <w:rStyle w:val="Hyperlink"/>
            <w:rFonts w:eastAsia="MS Mincho" w:cs="Times"/>
            <w:iCs/>
          </w:rPr>
          <w:t>h</w:t>
        </w:r>
        <w:r w:rsidRPr="00C446AD">
          <w:rPr>
            <w:rStyle w:val="Hyperlink"/>
            <w:rFonts w:eastAsia="MS Mincho" w:cs="Times"/>
            <w:iCs/>
          </w:rPr>
          <w:t>e</w:t>
        </w:r>
        <w:r w:rsidRPr="00C446AD">
          <w:rPr>
            <w:rStyle w:val="Hyperlink"/>
            <w:rFonts w:eastAsia="MS Mincho" w:cs="Times"/>
            <w:iCs/>
          </w:rPr>
          <w:t>re</w:t>
        </w:r>
      </w:hyperlink>
      <w:r w:rsidRPr="00C446AD">
        <w:rPr>
          <w:rFonts w:eastAsia="MS Mincho" w:cs="Times"/>
          <w:iCs/>
        </w:rPr>
        <w:t>)</w:t>
      </w:r>
    </w:p>
    <w:p w14:paraId="33F2243B" w14:textId="4EA8159C" w:rsidR="002F4817" w:rsidRPr="00C446AD" w:rsidRDefault="002F4817" w:rsidP="00C446A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/>
        <w:rPr>
          <w:sz w:val="24"/>
          <w:szCs w:val="24"/>
          <w:lang w:val="en-GB"/>
        </w:rPr>
      </w:pPr>
      <w:r w:rsidRPr="00C446AD">
        <w:rPr>
          <w:rFonts w:cs="Arial"/>
        </w:rPr>
        <w:t xml:space="preserve">Franck, The Legitimacy Crisis in Investment Treaty Arbitration, 73 Fordham Law Review (2005), 1521, at 1545-1625 (also available </w:t>
      </w:r>
      <w:hyperlink r:id="rId9" w:history="1">
        <w:r w:rsidRPr="00C446AD">
          <w:rPr>
            <w:rStyle w:val="Hyperlink"/>
            <w:rFonts w:cs="Arial"/>
          </w:rPr>
          <w:t>her</w:t>
        </w:r>
        <w:r w:rsidRPr="00C446AD">
          <w:rPr>
            <w:rStyle w:val="Hyperlink"/>
            <w:rFonts w:cs="Arial"/>
          </w:rPr>
          <w:t>e</w:t>
        </w:r>
      </w:hyperlink>
      <w:r w:rsidRPr="00C446AD">
        <w:rPr>
          <w:rStyle w:val="Hyperlink"/>
          <w:rFonts w:cs="Arial"/>
        </w:rPr>
        <w:t>)</w:t>
      </w:r>
    </w:p>
    <w:p w14:paraId="6B64B649" w14:textId="77777777" w:rsidR="002F4817" w:rsidRPr="00C446AD" w:rsidRDefault="002F4817" w:rsidP="002F4817">
      <w:pPr>
        <w:pStyle w:val="BodyTextIndent"/>
        <w:ind w:left="0" w:firstLine="0"/>
        <w:jc w:val="left"/>
        <w:rPr>
          <w:rFonts w:ascii="Garamond" w:hAnsi="Garamond" w:cs="Arial"/>
          <w:highlight w:val="yellow"/>
        </w:rPr>
      </w:pPr>
    </w:p>
    <w:p w14:paraId="11B1F9F8" w14:textId="77777777" w:rsidR="002F4817" w:rsidRPr="00C446AD" w:rsidRDefault="002F4817" w:rsidP="002F4817">
      <w:pPr>
        <w:pStyle w:val="BodyTextIndent"/>
        <w:jc w:val="left"/>
        <w:rPr>
          <w:rFonts w:ascii="Garamond" w:hAnsi="Garamond" w:cs="Arial"/>
          <w:b/>
        </w:rPr>
      </w:pPr>
      <w:r w:rsidRPr="00C446AD">
        <w:rPr>
          <w:rFonts w:ascii="Garamond" w:hAnsi="Garamond" w:cs="Arial"/>
          <w:b/>
        </w:rPr>
        <w:t>III. DISCUSSION PROMPTS</w:t>
      </w:r>
    </w:p>
    <w:p w14:paraId="258509F3" w14:textId="77777777" w:rsidR="006F7873" w:rsidRPr="00C446AD" w:rsidRDefault="006F7873" w:rsidP="002F4817">
      <w:pPr>
        <w:pStyle w:val="BodyTextIndent"/>
        <w:jc w:val="left"/>
        <w:rPr>
          <w:rFonts w:ascii="Garamond" w:hAnsi="Garamond" w:cs="Arial"/>
          <w:b/>
        </w:rPr>
      </w:pPr>
    </w:p>
    <w:p w14:paraId="73CF64D9" w14:textId="77777777" w:rsidR="002F4817" w:rsidRPr="00C446AD" w:rsidRDefault="002F4817" w:rsidP="002F4817">
      <w:pPr>
        <w:pStyle w:val="ListParagraph"/>
        <w:numPr>
          <w:ilvl w:val="0"/>
          <w:numId w:val="1"/>
        </w:numPr>
        <w:tabs>
          <w:tab w:val="clear" w:pos="644"/>
          <w:tab w:val="num" w:pos="720"/>
        </w:tabs>
        <w:ind w:left="720"/>
        <w:rPr>
          <w:color w:val="000000"/>
          <w:lang w:val="en-GB"/>
        </w:rPr>
      </w:pPr>
      <w:r w:rsidRPr="00C446AD">
        <w:rPr>
          <w:color w:val="000000"/>
          <w:lang w:val="en-GB"/>
        </w:rPr>
        <w:t>In the light of the above readings, and your recollection/revision of past seminars, identify 5 questions of interpretation on which investment tribunals have rendered inconsistent decisions.</w:t>
      </w:r>
    </w:p>
    <w:p w14:paraId="765CDD27" w14:textId="0FFA43D4" w:rsidR="002F4817" w:rsidRPr="00C446AD" w:rsidRDefault="002F4817" w:rsidP="002F4817">
      <w:pPr>
        <w:pStyle w:val="ListParagraph"/>
        <w:numPr>
          <w:ilvl w:val="0"/>
          <w:numId w:val="1"/>
        </w:numPr>
        <w:tabs>
          <w:tab w:val="clear" w:pos="644"/>
          <w:tab w:val="num" w:pos="720"/>
        </w:tabs>
        <w:ind w:left="720"/>
        <w:rPr>
          <w:color w:val="000000"/>
          <w:lang w:val="en-GB"/>
        </w:rPr>
      </w:pPr>
      <w:r w:rsidRPr="00C446AD">
        <w:rPr>
          <w:color w:val="000000"/>
          <w:lang w:val="en-GB"/>
        </w:rPr>
        <w:t xml:space="preserve">Do you agree with </w:t>
      </w:r>
      <w:proofErr w:type="spellStart"/>
      <w:r w:rsidRPr="00C446AD">
        <w:rPr>
          <w:color w:val="000000"/>
          <w:lang w:val="en-GB"/>
        </w:rPr>
        <w:t>Schreuer</w:t>
      </w:r>
      <w:r w:rsidR="004676C7">
        <w:rPr>
          <w:color w:val="000000"/>
          <w:lang w:val="en-GB"/>
        </w:rPr>
        <w:t>’</w:t>
      </w:r>
      <w:r w:rsidRPr="00C446AD">
        <w:rPr>
          <w:color w:val="000000"/>
          <w:lang w:val="en-GB"/>
        </w:rPr>
        <w:t>s</w:t>
      </w:r>
      <w:proofErr w:type="spellEnd"/>
      <w:r w:rsidRPr="00C446AD">
        <w:rPr>
          <w:color w:val="000000"/>
          <w:lang w:val="en-GB"/>
        </w:rPr>
        <w:t xml:space="preserve"> statement that </w:t>
      </w:r>
      <w:r w:rsidR="004676C7">
        <w:rPr>
          <w:color w:val="000000"/>
          <w:lang w:val="en-GB"/>
        </w:rPr>
        <w:t>“</w:t>
      </w:r>
      <w:r w:rsidRPr="00C446AD">
        <w:rPr>
          <w:rFonts w:cs="Arial"/>
          <w:lang w:val="en-GB"/>
        </w:rPr>
        <w:t>International investment law suffers from a deficit of coherence and consistency”? If so, does this really result in a “legitimacy crisis” (as Susan Franck suggests)?</w:t>
      </w:r>
    </w:p>
    <w:p w14:paraId="639D18FA" w14:textId="5D1EBCEF" w:rsidR="002F4817" w:rsidRPr="00C446AD" w:rsidRDefault="002F4817" w:rsidP="002F4817">
      <w:pPr>
        <w:pStyle w:val="ListParagraph"/>
        <w:numPr>
          <w:ilvl w:val="0"/>
          <w:numId w:val="1"/>
        </w:numPr>
        <w:tabs>
          <w:tab w:val="clear" w:pos="644"/>
          <w:tab w:val="num" w:pos="720"/>
        </w:tabs>
        <w:ind w:left="720"/>
        <w:rPr>
          <w:color w:val="000000"/>
          <w:lang w:val="en-GB"/>
        </w:rPr>
      </w:pPr>
      <w:r w:rsidRPr="00C446AD">
        <w:rPr>
          <w:color w:val="000000"/>
          <w:lang w:val="en-GB"/>
        </w:rPr>
        <w:t>Do you think that, as regards the interpretation of investment treaty standards, international investment law can be a consistent system - even though it is based on 3000 different treaties? </w:t>
      </w:r>
    </w:p>
    <w:p w14:paraId="1CD419BF" w14:textId="52CEA73B" w:rsidR="002F4817" w:rsidRPr="00C446AD" w:rsidRDefault="002F4817" w:rsidP="002F4817">
      <w:pPr>
        <w:pStyle w:val="ListParagraph"/>
        <w:numPr>
          <w:ilvl w:val="0"/>
          <w:numId w:val="1"/>
        </w:numPr>
        <w:tabs>
          <w:tab w:val="clear" w:pos="644"/>
          <w:tab w:val="num" w:pos="720"/>
        </w:tabs>
        <w:ind w:left="720"/>
        <w:rPr>
          <w:color w:val="000000"/>
          <w:lang w:val="en-GB"/>
        </w:rPr>
      </w:pPr>
      <w:r w:rsidRPr="00C446AD">
        <w:rPr>
          <w:color w:val="000000"/>
          <w:lang w:val="en-GB"/>
        </w:rPr>
        <w:t xml:space="preserve">What could be done to avoid conflicting/ contradictory decisions in investment law? In particular, what would be the advantages of </w:t>
      </w:r>
      <w:r w:rsidR="00C446AD">
        <w:rPr>
          <w:color w:val="000000"/>
          <w:lang w:val="en-GB"/>
        </w:rPr>
        <w:t xml:space="preserve">the reforms currently proposed in the context of UNCITRAL Working Group III? </w:t>
      </w:r>
    </w:p>
    <w:p w14:paraId="0FEC6F95" w14:textId="77777777" w:rsidR="002F4817" w:rsidRPr="00C446AD" w:rsidRDefault="002F4817" w:rsidP="002F4817">
      <w:pPr>
        <w:rPr>
          <w:rFonts w:ascii="Garamond" w:hAnsi="Garamond" w:cs="Arial"/>
          <w:b/>
          <w:lang w:val="en-GB"/>
        </w:rPr>
      </w:pPr>
    </w:p>
    <w:p w14:paraId="7C816DA2" w14:textId="77777777" w:rsidR="00743A31" w:rsidRPr="00C446AD" w:rsidRDefault="00743A31">
      <w:pPr>
        <w:rPr>
          <w:rFonts w:ascii="Garamond" w:hAnsi="Garamond"/>
          <w:lang w:val="en-GB"/>
        </w:rPr>
      </w:pPr>
    </w:p>
    <w:sectPr w:rsidR="00743A31" w:rsidRPr="00C446AD" w:rsidSect="002D5BE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A1B2B"/>
    <w:multiLevelType w:val="hybridMultilevel"/>
    <w:tmpl w:val="3274073C"/>
    <w:lvl w:ilvl="0" w:tplc="52F6157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E76717"/>
    <w:multiLevelType w:val="hybridMultilevel"/>
    <w:tmpl w:val="03BE09CC"/>
    <w:lvl w:ilvl="0" w:tplc="294474DE">
      <w:start w:val="1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Arial" w:eastAsia="Times New Roman" w:hAnsi="Arial" w:cs="Symbol" w:hint="default"/>
        <w:color w:val="auto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FA6480"/>
    <w:multiLevelType w:val="hybridMultilevel"/>
    <w:tmpl w:val="27568BD8"/>
    <w:lvl w:ilvl="0" w:tplc="23E8D328">
      <w:start w:val="1"/>
      <w:numFmt w:val="bullet"/>
      <w:lvlText w:val="-"/>
      <w:lvlJc w:val="left"/>
      <w:pPr>
        <w:ind w:left="720" w:hanging="360"/>
      </w:pPr>
      <w:rPr>
        <w:rFonts w:ascii="Garamond" w:eastAsia="Times New Roman" w:hAnsi="Garamond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557022">
    <w:abstractNumId w:val="1"/>
  </w:num>
  <w:num w:numId="2" w16cid:durableId="1315531239">
    <w:abstractNumId w:val="0"/>
  </w:num>
  <w:num w:numId="3" w16cid:durableId="1524856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17"/>
    <w:rsid w:val="00131E94"/>
    <w:rsid w:val="002D5BEF"/>
    <w:rsid w:val="002F4817"/>
    <w:rsid w:val="004676C7"/>
    <w:rsid w:val="00500E14"/>
    <w:rsid w:val="005B6D97"/>
    <w:rsid w:val="006F7873"/>
    <w:rsid w:val="00743A31"/>
    <w:rsid w:val="00762330"/>
    <w:rsid w:val="00C446AD"/>
    <w:rsid w:val="00D37774"/>
    <w:rsid w:val="00FF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1CB2FC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F4817"/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F4817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2F4817"/>
    <w:pPr>
      <w:ind w:left="540" w:hanging="540"/>
      <w:jc w:val="both"/>
    </w:pPr>
    <w:rPr>
      <w:lang w:val="en-GB" w:eastAsia="it-IT"/>
    </w:rPr>
  </w:style>
  <w:style w:type="character" w:customStyle="1" w:styleId="BodyTextIndentChar">
    <w:name w:val="Body Text Indent Char"/>
    <w:basedOn w:val="DefaultParagraphFont"/>
    <w:link w:val="BodyTextIndent"/>
    <w:rsid w:val="002F4817"/>
    <w:rPr>
      <w:rFonts w:ascii="Times New Roman" w:eastAsia="Times New Roman" w:hAnsi="Times New Roman" w:cs="Times New Roman"/>
      <w:lang w:val="en-GB" w:eastAsia="it-IT"/>
    </w:rPr>
  </w:style>
  <w:style w:type="paragraph" w:styleId="ListParagraph">
    <w:name w:val="List Paragraph"/>
    <w:basedOn w:val="Normal"/>
    <w:uiPriority w:val="34"/>
    <w:qFormat/>
    <w:rsid w:val="002F4817"/>
    <w:pPr>
      <w:ind w:left="720"/>
      <w:contextualSpacing/>
    </w:pPr>
    <w:rPr>
      <w:rFonts w:ascii="Garamond" w:hAnsi="Garamond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F481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C446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33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apers.ssrn.com/sol3/papers.cfm?abstract_id=2318358&amp;download=ye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telc.jura.uni-halle.de/sites/default/files/altbestand/Heft57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ncore.lib.gla.ac.uk/iii/encore/record/C__Rb2977959__SProspects%20in%20International%20Investment%20Law%20and%20Policy__Orightresult__X5;jsessionid=E07A14C57FE282499133B23D65205BF4?lang=eng&amp;suite=cobal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arbitration-icca.org/media/4/92392722703895/media01231914136072000950062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ir.lawnet.fordham.edu/cgi/viewcontent.cgi?article=4062&amp;context=fl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411</Words>
  <Characters>2171</Characters>
  <Application>Microsoft Office Word</Application>
  <DocSecurity>0</DocSecurity>
  <Lines>31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Glasgow</Company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J Tams</dc:creator>
  <cp:keywords/>
  <dc:description/>
  <cp:lastModifiedBy>James Devaney</cp:lastModifiedBy>
  <cp:revision>4</cp:revision>
  <dcterms:created xsi:type="dcterms:W3CDTF">2025-11-23T17:24:00Z</dcterms:created>
  <dcterms:modified xsi:type="dcterms:W3CDTF">2025-11-23T17:42:00Z</dcterms:modified>
</cp:coreProperties>
</file>