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0741" w14:textId="154CED43" w:rsidR="000D0D7D" w:rsidRDefault="00601F43" w:rsidP="00601F43">
      <w:pPr>
        <w:pStyle w:val="Heading1"/>
      </w:pPr>
      <w:bookmarkStart w:id="0" w:name="_Toc232609411"/>
      <w:bookmarkStart w:id="1" w:name="_Toc233050448"/>
      <w:bookmarkStart w:id="2" w:name="_Toc233403241"/>
      <w:r>
        <w:t>Title Page</w:t>
      </w:r>
      <w:bookmarkEnd w:id="0"/>
      <w:bookmarkEnd w:id="1"/>
      <w:bookmarkEnd w:id="2"/>
    </w:p>
    <w:p w14:paraId="0D943FA8" w14:textId="2B00640C" w:rsidR="00701803" w:rsidRPr="004D1202" w:rsidRDefault="006419E4" w:rsidP="00935FC3">
      <w:pPr>
        <w:tabs>
          <w:tab w:val="left" w:pos="1985"/>
        </w:tabs>
        <w:spacing w:after="400"/>
        <w:ind w:left="1980" w:hanging="1980"/>
        <w:rPr>
          <w:rFonts w:cs="Times New Roman"/>
        </w:rPr>
      </w:pPr>
      <w:r w:rsidRPr="00B40C35">
        <w:rPr>
          <w:b/>
          <w:bCs/>
        </w:rPr>
        <w:t>Title</w:t>
      </w:r>
      <w:r>
        <w:rPr>
          <w:b/>
          <w:bCs/>
        </w:rPr>
        <w:t>:</w:t>
      </w:r>
      <w:r w:rsidR="00FF2E06">
        <w:rPr>
          <w:rFonts w:cs="Times New Roman"/>
        </w:rPr>
        <w:tab/>
      </w:r>
      <w:r w:rsidR="00DE12BD" w:rsidRPr="005A7ADB">
        <w:rPr>
          <w:rFonts w:cs="Times New Roman"/>
        </w:rPr>
        <w:t>Assessment in EU Hate Speech Moderation: Legal Requirements, Implementation, Risks, and Safeguards</w:t>
      </w:r>
    </w:p>
    <w:p w14:paraId="34BD5BE2" w14:textId="5C5EF3FA" w:rsidR="00701803" w:rsidRPr="00701803" w:rsidRDefault="006419E4" w:rsidP="00935FC3">
      <w:pPr>
        <w:tabs>
          <w:tab w:val="left" w:pos="1985"/>
        </w:tabs>
        <w:spacing w:after="400"/>
      </w:pPr>
      <w:r w:rsidRPr="00B40C35">
        <w:rPr>
          <w:b/>
          <w:bCs/>
        </w:rPr>
        <w:t>Student Number</w:t>
      </w:r>
      <w:r>
        <w:rPr>
          <w:b/>
          <w:bCs/>
        </w:rPr>
        <w:t>:</w:t>
      </w:r>
      <w:r w:rsidR="00DE12BD">
        <w:rPr>
          <w:b/>
          <w:bCs/>
        </w:rPr>
        <w:tab/>
      </w:r>
      <w:r w:rsidR="009A3996">
        <w:t>3103914</w:t>
      </w:r>
    </w:p>
    <w:p w14:paraId="2E591FD2" w14:textId="14F1B6ED" w:rsidR="00701803" w:rsidRPr="00701803" w:rsidRDefault="006419E4" w:rsidP="00935FC3">
      <w:pPr>
        <w:tabs>
          <w:tab w:val="left" w:pos="1985"/>
        </w:tabs>
        <w:spacing w:after="400"/>
        <w:ind w:left="1980" w:hanging="1980"/>
      </w:pPr>
      <w:r w:rsidRPr="00B40C35">
        <w:rPr>
          <w:b/>
          <w:bCs/>
        </w:rPr>
        <w:t>Purpose</w:t>
      </w:r>
      <w:r>
        <w:rPr>
          <w:b/>
          <w:bCs/>
        </w:rPr>
        <w:t>:</w:t>
      </w:r>
      <w:r w:rsidR="00FB7AF5">
        <w:rPr>
          <w:b/>
          <w:bCs/>
        </w:rPr>
        <w:tab/>
      </w:r>
      <w:r w:rsidR="009A3996">
        <w:t>Submitted in Part Fulfilment of the Degree of LLM in the University of Glasgow</w:t>
      </w:r>
    </w:p>
    <w:p w14:paraId="193FE491" w14:textId="71F0CF82" w:rsidR="00BF2B63" w:rsidRDefault="00BF2B63" w:rsidP="00935FC3">
      <w:pPr>
        <w:tabs>
          <w:tab w:val="left" w:pos="1985"/>
        </w:tabs>
        <w:spacing w:after="400"/>
        <w:rPr>
          <w:b/>
          <w:bCs/>
        </w:rPr>
      </w:pPr>
      <w:r>
        <w:rPr>
          <w:b/>
          <w:bCs/>
        </w:rPr>
        <w:t>Word Counts:</w:t>
      </w:r>
      <w:r>
        <w:rPr>
          <w:b/>
          <w:bCs/>
        </w:rPr>
        <w:tab/>
      </w:r>
      <w:r w:rsidRPr="00230C5A">
        <w:t>XXXX</w:t>
      </w:r>
      <w:r w:rsidR="001E030E" w:rsidRPr="00230C5A">
        <w:t>X</w:t>
      </w:r>
    </w:p>
    <w:p w14:paraId="72AF44F4" w14:textId="251E5F6F" w:rsidR="006419E4" w:rsidRPr="00D8492C" w:rsidRDefault="006419E4" w:rsidP="00935FC3">
      <w:pPr>
        <w:tabs>
          <w:tab w:val="left" w:pos="1985"/>
        </w:tabs>
        <w:spacing w:after="400"/>
        <w:rPr>
          <w:u w:val="single"/>
        </w:rPr>
      </w:pPr>
      <w:r w:rsidRPr="00B40C35">
        <w:rPr>
          <w:b/>
          <w:bCs/>
        </w:rPr>
        <w:t>Date</w:t>
      </w:r>
      <w:r>
        <w:rPr>
          <w:b/>
          <w:bCs/>
        </w:rPr>
        <w:t>:</w:t>
      </w:r>
      <w:r w:rsidR="00EA64D2">
        <w:rPr>
          <w:b/>
          <w:bCs/>
        </w:rPr>
        <w:tab/>
      </w:r>
      <w:r w:rsidR="009A3996" w:rsidRPr="00A6578A">
        <w:rPr>
          <w:rFonts w:cs="Times New Roman"/>
        </w:rPr>
        <w:t>2026</w:t>
      </w:r>
    </w:p>
    <w:p w14:paraId="7FB85F3F" w14:textId="77777777" w:rsidR="006419E4" w:rsidRDefault="006419E4" w:rsidP="003C0A77">
      <w:pPr>
        <w:spacing w:after="0"/>
      </w:pPr>
    </w:p>
    <w:p w14:paraId="6FA236A1" w14:textId="77777777" w:rsidR="006419E4" w:rsidRDefault="006419E4" w:rsidP="003C0A77">
      <w:pPr>
        <w:spacing w:after="0"/>
        <w:sectPr w:rsidR="006419E4">
          <w:headerReference w:type="default" r:id="rId7"/>
          <w:footerReference w:type="even" r:id="rId8"/>
          <w:footerReference w:type="default" r:id="rId9"/>
          <w:pgSz w:w="11906" w:h="16838"/>
          <w:pgMar w:top="1440" w:right="1440" w:bottom="1440" w:left="1440" w:header="708" w:footer="708" w:gutter="0"/>
          <w:cols w:space="708"/>
          <w:docGrid w:linePitch="360"/>
        </w:sectPr>
      </w:pPr>
    </w:p>
    <w:p w14:paraId="45F3F1F3" w14:textId="71B4BA8A" w:rsidR="000D0D7D" w:rsidRDefault="005C1272" w:rsidP="00A75115">
      <w:pPr>
        <w:pStyle w:val="Heading1"/>
      </w:pPr>
      <w:bookmarkStart w:id="3" w:name="_Toc232523596"/>
      <w:bookmarkStart w:id="4" w:name="_Toc232525120"/>
      <w:bookmarkStart w:id="5" w:name="_Toc232609412"/>
      <w:bookmarkStart w:id="6" w:name="_Toc233050449"/>
      <w:bookmarkStart w:id="7" w:name="_Toc233403242"/>
      <w:r>
        <w:lastRenderedPageBreak/>
        <w:t>Acknowledgements</w:t>
      </w:r>
      <w:bookmarkEnd w:id="3"/>
      <w:bookmarkEnd w:id="4"/>
      <w:bookmarkEnd w:id="5"/>
      <w:bookmarkEnd w:id="6"/>
      <w:bookmarkEnd w:id="7"/>
    </w:p>
    <w:p w14:paraId="6B14ECA8" w14:textId="77777777" w:rsidR="000D0D7D" w:rsidRDefault="000D0D7D" w:rsidP="003C0A77">
      <w:pPr>
        <w:spacing w:after="0"/>
      </w:pPr>
    </w:p>
    <w:p w14:paraId="1F5C2AE5" w14:textId="77777777" w:rsidR="000D0D7D" w:rsidRDefault="000D0D7D" w:rsidP="003C0A77">
      <w:pPr>
        <w:spacing w:after="0"/>
      </w:pPr>
    </w:p>
    <w:p w14:paraId="3D16AC42" w14:textId="77777777" w:rsidR="000D0D7D" w:rsidRDefault="000D0D7D" w:rsidP="003C0A77">
      <w:pPr>
        <w:spacing w:after="0"/>
        <w:sectPr w:rsidR="000D0D7D">
          <w:headerReference w:type="default" r:id="rId10"/>
          <w:pgSz w:w="11906" w:h="16838"/>
          <w:pgMar w:top="1440" w:right="1440" w:bottom="1440" w:left="1440" w:header="708" w:footer="708" w:gutter="0"/>
          <w:cols w:space="708"/>
          <w:docGrid w:linePitch="360"/>
        </w:sectPr>
      </w:pPr>
    </w:p>
    <w:p w14:paraId="767F7C4C" w14:textId="3D654535" w:rsidR="000D0D7D" w:rsidRDefault="005C1272" w:rsidP="005C1272">
      <w:pPr>
        <w:pStyle w:val="Heading1"/>
      </w:pPr>
      <w:bookmarkStart w:id="8" w:name="_Toc232523597"/>
      <w:bookmarkStart w:id="9" w:name="_Toc232525121"/>
      <w:bookmarkStart w:id="10" w:name="_Toc232609413"/>
      <w:bookmarkStart w:id="11" w:name="_Toc233050450"/>
      <w:bookmarkStart w:id="12" w:name="_Toc233403243"/>
      <w:r>
        <w:lastRenderedPageBreak/>
        <w:t>Abstract</w:t>
      </w:r>
      <w:bookmarkEnd w:id="8"/>
      <w:bookmarkEnd w:id="9"/>
      <w:bookmarkEnd w:id="10"/>
      <w:bookmarkEnd w:id="11"/>
      <w:bookmarkEnd w:id="12"/>
    </w:p>
    <w:p w14:paraId="2E8AE15A" w14:textId="77777777" w:rsidR="005C1272" w:rsidRDefault="005C1272" w:rsidP="003C0A77">
      <w:pPr>
        <w:spacing w:after="0"/>
      </w:pPr>
    </w:p>
    <w:p w14:paraId="3EDFAA6A" w14:textId="77777777" w:rsidR="000D0D7D" w:rsidRDefault="000D0D7D" w:rsidP="003C0A77">
      <w:pPr>
        <w:spacing w:after="0"/>
      </w:pPr>
    </w:p>
    <w:p w14:paraId="29DB3DDD" w14:textId="77777777" w:rsidR="000D0D7D" w:rsidRDefault="000D0D7D" w:rsidP="003C0A77">
      <w:pPr>
        <w:spacing w:after="0"/>
        <w:sectPr w:rsidR="000D0D7D">
          <w:headerReference w:type="default" r:id="rId11"/>
          <w:pgSz w:w="11906" w:h="16838"/>
          <w:pgMar w:top="1440" w:right="1440" w:bottom="1440" w:left="1440" w:header="708" w:footer="708" w:gutter="0"/>
          <w:cols w:space="708"/>
          <w:docGrid w:linePitch="360"/>
        </w:sectPr>
      </w:pPr>
    </w:p>
    <w:p w14:paraId="0D7403CA" w14:textId="150AAB7B" w:rsidR="000D0D7D" w:rsidRDefault="00C50D5C" w:rsidP="00C50D5C">
      <w:pPr>
        <w:pStyle w:val="Heading1"/>
      </w:pPr>
      <w:bookmarkStart w:id="13" w:name="_Toc232523598"/>
      <w:bookmarkStart w:id="14" w:name="_Toc232525122"/>
      <w:bookmarkStart w:id="15" w:name="_Toc232609414"/>
      <w:bookmarkStart w:id="16" w:name="_Toc233050451"/>
      <w:bookmarkStart w:id="17" w:name="_Toc233403244"/>
      <w:r>
        <w:lastRenderedPageBreak/>
        <w:t>Table of Contents</w:t>
      </w:r>
      <w:bookmarkEnd w:id="13"/>
      <w:bookmarkEnd w:id="14"/>
      <w:bookmarkEnd w:id="15"/>
      <w:bookmarkEnd w:id="16"/>
      <w:bookmarkEnd w:id="17"/>
    </w:p>
    <w:sdt>
      <w:sdtPr>
        <w:id w:val="-2084980908"/>
        <w:docPartObj>
          <w:docPartGallery w:val="Table of Contents"/>
          <w:docPartUnique/>
        </w:docPartObj>
      </w:sdtPr>
      <w:sdtEndPr>
        <w:rPr>
          <w:b/>
          <w:noProof/>
        </w:rPr>
      </w:sdtEndPr>
      <w:sdtContent>
        <w:p w14:paraId="0B2EF530" w14:textId="2115C55F" w:rsidR="00C2240A" w:rsidRDefault="00FA4072">
          <w:pPr>
            <w:pStyle w:val="TOC1"/>
            <w:rPr>
              <w:rFonts w:asciiTheme="minorHAnsi" w:hAnsiTheme="minorHAnsi"/>
              <w:bCs w:val="0"/>
              <w:iCs w:val="0"/>
              <w:noProof/>
              <w:color w:val="auto"/>
              <w:sz w:val="24"/>
            </w:rPr>
          </w:pPr>
          <w:r>
            <w:rPr>
              <w:b/>
            </w:rPr>
            <w:fldChar w:fldCharType="begin"/>
          </w:r>
          <w:r>
            <w:rPr>
              <w:b/>
            </w:rPr>
            <w:instrText xml:space="preserve"> TOC \o "1-3" \h \z \u </w:instrText>
          </w:r>
          <w:r>
            <w:rPr>
              <w:b/>
            </w:rPr>
            <w:fldChar w:fldCharType="separate"/>
          </w:r>
          <w:hyperlink w:anchor="_Toc233403245" w:history="1">
            <w:r w:rsidR="00C2240A" w:rsidRPr="00114CB5">
              <w:rPr>
                <w:rStyle w:val="Hyperlink"/>
                <w:noProof/>
              </w:rPr>
              <w:t>Chapter 1: Introduction</w:t>
            </w:r>
            <w:r w:rsidR="00C2240A">
              <w:rPr>
                <w:noProof/>
                <w:webHidden/>
              </w:rPr>
              <w:tab/>
            </w:r>
            <w:r w:rsidR="00C2240A">
              <w:rPr>
                <w:noProof/>
                <w:webHidden/>
              </w:rPr>
              <w:fldChar w:fldCharType="begin"/>
            </w:r>
            <w:r w:rsidR="00C2240A">
              <w:rPr>
                <w:noProof/>
                <w:webHidden/>
              </w:rPr>
              <w:instrText xml:space="preserve"> PAGEREF _Toc233403245 \h </w:instrText>
            </w:r>
            <w:r w:rsidR="00C2240A">
              <w:rPr>
                <w:noProof/>
                <w:webHidden/>
              </w:rPr>
            </w:r>
            <w:r w:rsidR="00C2240A">
              <w:rPr>
                <w:noProof/>
                <w:webHidden/>
              </w:rPr>
              <w:fldChar w:fldCharType="separate"/>
            </w:r>
            <w:r w:rsidR="00C2240A">
              <w:rPr>
                <w:noProof/>
                <w:webHidden/>
              </w:rPr>
              <w:t>6</w:t>
            </w:r>
            <w:r w:rsidR="00C2240A">
              <w:rPr>
                <w:noProof/>
                <w:webHidden/>
              </w:rPr>
              <w:fldChar w:fldCharType="end"/>
            </w:r>
          </w:hyperlink>
        </w:p>
        <w:p w14:paraId="2380DC79" w14:textId="404DA29D" w:rsidR="00C2240A" w:rsidRDefault="00C2240A">
          <w:pPr>
            <w:pStyle w:val="TOC1"/>
            <w:rPr>
              <w:rFonts w:asciiTheme="minorHAnsi" w:hAnsiTheme="minorHAnsi"/>
              <w:bCs w:val="0"/>
              <w:iCs w:val="0"/>
              <w:noProof/>
              <w:color w:val="auto"/>
              <w:sz w:val="24"/>
            </w:rPr>
          </w:pPr>
          <w:hyperlink w:anchor="_Toc233403246" w:history="1">
            <w:r w:rsidRPr="00114CB5">
              <w:rPr>
                <w:rStyle w:val="Hyperlink"/>
                <w:noProof/>
              </w:rPr>
              <w:t>Chapter 2: Contextual Assessment in the EU Hate Speech: Meaning, Scope and Legal Sources</w:t>
            </w:r>
            <w:r>
              <w:rPr>
                <w:noProof/>
                <w:webHidden/>
              </w:rPr>
              <w:tab/>
            </w:r>
            <w:r>
              <w:rPr>
                <w:noProof/>
                <w:webHidden/>
              </w:rPr>
              <w:fldChar w:fldCharType="begin"/>
            </w:r>
            <w:r>
              <w:rPr>
                <w:noProof/>
                <w:webHidden/>
              </w:rPr>
              <w:instrText xml:space="preserve"> PAGEREF _Toc233403246 \h </w:instrText>
            </w:r>
            <w:r>
              <w:rPr>
                <w:noProof/>
                <w:webHidden/>
              </w:rPr>
            </w:r>
            <w:r>
              <w:rPr>
                <w:noProof/>
                <w:webHidden/>
              </w:rPr>
              <w:fldChar w:fldCharType="separate"/>
            </w:r>
            <w:r>
              <w:rPr>
                <w:noProof/>
                <w:webHidden/>
              </w:rPr>
              <w:t>7</w:t>
            </w:r>
            <w:r>
              <w:rPr>
                <w:noProof/>
                <w:webHidden/>
              </w:rPr>
              <w:fldChar w:fldCharType="end"/>
            </w:r>
          </w:hyperlink>
        </w:p>
        <w:p w14:paraId="2196E3FA" w14:textId="0A9DA4C1" w:rsidR="00C2240A" w:rsidRDefault="00C2240A">
          <w:pPr>
            <w:pStyle w:val="TOC2"/>
            <w:tabs>
              <w:tab w:val="right" w:leader="dot" w:pos="9016"/>
            </w:tabs>
            <w:rPr>
              <w:rFonts w:asciiTheme="minorHAnsi" w:hAnsiTheme="minorHAnsi"/>
              <w:bCs w:val="0"/>
              <w:noProof/>
              <w:color w:val="auto"/>
              <w:sz w:val="24"/>
              <w:szCs w:val="24"/>
            </w:rPr>
          </w:pPr>
          <w:hyperlink w:anchor="_Toc233403247" w:history="1">
            <w:r w:rsidRPr="00114CB5">
              <w:rPr>
                <w:rStyle w:val="Hyperlink"/>
                <w:noProof/>
              </w:rPr>
              <w:t>2.1 Definition of Contextual Assessment</w:t>
            </w:r>
            <w:r>
              <w:rPr>
                <w:noProof/>
                <w:webHidden/>
              </w:rPr>
              <w:tab/>
            </w:r>
            <w:r>
              <w:rPr>
                <w:noProof/>
                <w:webHidden/>
              </w:rPr>
              <w:fldChar w:fldCharType="begin"/>
            </w:r>
            <w:r>
              <w:rPr>
                <w:noProof/>
                <w:webHidden/>
              </w:rPr>
              <w:instrText xml:space="preserve"> PAGEREF _Toc233403247 \h </w:instrText>
            </w:r>
            <w:r>
              <w:rPr>
                <w:noProof/>
                <w:webHidden/>
              </w:rPr>
            </w:r>
            <w:r>
              <w:rPr>
                <w:noProof/>
                <w:webHidden/>
              </w:rPr>
              <w:fldChar w:fldCharType="separate"/>
            </w:r>
            <w:r>
              <w:rPr>
                <w:noProof/>
                <w:webHidden/>
              </w:rPr>
              <w:t>7</w:t>
            </w:r>
            <w:r>
              <w:rPr>
                <w:noProof/>
                <w:webHidden/>
              </w:rPr>
              <w:fldChar w:fldCharType="end"/>
            </w:r>
          </w:hyperlink>
        </w:p>
        <w:p w14:paraId="34B4B561" w14:textId="3D50DB86" w:rsidR="00C2240A" w:rsidRDefault="00C2240A">
          <w:pPr>
            <w:pStyle w:val="TOC2"/>
            <w:tabs>
              <w:tab w:val="right" w:leader="dot" w:pos="9016"/>
            </w:tabs>
            <w:rPr>
              <w:rFonts w:asciiTheme="minorHAnsi" w:hAnsiTheme="minorHAnsi"/>
              <w:bCs w:val="0"/>
              <w:noProof/>
              <w:color w:val="auto"/>
              <w:sz w:val="24"/>
              <w:szCs w:val="24"/>
            </w:rPr>
          </w:pPr>
          <w:hyperlink w:anchor="_Toc233403248" w:history="1">
            <w:r w:rsidRPr="00114CB5">
              <w:rPr>
                <w:rStyle w:val="Hyperlink"/>
                <w:noProof/>
              </w:rPr>
              <w:t>2.2 Implied Nature and Relevance of Contextual Assessment</w:t>
            </w:r>
            <w:r>
              <w:rPr>
                <w:noProof/>
                <w:webHidden/>
              </w:rPr>
              <w:tab/>
            </w:r>
            <w:r>
              <w:rPr>
                <w:noProof/>
                <w:webHidden/>
              </w:rPr>
              <w:fldChar w:fldCharType="begin"/>
            </w:r>
            <w:r>
              <w:rPr>
                <w:noProof/>
                <w:webHidden/>
              </w:rPr>
              <w:instrText xml:space="preserve"> PAGEREF _Toc233403248 \h </w:instrText>
            </w:r>
            <w:r>
              <w:rPr>
                <w:noProof/>
                <w:webHidden/>
              </w:rPr>
            </w:r>
            <w:r>
              <w:rPr>
                <w:noProof/>
                <w:webHidden/>
              </w:rPr>
              <w:fldChar w:fldCharType="separate"/>
            </w:r>
            <w:r>
              <w:rPr>
                <w:noProof/>
                <w:webHidden/>
              </w:rPr>
              <w:t>7</w:t>
            </w:r>
            <w:r>
              <w:rPr>
                <w:noProof/>
                <w:webHidden/>
              </w:rPr>
              <w:fldChar w:fldCharType="end"/>
            </w:r>
          </w:hyperlink>
        </w:p>
        <w:p w14:paraId="139F0FA0" w14:textId="14F7E498" w:rsidR="00C2240A" w:rsidRDefault="00C2240A">
          <w:pPr>
            <w:pStyle w:val="TOC2"/>
            <w:tabs>
              <w:tab w:val="right" w:leader="dot" w:pos="9016"/>
            </w:tabs>
            <w:rPr>
              <w:rFonts w:asciiTheme="minorHAnsi" w:hAnsiTheme="minorHAnsi"/>
              <w:bCs w:val="0"/>
              <w:noProof/>
              <w:color w:val="auto"/>
              <w:sz w:val="24"/>
              <w:szCs w:val="24"/>
            </w:rPr>
          </w:pPr>
          <w:hyperlink w:anchor="_Toc233403249" w:history="1">
            <w:r w:rsidRPr="00114CB5">
              <w:rPr>
                <w:rStyle w:val="Hyperlink"/>
                <w:noProof/>
              </w:rPr>
              <w:t>2.3 Types of Contextual Assessment</w:t>
            </w:r>
            <w:r>
              <w:rPr>
                <w:noProof/>
                <w:webHidden/>
              </w:rPr>
              <w:tab/>
            </w:r>
            <w:r>
              <w:rPr>
                <w:noProof/>
                <w:webHidden/>
              </w:rPr>
              <w:fldChar w:fldCharType="begin"/>
            </w:r>
            <w:r>
              <w:rPr>
                <w:noProof/>
                <w:webHidden/>
              </w:rPr>
              <w:instrText xml:space="preserve"> PAGEREF _Toc233403249 \h </w:instrText>
            </w:r>
            <w:r>
              <w:rPr>
                <w:noProof/>
                <w:webHidden/>
              </w:rPr>
            </w:r>
            <w:r>
              <w:rPr>
                <w:noProof/>
                <w:webHidden/>
              </w:rPr>
              <w:fldChar w:fldCharType="separate"/>
            </w:r>
            <w:r>
              <w:rPr>
                <w:noProof/>
                <w:webHidden/>
              </w:rPr>
              <w:t>10</w:t>
            </w:r>
            <w:r>
              <w:rPr>
                <w:noProof/>
                <w:webHidden/>
              </w:rPr>
              <w:fldChar w:fldCharType="end"/>
            </w:r>
          </w:hyperlink>
        </w:p>
        <w:p w14:paraId="5827283E" w14:textId="530B3E17" w:rsidR="00C2240A" w:rsidRDefault="00C2240A">
          <w:pPr>
            <w:pStyle w:val="TOC3"/>
            <w:tabs>
              <w:tab w:val="right" w:leader="dot" w:pos="9016"/>
            </w:tabs>
            <w:rPr>
              <w:rFonts w:asciiTheme="minorHAnsi" w:hAnsiTheme="minorHAnsi"/>
              <w:noProof/>
              <w:color w:val="auto"/>
              <w:szCs w:val="24"/>
            </w:rPr>
          </w:pPr>
          <w:hyperlink w:anchor="_Toc233403250" w:history="1">
            <w:r w:rsidRPr="00114CB5">
              <w:rPr>
                <w:rStyle w:val="Hyperlink"/>
                <w:noProof/>
              </w:rPr>
              <w:t xml:space="preserve">2.3.1 </w:t>
            </w:r>
            <w:r w:rsidRPr="00114CB5">
              <w:rPr>
                <w:rStyle w:val="Hyperlink"/>
                <w:i/>
                <w:iCs/>
                <w:noProof/>
              </w:rPr>
              <w:t>Individual Content-Level Assessment</w:t>
            </w:r>
            <w:r>
              <w:rPr>
                <w:noProof/>
                <w:webHidden/>
              </w:rPr>
              <w:tab/>
            </w:r>
            <w:r>
              <w:rPr>
                <w:noProof/>
                <w:webHidden/>
              </w:rPr>
              <w:fldChar w:fldCharType="begin"/>
            </w:r>
            <w:r>
              <w:rPr>
                <w:noProof/>
                <w:webHidden/>
              </w:rPr>
              <w:instrText xml:space="preserve"> PAGEREF _Toc233403250 \h </w:instrText>
            </w:r>
            <w:r>
              <w:rPr>
                <w:noProof/>
                <w:webHidden/>
              </w:rPr>
            </w:r>
            <w:r>
              <w:rPr>
                <w:noProof/>
                <w:webHidden/>
              </w:rPr>
              <w:fldChar w:fldCharType="separate"/>
            </w:r>
            <w:r>
              <w:rPr>
                <w:noProof/>
                <w:webHidden/>
              </w:rPr>
              <w:t>11</w:t>
            </w:r>
            <w:r>
              <w:rPr>
                <w:noProof/>
                <w:webHidden/>
              </w:rPr>
              <w:fldChar w:fldCharType="end"/>
            </w:r>
          </w:hyperlink>
        </w:p>
        <w:p w14:paraId="713FB86C" w14:textId="20D2B7F4" w:rsidR="00C2240A" w:rsidRDefault="00C2240A">
          <w:pPr>
            <w:pStyle w:val="TOC3"/>
            <w:tabs>
              <w:tab w:val="right" w:leader="dot" w:pos="9016"/>
            </w:tabs>
            <w:rPr>
              <w:rFonts w:asciiTheme="minorHAnsi" w:hAnsiTheme="minorHAnsi"/>
              <w:noProof/>
              <w:color w:val="auto"/>
              <w:szCs w:val="24"/>
            </w:rPr>
          </w:pPr>
          <w:hyperlink w:anchor="_Toc233403251" w:history="1">
            <w:r w:rsidRPr="00114CB5">
              <w:rPr>
                <w:rStyle w:val="Hyperlink"/>
                <w:noProof/>
              </w:rPr>
              <w:t xml:space="preserve">2.3.2 </w:t>
            </w:r>
            <w:r w:rsidRPr="00114CB5">
              <w:rPr>
                <w:rStyle w:val="Hyperlink"/>
                <w:i/>
                <w:iCs/>
                <w:noProof/>
              </w:rPr>
              <w:t>Systemic Platform-Level Assessment</w:t>
            </w:r>
            <w:r>
              <w:rPr>
                <w:noProof/>
                <w:webHidden/>
              </w:rPr>
              <w:tab/>
            </w:r>
            <w:r>
              <w:rPr>
                <w:noProof/>
                <w:webHidden/>
              </w:rPr>
              <w:fldChar w:fldCharType="begin"/>
            </w:r>
            <w:r>
              <w:rPr>
                <w:noProof/>
                <w:webHidden/>
              </w:rPr>
              <w:instrText xml:space="preserve"> PAGEREF _Toc233403251 \h </w:instrText>
            </w:r>
            <w:r>
              <w:rPr>
                <w:noProof/>
                <w:webHidden/>
              </w:rPr>
            </w:r>
            <w:r>
              <w:rPr>
                <w:noProof/>
                <w:webHidden/>
              </w:rPr>
              <w:fldChar w:fldCharType="separate"/>
            </w:r>
            <w:r>
              <w:rPr>
                <w:noProof/>
                <w:webHidden/>
              </w:rPr>
              <w:t>12</w:t>
            </w:r>
            <w:r>
              <w:rPr>
                <w:noProof/>
                <w:webHidden/>
              </w:rPr>
              <w:fldChar w:fldCharType="end"/>
            </w:r>
          </w:hyperlink>
        </w:p>
        <w:p w14:paraId="349308A3" w14:textId="30757BB4" w:rsidR="00C2240A" w:rsidRDefault="00C2240A">
          <w:pPr>
            <w:pStyle w:val="TOC2"/>
            <w:tabs>
              <w:tab w:val="right" w:leader="dot" w:pos="9016"/>
            </w:tabs>
            <w:rPr>
              <w:rFonts w:asciiTheme="minorHAnsi" w:hAnsiTheme="minorHAnsi"/>
              <w:bCs w:val="0"/>
              <w:noProof/>
              <w:color w:val="auto"/>
              <w:sz w:val="24"/>
              <w:szCs w:val="24"/>
            </w:rPr>
          </w:pPr>
          <w:hyperlink w:anchor="_Toc233403252" w:history="1">
            <w:r w:rsidRPr="00114CB5">
              <w:rPr>
                <w:rStyle w:val="Hyperlink"/>
                <w:noProof/>
              </w:rPr>
              <w:t>2.4 Relationship Between Different Types of Contextual Assessment</w:t>
            </w:r>
            <w:r>
              <w:rPr>
                <w:noProof/>
                <w:webHidden/>
              </w:rPr>
              <w:tab/>
            </w:r>
            <w:r>
              <w:rPr>
                <w:noProof/>
                <w:webHidden/>
              </w:rPr>
              <w:fldChar w:fldCharType="begin"/>
            </w:r>
            <w:r>
              <w:rPr>
                <w:noProof/>
                <w:webHidden/>
              </w:rPr>
              <w:instrText xml:space="preserve"> PAGEREF _Toc233403252 \h </w:instrText>
            </w:r>
            <w:r>
              <w:rPr>
                <w:noProof/>
                <w:webHidden/>
              </w:rPr>
            </w:r>
            <w:r>
              <w:rPr>
                <w:noProof/>
                <w:webHidden/>
              </w:rPr>
              <w:fldChar w:fldCharType="separate"/>
            </w:r>
            <w:r>
              <w:rPr>
                <w:noProof/>
                <w:webHidden/>
              </w:rPr>
              <w:t>15</w:t>
            </w:r>
            <w:r>
              <w:rPr>
                <w:noProof/>
                <w:webHidden/>
              </w:rPr>
              <w:fldChar w:fldCharType="end"/>
            </w:r>
          </w:hyperlink>
        </w:p>
        <w:p w14:paraId="07BF235E" w14:textId="6C84BEC7" w:rsidR="00C2240A" w:rsidRDefault="00C2240A">
          <w:pPr>
            <w:pStyle w:val="TOC2"/>
            <w:tabs>
              <w:tab w:val="right" w:leader="dot" w:pos="9016"/>
            </w:tabs>
            <w:rPr>
              <w:rFonts w:asciiTheme="minorHAnsi" w:hAnsiTheme="minorHAnsi"/>
              <w:bCs w:val="0"/>
              <w:noProof/>
              <w:color w:val="auto"/>
              <w:sz w:val="24"/>
              <w:szCs w:val="24"/>
            </w:rPr>
          </w:pPr>
          <w:hyperlink w:anchor="_Toc233403253" w:history="1">
            <w:r w:rsidRPr="00114CB5">
              <w:rPr>
                <w:rStyle w:val="Hyperlink"/>
                <w:noProof/>
              </w:rPr>
              <w:t>2.5 Limits of Contextual Assessment</w:t>
            </w:r>
            <w:r>
              <w:rPr>
                <w:noProof/>
                <w:webHidden/>
              </w:rPr>
              <w:tab/>
            </w:r>
            <w:r>
              <w:rPr>
                <w:noProof/>
                <w:webHidden/>
              </w:rPr>
              <w:fldChar w:fldCharType="begin"/>
            </w:r>
            <w:r>
              <w:rPr>
                <w:noProof/>
                <w:webHidden/>
              </w:rPr>
              <w:instrText xml:space="preserve"> PAGEREF _Toc233403253 \h </w:instrText>
            </w:r>
            <w:r>
              <w:rPr>
                <w:noProof/>
                <w:webHidden/>
              </w:rPr>
            </w:r>
            <w:r>
              <w:rPr>
                <w:noProof/>
                <w:webHidden/>
              </w:rPr>
              <w:fldChar w:fldCharType="separate"/>
            </w:r>
            <w:r>
              <w:rPr>
                <w:noProof/>
                <w:webHidden/>
              </w:rPr>
              <w:t>16</w:t>
            </w:r>
            <w:r>
              <w:rPr>
                <w:noProof/>
                <w:webHidden/>
              </w:rPr>
              <w:fldChar w:fldCharType="end"/>
            </w:r>
          </w:hyperlink>
        </w:p>
        <w:p w14:paraId="4ABC91EF" w14:textId="4B36D36F" w:rsidR="00C2240A" w:rsidRDefault="00C2240A">
          <w:pPr>
            <w:pStyle w:val="TOC1"/>
            <w:rPr>
              <w:rFonts w:asciiTheme="minorHAnsi" w:hAnsiTheme="minorHAnsi"/>
              <w:bCs w:val="0"/>
              <w:iCs w:val="0"/>
              <w:noProof/>
              <w:color w:val="auto"/>
              <w:sz w:val="24"/>
            </w:rPr>
          </w:pPr>
          <w:hyperlink w:anchor="_Toc233403254" w:history="1">
            <w:r w:rsidRPr="00114CB5">
              <w:rPr>
                <w:rStyle w:val="Hyperlink"/>
                <w:noProof/>
              </w:rPr>
              <w:t xml:space="preserve">Chapter 3: </w:t>
            </w:r>
            <w:r w:rsidRPr="00114CB5">
              <w:rPr>
                <w:rStyle w:val="Hyperlink"/>
                <w:rFonts w:cs="Times New Roman"/>
                <w:noProof/>
              </w:rPr>
              <w:t>Implementation of Contextual Assessment in Large-Scale Platform Moderation</w:t>
            </w:r>
            <w:r>
              <w:rPr>
                <w:noProof/>
                <w:webHidden/>
              </w:rPr>
              <w:tab/>
            </w:r>
            <w:r>
              <w:rPr>
                <w:noProof/>
                <w:webHidden/>
              </w:rPr>
              <w:fldChar w:fldCharType="begin"/>
            </w:r>
            <w:r>
              <w:rPr>
                <w:noProof/>
                <w:webHidden/>
              </w:rPr>
              <w:instrText xml:space="preserve"> PAGEREF _Toc233403254 \h </w:instrText>
            </w:r>
            <w:r>
              <w:rPr>
                <w:noProof/>
                <w:webHidden/>
              </w:rPr>
            </w:r>
            <w:r>
              <w:rPr>
                <w:noProof/>
                <w:webHidden/>
              </w:rPr>
              <w:fldChar w:fldCharType="separate"/>
            </w:r>
            <w:r>
              <w:rPr>
                <w:noProof/>
                <w:webHidden/>
              </w:rPr>
              <w:t>18</w:t>
            </w:r>
            <w:r>
              <w:rPr>
                <w:noProof/>
                <w:webHidden/>
              </w:rPr>
              <w:fldChar w:fldCharType="end"/>
            </w:r>
          </w:hyperlink>
        </w:p>
        <w:p w14:paraId="3F374DEC" w14:textId="4CA7558A" w:rsidR="00C2240A" w:rsidRDefault="00C2240A">
          <w:pPr>
            <w:pStyle w:val="TOC2"/>
            <w:tabs>
              <w:tab w:val="right" w:leader="dot" w:pos="9016"/>
            </w:tabs>
            <w:rPr>
              <w:rFonts w:asciiTheme="minorHAnsi" w:hAnsiTheme="minorHAnsi"/>
              <w:bCs w:val="0"/>
              <w:noProof/>
              <w:color w:val="auto"/>
              <w:sz w:val="24"/>
              <w:szCs w:val="24"/>
            </w:rPr>
          </w:pPr>
          <w:hyperlink w:anchor="_Toc233403255" w:history="1">
            <w:r w:rsidRPr="00114CB5">
              <w:rPr>
                <w:rStyle w:val="Hyperlink"/>
                <w:noProof/>
              </w:rPr>
              <w:t>3.1 Automated Moderation as Preliminary Detection</w:t>
            </w:r>
            <w:r>
              <w:rPr>
                <w:noProof/>
                <w:webHidden/>
              </w:rPr>
              <w:tab/>
            </w:r>
            <w:r>
              <w:rPr>
                <w:noProof/>
                <w:webHidden/>
              </w:rPr>
              <w:fldChar w:fldCharType="begin"/>
            </w:r>
            <w:r>
              <w:rPr>
                <w:noProof/>
                <w:webHidden/>
              </w:rPr>
              <w:instrText xml:space="preserve"> PAGEREF _Toc233403255 \h </w:instrText>
            </w:r>
            <w:r>
              <w:rPr>
                <w:noProof/>
                <w:webHidden/>
              </w:rPr>
            </w:r>
            <w:r>
              <w:rPr>
                <w:noProof/>
                <w:webHidden/>
              </w:rPr>
              <w:fldChar w:fldCharType="separate"/>
            </w:r>
            <w:r>
              <w:rPr>
                <w:noProof/>
                <w:webHidden/>
              </w:rPr>
              <w:t>18</w:t>
            </w:r>
            <w:r>
              <w:rPr>
                <w:noProof/>
                <w:webHidden/>
              </w:rPr>
              <w:fldChar w:fldCharType="end"/>
            </w:r>
          </w:hyperlink>
        </w:p>
        <w:p w14:paraId="47B5373E" w14:textId="13145B13" w:rsidR="00C2240A" w:rsidRDefault="00C2240A">
          <w:pPr>
            <w:pStyle w:val="TOC2"/>
            <w:tabs>
              <w:tab w:val="right" w:leader="dot" w:pos="9016"/>
            </w:tabs>
            <w:rPr>
              <w:rFonts w:asciiTheme="minorHAnsi" w:hAnsiTheme="minorHAnsi"/>
              <w:bCs w:val="0"/>
              <w:noProof/>
              <w:color w:val="auto"/>
              <w:sz w:val="24"/>
              <w:szCs w:val="24"/>
            </w:rPr>
          </w:pPr>
          <w:hyperlink w:anchor="_Toc233403256" w:history="1">
            <w:r w:rsidRPr="00114CB5">
              <w:rPr>
                <w:rStyle w:val="Hyperlink"/>
                <w:noProof/>
              </w:rPr>
              <w:t>3.2 Human Review, Escalation and Local Expertise</w:t>
            </w:r>
            <w:r>
              <w:rPr>
                <w:noProof/>
                <w:webHidden/>
              </w:rPr>
              <w:tab/>
            </w:r>
            <w:r>
              <w:rPr>
                <w:noProof/>
                <w:webHidden/>
              </w:rPr>
              <w:fldChar w:fldCharType="begin"/>
            </w:r>
            <w:r>
              <w:rPr>
                <w:noProof/>
                <w:webHidden/>
              </w:rPr>
              <w:instrText xml:space="preserve"> PAGEREF _Toc233403256 \h </w:instrText>
            </w:r>
            <w:r>
              <w:rPr>
                <w:noProof/>
                <w:webHidden/>
              </w:rPr>
            </w:r>
            <w:r>
              <w:rPr>
                <w:noProof/>
                <w:webHidden/>
              </w:rPr>
              <w:fldChar w:fldCharType="separate"/>
            </w:r>
            <w:r>
              <w:rPr>
                <w:noProof/>
                <w:webHidden/>
              </w:rPr>
              <w:t>18</w:t>
            </w:r>
            <w:r>
              <w:rPr>
                <w:noProof/>
                <w:webHidden/>
              </w:rPr>
              <w:fldChar w:fldCharType="end"/>
            </w:r>
          </w:hyperlink>
        </w:p>
        <w:p w14:paraId="0E151D91" w14:textId="260CC5E7" w:rsidR="00C2240A" w:rsidRDefault="00C2240A">
          <w:pPr>
            <w:pStyle w:val="TOC2"/>
            <w:tabs>
              <w:tab w:val="right" w:leader="dot" w:pos="9016"/>
            </w:tabs>
            <w:rPr>
              <w:rFonts w:asciiTheme="minorHAnsi" w:hAnsiTheme="minorHAnsi"/>
              <w:bCs w:val="0"/>
              <w:noProof/>
              <w:color w:val="auto"/>
              <w:sz w:val="24"/>
              <w:szCs w:val="24"/>
            </w:rPr>
          </w:pPr>
          <w:hyperlink w:anchor="_Toc233403257" w:history="1">
            <w:r w:rsidRPr="00114CB5">
              <w:rPr>
                <w:rStyle w:val="Hyperlink"/>
                <w:noProof/>
              </w:rPr>
              <w:t>3.3 Notice-and-Action and Trusted Flaggers as Contextual Inputs</w:t>
            </w:r>
            <w:r>
              <w:rPr>
                <w:noProof/>
                <w:webHidden/>
              </w:rPr>
              <w:tab/>
            </w:r>
            <w:r>
              <w:rPr>
                <w:noProof/>
                <w:webHidden/>
              </w:rPr>
              <w:fldChar w:fldCharType="begin"/>
            </w:r>
            <w:r>
              <w:rPr>
                <w:noProof/>
                <w:webHidden/>
              </w:rPr>
              <w:instrText xml:space="preserve"> PAGEREF _Toc233403257 \h </w:instrText>
            </w:r>
            <w:r>
              <w:rPr>
                <w:noProof/>
                <w:webHidden/>
              </w:rPr>
            </w:r>
            <w:r>
              <w:rPr>
                <w:noProof/>
                <w:webHidden/>
              </w:rPr>
              <w:fldChar w:fldCharType="separate"/>
            </w:r>
            <w:r>
              <w:rPr>
                <w:noProof/>
                <w:webHidden/>
              </w:rPr>
              <w:t>18</w:t>
            </w:r>
            <w:r>
              <w:rPr>
                <w:noProof/>
                <w:webHidden/>
              </w:rPr>
              <w:fldChar w:fldCharType="end"/>
            </w:r>
          </w:hyperlink>
        </w:p>
        <w:p w14:paraId="5B1C078F" w14:textId="4D92C2C8" w:rsidR="00C2240A" w:rsidRDefault="00C2240A">
          <w:pPr>
            <w:pStyle w:val="TOC2"/>
            <w:tabs>
              <w:tab w:val="right" w:leader="dot" w:pos="9016"/>
            </w:tabs>
            <w:rPr>
              <w:rFonts w:asciiTheme="minorHAnsi" w:hAnsiTheme="minorHAnsi"/>
              <w:bCs w:val="0"/>
              <w:noProof/>
              <w:color w:val="auto"/>
              <w:sz w:val="24"/>
              <w:szCs w:val="24"/>
            </w:rPr>
          </w:pPr>
          <w:hyperlink w:anchor="_Toc233403258" w:history="1">
            <w:r w:rsidRPr="00114CB5">
              <w:rPr>
                <w:rStyle w:val="Hyperlink"/>
                <w:noProof/>
              </w:rPr>
              <w:t>3.4 Appeals, Explanations and Review Mechanisms</w:t>
            </w:r>
            <w:r>
              <w:rPr>
                <w:noProof/>
                <w:webHidden/>
              </w:rPr>
              <w:tab/>
            </w:r>
            <w:r>
              <w:rPr>
                <w:noProof/>
                <w:webHidden/>
              </w:rPr>
              <w:fldChar w:fldCharType="begin"/>
            </w:r>
            <w:r>
              <w:rPr>
                <w:noProof/>
                <w:webHidden/>
              </w:rPr>
              <w:instrText xml:space="preserve"> PAGEREF _Toc233403258 \h </w:instrText>
            </w:r>
            <w:r>
              <w:rPr>
                <w:noProof/>
                <w:webHidden/>
              </w:rPr>
            </w:r>
            <w:r>
              <w:rPr>
                <w:noProof/>
                <w:webHidden/>
              </w:rPr>
              <w:fldChar w:fldCharType="separate"/>
            </w:r>
            <w:r>
              <w:rPr>
                <w:noProof/>
                <w:webHidden/>
              </w:rPr>
              <w:t>18</w:t>
            </w:r>
            <w:r>
              <w:rPr>
                <w:noProof/>
                <w:webHidden/>
              </w:rPr>
              <w:fldChar w:fldCharType="end"/>
            </w:r>
          </w:hyperlink>
        </w:p>
        <w:p w14:paraId="5D5AE884" w14:textId="531523E7" w:rsidR="00C2240A" w:rsidRDefault="00C2240A">
          <w:pPr>
            <w:pStyle w:val="TOC2"/>
            <w:tabs>
              <w:tab w:val="right" w:leader="dot" w:pos="9016"/>
            </w:tabs>
            <w:rPr>
              <w:rFonts w:asciiTheme="minorHAnsi" w:hAnsiTheme="minorHAnsi"/>
              <w:bCs w:val="0"/>
              <w:noProof/>
              <w:color w:val="auto"/>
              <w:sz w:val="24"/>
              <w:szCs w:val="24"/>
            </w:rPr>
          </w:pPr>
          <w:hyperlink w:anchor="_Toc233403259" w:history="1">
            <w:r w:rsidRPr="00114CB5">
              <w:rPr>
                <w:rStyle w:val="Hyperlink"/>
                <w:noProof/>
              </w:rPr>
              <w:t xml:space="preserve">3.5 </w:t>
            </w:r>
            <w:r w:rsidRPr="00114CB5">
              <w:rPr>
                <w:rStyle w:val="Hyperlink"/>
                <w:rFonts w:cs="Times New Roman"/>
                <w:noProof/>
              </w:rPr>
              <w:t>A Tiered Model of Contextual Moderation</w:t>
            </w:r>
            <w:r>
              <w:rPr>
                <w:noProof/>
                <w:webHidden/>
              </w:rPr>
              <w:tab/>
            </w:r>
            <w:r>
              <w:rPr>
                <w:noProof/>
                <w:webHidden/>
              </w:rPr>
              <w:fldChar w:fldCharType="begin"/>
            </w:r>
            <w:r>
              <w:rPr>
                <w:noProof/>
                <w:webHidden/>
              </w:rPr>
              <w:instrText xml:space="preserve"> PAGEREF _Toc233403259 \h </w:instrText>
            </w:r>
            <w:r>
              <w:rPr>
                <w:noProof/>
                <w:webHidden/>
              </w:rPr>
            </w:r>
            <w:r>
              <w:rPr>
                <w:noProof/>
                <w:webHidden/>
              </w:rPr>
              <w:fldChar w:fldCharType="separate"/>
            </w:r>
            <w:r>
              <w:rPr>
                <w:noProof/>
                <w:webHidden/>
              </w:rPr>
              <w:t>18</w:t>
            </w:r>
            <w:r>
              <w:rPr>
                <w:noProof/>
                <w:webHidden/>
              </w:rPr>
              <w:fldChar w:fldCharType="end"/>
            </w:r>
          </w:hyperlink>
        </w:p>
        <w:p w14:paraId="0396FB8E" w14:textId="7E83CBFA" w:rsidR="00C2240A" w:rsidRDefault="00C2240A">
          <w:pPr>
            <w:pStyle w:val="TOC1"/>
            <w:rPr>
              <w:rFonts w:asciiTheme="minorHAnsi" w:hAnsiTheme="minorHAnsi"/>
              <w:bCs w:val="0"/>
              <w:iCs w:val="0"/>
              <w:noProof/>
              <w:color w:val="auto"/>
              <w:sz w:val="24"/>
            </w:rPr>
          </w:pPr>
          <w:hyperlink w:anchor="_Toc233403260" w:history="1">
            <w:r w:rsidRPr="00114CB5">
              <w:rPr>
                <w:rStyle w:val="Hyperlink"/>
                <w:noProof/>
              </w:rPr>
              <w:t>Chapter 4: Risks and Safeguards</w:t>
            </w:r>
            <w:r>
              <w:rPr>
                <w:noProof/>
                <w:webHidden/>
              </w:rPr>
              <w:tab/>
            </w:r>
            <w:r>
              <w:rPr>
                <w:noProof/>
                <w:webHidden/>
              </w:rPr>
              <w:fldChar w:fldCharType="begin"/>
            </w:r>
            <w:r>
              <w:rPr>
                <w:noProof/>
                <w:webHidden/>
              </w:rPr>
              <w:instrText xml:space="preserve"> PAGEREF _Toc233403260 \h </w:instrText>
            </w:r>
            <w:r>
              <w:rPr>
                <w:noProof/>
                <w:webHidden/>
              </w:rPr>
            </w:r>
            <w:r>
              <w:rPr>
                <w:noProof/>
                <w:webHidden/>
              </w:rPr>
              <w:fldChar w:fldCharType="separate"/>
            </w:r>
            <w:r>
              <w:rPr>
                <w:noProof/>
                <w:webHidden/>
              </w:rPr>
              <w:t>19</w:t>
            </w:r>
            <w:r>
              <w:rPr>
                <w:noProof/>
                <w:webHidden/>
              </w:rPr>
              <w:fldChar w:fldCharType="end"/>
            </w:r>
          </w:hyperlink>
        </w:p>
        <w:p w14:paraId="523D23C4" w14:textId="0F556DBA" w:rsidR="00C2240A" w:rsidRDefault="00C2240A">
          <w:pPr>
            <w:pStyle w:val="TOC2"/>
            <w:tabs>
              <w:tab w:val="right" w:leader="dot" w:pos="9016"/>
            </w:tabs>
            <w:rPr>
              <w:rFonts w:asciiTheme="minorHAnsi" w:hAnsiTheme="minorHAnsi"/>
              <w:bCs w:val="0"/>
              <w:noProof/>
              <w:color w:val="auto"/>
              <w:sz w:val="24"/>
              <w:szCs w:val="24"/>
            </w:rPr>
          </w:pPr>
          <w:hyperlink w:anchor="_Toc233403261" w:history="1">
            <w:r w:rsidRPr="00114CB5">
              <w:rPr>
                <w:rStyle w:val="Hyperlink"/>
                <w:noProof/>
              </w:rPr>
              <w:t>4.1 Over-Removal and Chilling Effect</w:t>
            </w:r>
            <w:r>
              <w:rPr>
                <w:noProof/>
                <w:webHidden/>
              </w:rPr>
              <w:tab/>
            </w:r>
            <w:r>
              <w:rPr>
                <w:noProof/>
                <w:webHidden/>
              </w:rPr>
              <w:fldChar w:fldCharType="begin"/>
            </w:r>
            <w:r>
              <w:rPr>
                <w:noProof/>
                <w:webHidden/>
              </w:rPr>
              <w:instrText xml:space="preserve"> PAGEREF _Toc233403261 \h </w:instrText>
            </w:r>
            <w:r>
              <w:rPr>
                <w:noProof/>
                <w:webHidden/>
              </w:rPr>
            </w:r>
            <w:r>
              <w:rPr>
                <w:noProof/>
                <w:webHidden/>
              </w:rPr>
              <w:fldChar w:fldCharType="separate"/>
            </w:r>
            <w:r>
              <w:rPr>
                <w:noProof/>
                <w:webHidden/>
              </w:rPr>
              <w:t>19</w:t>
            </w:r>
            <w:r>
              <w:rPr>
                <w:noProof/>
                <w:webHidden/>
              </w:rPr>
              <w:fldChar w:fldCharType="end"/>
            </w:r>
          </w:hyperlink>
        </w:p>
        <w:p w14:paraId="0E92045A" w14:textId="6CCABE4C" w:rsidR="00C2240A" w:rsidRDefault="00C2240A">
          <w:pPr>
            <w:pStyle w:val="TOC2"/>
            <w:tabs>
              <w:tab w:val="right" w:leader="dot" w:pos="9016"/>
            </w:tabs>
            <w:rPr>
              <w:rFonts w:asciiTheme="minorHAnsi" w:hAnsiTheme="minorHAnsi"/>
              <w:bCs w:val="0"/>
              <w:noProof/>
              <w:color w:val="auto"/>
              <w:sz w:val="24"/>
              <w:szCs w:val="24"/>
            </w:rPr>
          </w:pPr>
          <w:hyperlink w:anchor="_Toc233403262" w:history="1">
            <w:r w:rsidRPr="00114CB5">
              <w:rPr>
                <w:rStyle w:val="Hyperlink"/>
                <w:noProof/>
              </w:rPr>
              <w:t>4.2 Under-Removal and Unequal Protection</w:t>
            </w:r>
            <w:r>
              <w:rPr>
                <w:noProof/>
                <w:webHidden/>
              </w:rPr>
              <w:tab/>
            </w:r>
            <w:r>
              <w:rPr>
                <w:noProof/>
                <w:webHidden/>
              </w:rPr>
              <w:fldChar w:fldCharType="begin"/>
            </w:r>
            <w:r>
              <w:rPr>
                <w:noProof/>
                <w:webHidden/>
              </w:rPr>
              <w:instrText xml:space="preserve"> PAGEREF _Toc233403262 \h </w:instrText>
            </w:r>
            <w:r>
              <w:rPr>
                <w:noProof/>
                <w:webHidden/>
              </w:rPr>
            </w:r>
            <w:r>
              <w:rPr>
                <w:noProof/>
                <w:webHidden/>
              </w:rPr>
              <w:fldChar w:fldCharType="separate"/>
            </w:r>
            <w:r>
              <w:rPr>
                <w:noProof/>
                <w:webHidden/>
              </w:rPr>
              <w:t>19</w:t>
            </w:r>
            <w:r>
              <w:rPr>
                <w:noProof/>
                <w:webHidden/>
              </w:rPr>
              <w:fldChar w:fldCharType="end"/>
            </w:r>
          </w:hyperlink>
        </w:p>
        <w:p w14:paraId="12BDA4A0" w14:textId="6A802124" w:rsidR="00C2240A" w:rsidRDefault="00C2240A">
          <w:pPr>
            <w:pStyle w:val="TOC2"/>
            <w:tabs>
              <w:tab w:val="right" w:leader="dot" w:pos="9016"/>
            </w:tabs>
            <w:rPr>
              <w:rFonts w:asciiTheme="minorHAnsi" w:hAnsiTheme="minorHAnsi"/>
              <w:bCs w:val="0"/>
              <w:noProof/>
              <w:color w:val="auto"/>
              <w:sz w:val="24"/>
              <w:szCs w:val="24"/>
            </w:rPr>
          </w:pPr>
          <w:hyperlink w:anchor="_Toc233403263" w:history="1">
            <w:r w:rsidRPr="00114CB5">
              <w:rPr>
                <w:rStyle w:val="Hyperlink"/>
                <w:noProof/>
              </w:rPr>
              <w:t>4.3 Privatised Legality Determination</w:t>
            </w:r>
            <w:r>
              <w:rPr>
                <w:noProof/>
                <w:webHidden/>
              </w:rPr>
              <w:tab/>
            </w:r>
            <w:r>
              <w:rPr>
                <w:noProof/>
                <w:webHidden/>
              </w:rPr>
              <w:fldChar w:fldCharType="begin"/>
            </w:r>
            <w:r>
              <w:rPr>
                <w:noProof/>
                <w:webHidden/>
              </w:rPr>
              <w:instrText xml:space="preserve"> PAGEREF _Toc233403263 \h </w:instrText>
            </w:r>
            <w:r>
              <w:rPr>
                <w:noProof/>
                <w:webHidden/>
              </w:rPr>
            </w:r>
            <w:r>
              <w:rPr>
                <w:noProof/>
                <w:webHidden/>
              </w:rPr>
              <w:fldChar w:fldCharType="separate"/>
            </w:r>
            <w:r>
              <w:rPr>
                <w:noProof/>
                <w:webHidden/>
              </w:rPr>
              <w:t>19</w:t>
            </w:r>
            <w:r>
              <w:rPr>
                <w:noProof/>
                <w:webHidden/>
              </w:rPr>
              <w:fldChar w:fldCharType="end"/>
            </w:r>
          </w:hyperlink>
        </w:p>
        <w:p w14:paraId="10613CE2" w14:textId="7FC9EC33" w:rsidR="00C2240A" w:rsidRDefault="00C2240A">
          <w:pPr>
            <w:pStyle w:val="TOC2"/>
            <w:tabs>
              <w:tab w:val="right" w:leader="dot" w:pos="9016"/>
            </w:tabs>
            <w:rPr>
              <w:rFonts w:asciiTheme="minorHAnsi" w:hAnsiTheme="minorHAnsi"/>
              <w:bCs w:val="0"/>
              <w:noProof/>
              <w:color w:val="auto"/>
              <w:sz w:val="24"/>
              <w:szCs w:val="24"/>
            </w:rPr>
          </w:pPr>
          <w:hyperlink w:anchor="_Toc233403264" w:history="1">
            <w:r w:rsidRPr="00114CB5">
              <w:rPr>
                <w:rStyle w:val="Hyperlink"/>
                <w:noProof/>
              </w:rPr>
              <w:t>4.4 Opacity, Inconsistency and Accountability Deficits</w:t>
            </w:r>
            <w:r>
              <w:rPr>
                <w:noProof/>
                <w:webHidden/>
              </w:rPr>
              <w:tab/>
            </w:r>
            <w:r>
              <w:rPr>
                <w:noProof/>
                <w:webHidden/>
              </w:rPr>
              <w:fldChar w:fldCharType="begin"/>
            </w:r>
            <w:r>
              <w:rPr>
                <w:noProof/>
                <w:webHidden/>
              </w:rPr>
              <w:instrText xml:space="preserve"> PAGEREF _Toc233403264 \h </w:instrText>
            </w:r>
            <w:r>
              <w:rPr>
                <w:noProof/>
                <w:webHidden/>
              </w:rPr>
            </w:r>
            <w:r>
              <w:rPr>
                <w:noProof/>
                <w:webHidden/>
              </w:rPr>
              <w:fldChar w:fldCharType="separate"/>
            </w:r>
            <w:r>
              <w:rPr>
                <w:noProof/>
                <w:webHidden/>
              </w:rPr>
              <w:t>19</w:t>
            </w:r>
            <w:r>
              <w:rPr>
                <w:noProof/>
                <w:webHidden/>
              </w:rPr>
              <w:fldChar w:fldCharType="end"/>
            </w:r>
          </w:hyperlink>
        </w:p>
        <w:p w14:paraId="7D696AC3" w14:textId="7C5133ED" w:rsidR="00C2240A" w:rsidRDefault="00C2240A">
          <w:pPr>
            <w:pStyle w:val="TOC2"/>
            <w:tabs>
              <w:tab w:val="right" w:leader="dot" w:pos="9016"/>
            </w:tabs>
            <w:rPr>
              <w:rFonts w:asciiTheme="minorHAnsi" w:hAnsiTheme="minorHAnsi"/>
              <w:bCs w:val="0"/>
              <w:noProof/>
              <w:color w:val="auto"/>
              <w:sz w:val="24"/>
              <w:szCs w:val="24"/>
            </w:rPr>
          </w:pPr>
          <w:hyperlink w:anchor="_Toc233403265" w:history="1">
            <w:r w:rsidRPr="00114CB5">
              <w:rPr>
                <w:rStyle w:val="Hyperlink"/>
                <w:noProof/>
              </w:rPr>
              <w:t>4.5 Safeguards for Legitimate Contextual Assessment</w:t>
            </w:r>
            <w:r>
              <w:rPr>
                <w:noProof/>
                <w:webHidden/>
              </w:rPr>
              <w:tab/>
            </w:r>
            <w:r>
              <w:rPr>
                <w:noProof/>
                <w:webHidden/>
              </w:rPr>
              <w:fldChar w:fldCharType="begin"/>
            </w:r>
            <w:r>
              <w:rPr>
                <w:noProof/>
                <w:webHidden/>
              </w:rPr>
              <w:instrText xml:space="preserve"> PAGEREF _Toc233403265 \h </w:instrText>
            </w:r>
            <w:r>
              <w:rPr>
                <w:noProof/>
                <w:webHidden/>
              </w:rPr>
            </w:r>
            <w:r>
              <w:rPr>
                <w:noProof/>
                <w:webHidden/>
              </w:rPr>
              <w:fldChar w:fldCharType="separate"/>
            </w:r>
            <w:r>
              <w:rPr>
                <w:noProof/>
                <w:webHidden/>
              </w:rPr>
              <w:t>19</w:t>
            </w:r>
            <w:r>
              <w:rPr>
                <w:noProof/>
                <w:webHidden/>
              </w:rPr>
              <w:fldChar w:fldCharType="end"/>
            </w:r>
          </w:hyperlink>
        </w:p>
        <w:p w14:paraId="5031B1AD" w14:textId="47ECA663" w:rsidR="00C2240A" w:rsidRDefault="00C2240A">
          <w:pPr>
            <w:pStyle w:val="TOC1"/>
            <w:rPr>
              <w:rFonts w:asciiTheme="minorHAnsi" w:hAnsiTheme="minorHAnsi"/>
              <w:bCs w:val="0"/>
              <w:iCs w:val="0"/>
              <w:noProof/>
              <w:color w:val="auto"/>
              <w:sz w:val="24"/>
            </w:rPr>
          </w:pPr>
          <w:hyperlink w:anchor="_Toc233403266" w:history="1">
            <w:r w:rsidRPr="00114CB5">
              <w:rPr>
                <w:rStyle w:val="Hyperlink"/>
                <w:noProof/>
              </w:rPr>
              <w:t>Chapter 5: Conclusion</w:t>
            </w:r>
            <w:r>
              <w:rPr>
                <w:noProof/>
                <w:webHidden/>
              </w:rPr>
              <w:tab/>
            </w:r>
            <w:r>
              <w:rPr>
                <w:noProof/>
                <w:webHidden/>
              </w:rPr>
              <w:fldChar w:fldCharType="begin"/>
            </w:r>
            <w:r>
              <w:rPr>
                <w:noProof/>
                <w:webHidden/>
              </w:rPr>
              <w:instrText xml:space="preserve"> PAGEREF _Toc233403266 \h </w:instrText>
            </w:r>
            <w:r>
              <w:rPr>
                <w:noProof/>
                <w:webHidden/>
              </w:rPr>
            </w:r>
            <w:r>
              <w:rPr>
                <w:noProof/>
                <w:webHidden/>
              </w:rPr>
              <w:fldChar w:fldCharType="separate"/>
            </w:r>
            <w:r>
              <w:rPr>
                <w:noProof/>
                <w:webHidden/>
              </w:rPr>
              <w:t>20</w:t>
            </w:r>
            <w:r>
              <w:rPr>
                <w:noProof/>
                <w:webHidden/>
              </w:rPr>
              <w:fldChar w:fldCharType="end"/>
            </w:r>
          </w:hyperlink>
        </w:p>
        <w:p w14:paraId="1D7A16D6" w14:textId="17E44CC8" w:rsidR="00C2240A" w:rsidRDefault="00C2240A">
          <w:pPr>
            <w:pStyle w:val="TOC1"/>
            <w:rPr>
              <w:rFonts w:asciiTheme="minorHAnsi" w:hAnsiTheme="minorHAnsi"/>
              <w:bCs w:val="0"/>
              <w:iCs w:val="0"/>
              <w:noProof/>
              <w:color w:val="auto"/>
              <w:sz w:val="24"/>
            </w:rPr>
          </w:pPr>
          <w:hyperlink w:anchor="_Toc233403267" w:history="1">
            <w:r w:rsidRPr="00114CB5">
              <w:rPr>
                <w:rStyle w:val="Hyperlink"/>
                <w:noProof/>
              </w:rPr>
              <w:t>Bibliography</w:t>
            </w:r>
            <w:r>
              <w:rPr>
                <w:noProof/>
                <w:webHidden/>
              </w:rPr>
              <w:tab/>
            </w:r>
            <w:r>
              <w:rPr>
                <w:noProof/>
                <w:webHidden/>
              </w:rPr>
              <w:fldChar w:fldCharType="begin"/>
            </w:r>
            <w:r>
              <w:rPr>
                <w:noProof/>
                <w:webHidden/>
              </w:rPr>
              <w:instrText xml:space="preserve"> PAGEREF _Toc233403267 \h </w:instrText>
            </w:r>
            <w:r>
              <w:rPr>
                <w:noProof/>
                <w:webHidden/>
              </w:rPr>
            </w:r>
            <w:r>
              <w:rPr>
                <w:noProof/>
                <w:webHidden/>
              </w:rPr>
              <w:fldChar w:fldCharType="separate"/>
            </w:r>
            <w:r>
              <w:rPr>
                <w:noProof/>
                <w:webHidden/>
              </w:rPr>
              <w:t>21</w:t>
            </w:r>
            <w:r>
              <w:rPr>
                <w:noProof/>
                <w:webHidden/>
              </w:rPr>
              <w:fldChar w:fldCharType="end"/>
            </w:r>
          </w:hyperlink>
        </w:p>
        <w:p w14:paraId="50C9FB5B" w14:textId="6FCAD32D" w:rsidR="000D0D7D" w:rsidRDefault="00FA4072" w:rsidP="00FA4072">
          <w:pPr>
            <w:pStyle w:val="TOC1"/>
          </w:pPr>
          <w:r>
            <w:rPr>
              <w:b/>
            </w:rPr>
            <w:fldChar w:fldCharType="end"/>
          </w:r>
        </w:p>
      </w:sdtContent>
    </w:sdt>
    <w:p w14:paraId="5AE1119D" w14:textId="77777777" w:rsidR="000D0D7D" w:rsidRDefault="000D0D7D" w:rsidP="003C0A77">
      <w:pPr>
        <w:spacing w:after="0"/>
        <w:sectPr w:rsidR="000D0D7D">
          <w:headerReference w:type="default" r:id="rId12"/>
          <w:pgSz w:w="11906" w:h="16838"/>
          <w:pgMar w:top="1440" w:right="1440" w:bottom="1440" w:left="1440" w:header="708" w:footer="708" w:gutter="0"/>
          <w:cols w:space="708"/>
          <w:docGrid w:linePitch="360"/>
        </w:sectPr>
      </w:pPr>
    </w:p>
    <w:p w14:paraId="364BEF02" w14:textId="13870202" w:rsidR="000D0D7D" w:rsidRDefault="002907B7" w:rsidP="00D86254">
      <w:pPr>
        <w:pStyle w:val="Heading1"/>
      </w:pPr>
      <w:bookmarkStart w:id="18" w:name="_Toc233403245"/>
      <w:r>
        <w:rPr>
          <w:rFonts w:hint="eastAsia"/>
        </w:rPr>
        <w:lastRenderedPageBreak/>
        <w:t xml:space="preserve">Chapter 1: </w:t>
      </w:r>
      <w:r w:rsidR="00D427C8">
        <w:t>Introduction</w:t>
      </w:r>
      <w:bookmarkEnd w:id="18"/>
    </w:p>
    <w:p w14:paraId="68F447D3" w14:textId="77777777" w:rsidR="00104F43" w:rsidRDefault="00104F43" w:rsidP="003C0A77">
      <w:pPr>
        <w:spacing w:after="0"/>
      </w:pPr>
    </w:p>
    <w:p w14:paraId="64DE3E80" w14:textId="77777777" w:rsidR="000D0D7D" w:rsidRDefault="000D0D7D" w:rsidP="003C0A77">
      <w:pPr>
        <w:spacing w:after="0"/>
      </w:pPr>
    </w:p>
    <w:p w14:paraId="076D9512" w14:textId="77777777" w:rsidR="000D0D7D" w:rsidRDefault="000D0D7D" w:rsidP="003C0A77">
      <w:pPr>
        <w:spacing w:after="0"/>
        <w:sectPr w:rsidR="000D0D7D">
          <w:headerReference w:type="default" r:id="rId13"/>
          <w:pgSz w:w="11906" w:h="16838"/>
          <w:pgMar w:top="1440" w:right="1440" w:bottom="1440" w:left="1440" w:header="708" w:footer="708" w:gutter="0"/>
          <w:cols w:space="708"/>
          <w:docGrid w:linePitch="360"/>
        </w:sectPr>
      </w:pPr>
    </w:p>
    <w:p w14:paraId="7283DA85" w14:textId="70E27BD9" w:rsidR="00796181" w:rsidRDefault="00D86254" w:rsidP="00D86254">
      <w:pPr>
        <w:pStyle w:val="Heading1"/>
      </w:pPr>
      <w:bookmarkStart w:id="19" w:name="_Toc233403246"/>
      <w:r>
        <w:lastRenderedPageBreak/>
        <w:t xml:space="preserve">Chapter 2: </w:t>
      </w:r>
      <w:r w:rsidR="00A9290F" w:rsidRPr="00A9290F">
        <w:t>Contextual Assessment in the EU Hate Speech: Meaning, Scope and Legal Sources</w:t>
      </w:r>
      <w:bookmarkEnd w:id="19"/>
    </w:p>
    <w:p w14:paraId="1062A218" w14:textId="594586A4" w:rsidR="00D86254" w:rsidRDefault="007122F9" w:rsidP="00770167">
      <w:pPr>
        <w:pStyle w:val="Heading2"/>
      </w:pPr>
      <w:bookmarkStart w:id="20" w:name="_Toc233403247"/>
      <w:r>
        <w:rPr>
          <w:rFonts w:hint="eastAsia"/>
        </w:rPr>
        <w:t>2.</w:t>
      </w:r>
      <w:r w:rsidR="00DE14EF">
        <w:t>1</w:t>
      </w:r>
      <w:r>
        <w:rPr>
          <w:rFonts w:hint="eastAsia"/>
        </w:rPr>
        <w:t xml:space="preserve"> </w:t>
      </w:r>
      <w:r w:rsidR="00115953" w:rsidRPr="00115953">
        <w:t xml:space="preserve">Definition of </w:t>
      </w:r>
      <w:r w:rsidR="00115953">
        <w:t>C</w:t>
      </w:r>
      <w:r w:rsidR="00115953" w:rsidRPr="00115953">
        <w:t xml:space="preserve">ontextual </w:t>
      </w:r>
      <w:r w:rsidR="00115953">
        <w:t>A</w:t>
      </w:r>
      <w:r w:rsidR="00115953" w:rsidRPr="00115953">
        <w:t>ssessment</w:t>
      </w:r>
      <w:bookmarkEnd w:id="20"/>
    </w:p>
    <w:p w14:paraId="453E855E" w14:textId="4883512D" w:rsidR="00045523" w:rsidRDefault="00600D3E" w:rsidP="003C0A77">
      <w:pPr>
        <w:spacing w:after="0"/>
      </w:pPr>
      <w:r w:rsidRPr="00600D3E">
        <w:t xml:space="preserve">Contextual assessment means interpreting allegedly hateful expression by considering the circumstances that give </w:t>
      </w:r>
      <w:commentRangeStart w:id="21"/>
      <w:r w:rsidRPr="00600D3E">
        <w:t xml:space="preserve">it meaning. </w:t>
      </w:r>
      <w:commentRangeEnd w:id="21"/>
      <w:r w:rsidR="003006CA" w:rsidRPr="00600D3E">
        <w:rPr>
          <w:rStyle w:val="CommentReference"/>
          <w:sz w:val="24"/>
          <w:szCs w:val="24"/>
        </w:rPr>
        <w:commentReference w:id="21"/>
      </w:r>
      <w:r w:rsidRPr="00600D3E">
        <w:t xml:space="preserve">In EU hate speech moderation, platforms should examine not only what content literally says, but how it is likely to be understood and what harm it may create in its actual setting. This approach avoids treating offensive words or symbols as automatically unlawful. The same expression may amount to incitement when used to mobilise hostility against a protected group, but require different treatment in journalism, satire, criticism, or counterspeech. It is therefore </w:t>
      </w:r>
      <w:commentRangeStart w:id="22"/>
      <w:r w:rsidRPr="00600D3E">
        <w:t xml:space="preserve">a structured evaluation of </w:t>
      </w:r>
      <w:commentRangeEnd w:id="22"/>
      <w:r w:rsidR="003006CA" w:rsidRPr="00600D3E">
        <w:rPr>
          <w:rStyle w:val="CommentReference"/>
          <w:sz w:val="24"/>
          <w:szCs w:val="24"/>
        </w:rPr>
        <w:commentReference w:id="22"/>
      </w:r>
      <w:r w:rsidRPr="00600D3E">
        <w:t>meaning, risk, and proportionality before moderation decisions are made.</w:t>
      </w:r>
    </w:p>
    <w:p w14:paraId="6CB8DCE6" w14:textId="77777777" w:rsidR="00FB37CD" w:rsidRDefault="00FB37CD" w:rsidP="003C0A77">
      <w:pPr>
        <w:spacing w:after="0"/>
      </w:pPr>
    </w:p>
    <w:p w14:paraId="01EB68D0" w14:textId="00BBA9A2" w:rsidR="00A74EEB" w:rsidRDefault="007122F9" w:rsidP="00261788">
      <w:pPr>
        <w:pStyle w:val="Heading2"/>
      </w:pPr>
      <w:bookmarkStart w:id="23" w:name="_Toc233403248"/>
      <w:r>
        <w:rPr>
          <w:rFonts w:hint="eastAsia"/>
        </w:rPr>
        <w:t>2</w:t>
      </w:r>
      <w:r>
        <w:t>.2</w:t>
      </w:r>
      <w:r w:rsidR="00770167">
        <w:t xml:space="preserve"> </w:t>
      </w:r>
      <w:r w:rsidR="00EE0458">
        <w:t>I</w:t>
      </w:r>
      <w:r w:rsidR="00EE0458" w:rsidRPr="00EE0458">
        <w:t xml:space="preserve">mplied </w:t>
      </w:r>
      <w:r w:rsidR="00EE0458">
        <w:t>N</w:t>
      </w:r>
      <w:r w:rsidR="00EE0458" w:rsidRPr="00EE0458">
        <w:t xml:space="preserve">ature </w:t>
      </w:r>
      <w:r w:rsidR="008D2356">
        <w:t xml:space="preserve">and Relevance </w:t>
      </w:r>
      <w:r w:rsidR="00EE0458" w:rsidRPr="00EE0458">
        <w:rPr>
          <w:rFonts w:hint="eastAsia"/>
        </w:rPr>
        <w:t>o</w:t>
      </w:r>
      <w:r w:rsidR="00EE0458" w:rsidRPr="00EE0458">
        <w:t xml:space="preserve">f </w:t>
      </w:r>
      <w:r w:rsidR="00EE0458">
        <w:t>C</w:t>
      </w:r>
      <w:r w:rsidR="00EE0458" w:rsidRPr="00EE0458">
        <w:t>ontextual</w:t>
      </w:r>
      <w:r w:rsidR="008D1D7D">
        <w:rPr>
          <w:rFonts w:hint="eastAsia"/>
        </w:rPr>
        <w:t xml:space="preserve"> Assessmen</w:t>
      </w:r>
      <w:r w:rsidR="00261788">
        <w:t>t</w:t>
      </w:r>
      <w:bookmarkEnd w:id="23"/>
    </w:p>
    <w:p w14:paraId="248DF8E1" w14:textId="03CDDB94" w:rsidR="003E3387" w:rsidRDefault="00A74EEB" w:rsidP="003C0A77">
      <w:pPr>
        <w:spacing w:after="0"/>
      </w:pPr>
      <w:r w:rsidRPr="00A74EEB">
        <w:t xml:space="preserve">In EU law, contextual assessment is not </w:t>
      </w:r>
      <w:r w:rsidR="00637DA9">
        <w:rPr>
          <w:rFonts w:hint="eastAsia"/>
        </w:rPr>
        <w:t>set</w:t>
      </w:r>
      <w:r w:rsidR="00637DA9">
        <w:t xml:space="preserve"> out as</w:t>
      </w:r>
      <w:r w:rsidRPr="00A74EEB">
        <w:t xml:space="preserve"> a single, explicit obligation imposed on </w:t>
      </w:r>
      <w:r w:rsidR="00637DA9">
        <w:t xml:space="preserve">online </w:t>
      </w:r>
      <w:r w:rsidRPr="00A74EEB">
        <w:t xml:space="preserve">platforms. There is no general EU provision stating that online platforms must conduct contextual assessment whenever they moderate hate speech. Rather, the requirement is best understood as implied from several legal sources and regulatory principles. </w:t>
      </w:r>
    </w:p>
    <w:p w14:paraId="6E62F89C" w14:textId="77777777" w:rsidR="003E3387" w:rsidRDefault="003E3387" w:rsidP="003C0A77">
      <w:pPr>
        <w:spacing w:after="0"/>
      </w:pPr>
    </w:p>
    <w:p w14:paraId="6AF688FF" w14:textId="17852A66" w:rsidR="00C52F5F" w:rsidRDefault="00A74EEB" w:rsidP="003C0A77">
      <w:pPr>
        <w:spacing w:after="0"/>
      </w:pPr>
      <w:commentRangeStart w:id="24"/>
      <w:r w:rsidRPr="00A74EEB">
        <w:t xml:space="preserve">The first source is </w:t>
      </w:r>
      <w:commentRangeEnd w:id="24"/>
      <w:r w:rsidR="003006CA" w:rsidRPr="00A74EEB">
        <w:rPr>
          <w:rStyle w:val="CommentReference"/>
          <w:sz w:val="24"/>
          <w:szCs w:val="24"/>
        </w:rPr>
        <w:commentReference w:id="24"/>
      </w:r>
      <w:r w:rsidRPr="00A74EEB">
        <w:t xml:space="preserve">EU hate speech law itself, especially the language of incitement. Framework Decision 2008/913/JHA requires Member States to criminalise certain forms of public incitement to violence or hatred directed against groups or members of groups defined by protected characteristics such as </w:t>
      </w:r>
      <w:r w:rsidR="00DC7F12">
        <w:t>‘</w:t>
      </w:r>
      <w:r w:rsidRPr="00A74EEB">
        <w:t>race, colour, religion, descent, or national or ethnic origin</w:t>
      </w:r>
      <w:r w:rsidR="00DC7F12">
        <w:t>’</w:t>
      </w:r>
      <w:r w:rsidRPr="00A74EEB">
        <w:t>.</w:t>
      </w:r>
      <w:r w:rsidR="00870825">
        <w:rPr>
          <w:rStyle w:val="FootnoteReference"/>
        </w:rPr>
        <w:footnoteReference w:id="1"/>
      </w:r>
      <w:r w:rsidRPr="00A74EEB">
        <w:t xml:space="preserve"> </w:t>
      </w:r>
      <w:r w:rsidRPr="00A74EEB">
        <w:lastRenderedPageBreak/>
        <w:t xml:space="preserve">The concepts of </w:t>
      </w:r>
      <w:commentRangeStart w:id="25"/>
      <w:r w:rsidRPr="00A74EEB">
        <w:t xml:space="preserve">incitement and likely to incite </w:t>
      </w:r>
      <w:commentRangeEnd w:id="25"/>
      <w:r w:rsidR="003006CA" w:rsidRPr="00A74EEB">
        <w:rPr>
          <w:rStyle w:val="CommentReference"/>
          <w:sz w:val="24"/>
          <w:szCs w:val="24"/>
        </w:rPr>
        <w:commentReference w:id="25"/>
      </w:r>
      <w:r w:rsidRPr="00A74EEB">
        <w:t>cannot be applied mechanically. Whether expression incites hatred depends on</w:t>
      </w:r>
      <w:r w:rsidR="0017031B" w:rsidRPr="0017031B">
        <w:t xml:space="preserve"> context, speaker, intent, content and form, extent of dissemination, and likelihood of harm</w:t>
      </w:r>
      <w:r w:rsidRPr="00A74EEB">
        <w:t>.</w:t>
      </w:r>
      <w:r w:rsidR="0017031B">
        <w:rPr>
          <w:rStyle w:val="FootnoteReference"/>
        </w:rPr>
        <w:footnoteReference w:id="2"/>
      </w:r>
      <w:r w:rsidRPr="00A74EEB">
        <w:t xml:space="preserve"> </w:t>
      </w:r>
      <w:r w:rsidR="008C4817" w:rsidRPr="008C4817">
        <w:t>The same words may carry different levels of risk depending on whether they are expressed privately, disseminated to a hostile audience, or circulated in a tense social context against a vulnerable group.</w:t>
      </w:r>
      <w:r w:rsidR="008C4817">
        <w:rPr>
          <w:rFonts w:hint="eastAsia"/>
        </w:rPr>
        <w:t xml:space="preserve"> </w:t>
      </w:r>
      <w:r w:rsidRPr="00A74EEB">
        <w:t>The legal concept of incitement therefore presupposes contextual judgment.</w:t>
      </w:r>
    </w:p>
    <w:p w14:paraId="164A5850" w14:textId="77777777" w:rsidR="00F51CB4" w:rsidRDefault="00F51CB4" w:rsidP="003C0A77">
      <w:pPr>
        <w:spacing w:after="0"/>
      </w:pPr>
    </w:p>
    <w:p w14:paraId="55169C7E" w14:textId="1F92C16D" w:rsidR="00D0009C" w:rsidRDefault="0028643C" w:rsidP="003C0A77">
      <w:pPr>
        <w:spacing w:after="0"/>
      </w:pPr>
      <w:commentRangeStart w:id="26"/>
      <w:r w:rsidRPr="0028643C">
        <w:t xml:space="preserve">A second source </w:t>
      </w:r>
      <w:commentRangeEnd w:id="26"/>
      <w:r w:rsidR="003006CA" w:rsidRPr="0028643C">
        <w:rPr>
          <w:rStyle w:val="CommentReference"/>
          <w:sz w:val="24"/>
          <w:szCs w:val="24"/>
        </w:rPr>
        <w:commentReference w:id="26"/>
      </w:r>
      <w:r w:rsidRPr="0028643C">
        <w:t xml:space="preserve">is the </w:t>
      </w:r>
      <w:r w:rsidR="00016D0B" w:rsidRPr="00CB66DB">
        <w:t>Charter of Fundamental Rights of the European Union</w:t>
      </w:r>
      <w:r w:rsidR="00016D0B" w:rsidRPr="0028643C">
        <w:t xml:space="preserve"> </w:t>
      </w:r>
      <w:r w:rsidR="00BB7463">
        <w:t>(</w:t>
      </w:r>
      <w:r w:rsidRPr="0028643C">
        <w:t>EU Charter of Fundamental Rights</w:t>
      </w:r>
      <w:r w:rsidR="00BB7463">
        <w:t>)</w:t>
      </w:r>
      <w:r w:rsidRPr="0028643C">
        <w:t xml:space="preserve">. Hate speech moderation operates at the intersection of several rights and interests. </w:t>
      </w:r>
      <w:commentRangeStart w:id="27"/>
      <w:r w:rsidRPr="0028643C">
        <w:t>Article 11 protects freedom of expression and information,</w:t>
      </w:r>
      <w:r w:rsidR="0086161D">
        <w:rPr>
          <w:rStyle w:val="FootnoteReference"/>
        </w:rPr>
        <w:footnoteReference w:id="3"/>
      </w:r>
      <w:r w:rsidRPr="0028643C">
        <w:t xml:space="preserve"> while Article 21 prohibits discrimination.</w:t>
      </w:r>
      <w:r w:rsidR="002344EA">
        <w:rPr>
          <w:rStyle w:val="FootnoteReference"/>
        </w:rPr>
        <w:footnoteReference w:id="4"/>
      </w:r>
      <w:r w:rsidRPr="0028643C">
        <w:t xml:space="preserve"> Article 1 on human dignity may also be relevant where hateful expression attacks the equal status of targeted groups.</w:t>
      </w:r>
      <w:r w:rsidR="006A7DA5">
        <w:rPr>
          <w:rStyle w:val="FootnoteReference"/>
        </w:rPr>
        <w:footnoteReference w:id="5"/>
      </w:r>
      <w:r w:rsidRPr="0028643C">
        <w:t xml:space="preserve"> </w:t>
      </w:r>
      <w:commentRangeEnd w:id="27"/>
      <w:r w:rsidR="003006CA" w:rsidRPr="0028643C">
        <w:rPr>
          <w:rStyle w:val="CommentReference"/>
          <w:sz w:val="24"/>
          <w:szCs w:val="24"/>
        </w:rPr>
        <w:commentReference w:id="27"/>
      </w:r>
      <w:r w:rsidRPr="0028643C">
        <w:t>Any restriction on expression must also comply with Article 52(1), which requires limitations on Charter rights to be provided by law, respect the essence of the right, and be necessary and proportionate.</w:t>
      </w:r>
      <w:r w:rsidR="00876D78">
        <w:rPr>
          <w:rStyle w:val="FootnoteReference"/>
        </w:rPr>
        <w:footnoteReference w:id="6"/>
      </w:r>
      <w:r w:rsidRPr="0028643C">
        <w:t xml:space="preserve"> Proportionality cannot be assessed in the abstract. It requires attention to the nature of the expression, its purpose, the seriousness of the harm, the vulnerability of the targeted group, and the availability of less restrictive responses. Contextual assessment is therefore implied by fundamental rights reasoning: without context, platforms and regulators risk either suppressing protected expression or failing to protect individuals and groups from discriminatory harm.</w:t>
      </w:r>
    </w:p>
    <w:p w14:paraId="0EFC57F3" w14:textId="77777777" w:rsidR="00D0009C" w:rsidRDefault="00D0009C" w:rsidP="003C0A77">
      <w:pPr>
        <w:spacing w:after="0"/>
      </w:pPr>
    </w:p>
    <w:p w14:paraId="26A849BD" w14:textId="1B0F69D6" w:rsidR="00D738CD" w:rsidRDefault="00F974FA" w:rsidP="003C0A77">
      <w:pPr>
        <w:spacing w:after="0"/>
      </w:pPr>
      <w:r w:rsidRPr="00F974FA">
        <w:lastRenderedPageBreak/>
        <w:t>A third source is the Digital Services Act</w:t>
      </w:r>
      <w:r>
        <w:t xml:space="preserve"> (DSA)</w:t>
      </w:r>
      <w:r w:rsidRPr="00F974FA">
        <w:t>. The DSA does not itself create a comprehensive substantive definition of hate speech. Instead, it regulates how online intermediaries deal with illegal content and systemic risks. Its procedural and risk-based duties support a context-sensitive model of moderation. Notice-and-action mechanisms require platforms to assess notified content;</w:t>
      </w:r>
      <w:r w:rsidR="00B865DF">
        <w:rPr>
          <w:rStyle w:val="FootnoteReference"/>
        </w:rPr>
        <w:footnoteReference w:id="7"/>
      </w:r>
      <w:r w:rsidRPr="00F974FA">
        <w:t xml:space="preserve"> statements of reasons require platforms to explain certain moderation decisions;</w:t>
      </w:r>
      <w:r w:rsidR="00B865DF">
        <w:rPr>
          <w:rStyle w:val="FootnoteReference"/>
        </w:rPr>
        <w:footnoteReference w:id="8"/>
      </w:r>
      <w:r w:rsidRPr="00F974FA">
        <w:t xml:space="preserve"> internal complaint-handling and out-of-court dispute settlement mechanisms allow users to contest removals or restrictions;</w:t>
      </w:r>
      <w:r w:rsidR="00B865DF">
        <w:rPr>
          <w:rStyle w:val="FootnoteReference"/>
        </w:rPr>
        <w:footnoteReference w:id="9"/>
      </w:r>
      <w:r w:rsidRPr="00F974FA">
        <w:t xml:space="preserve"> and very large online platforms must assess and mitigate systemic risks linked to the dissemination of illegal content and negative effects on fundamental rights.</w:t>
      </w:r>
      <w:r w:rsidR="00B865DF">
        <w:rPr>
          <w:rStyle w:val="FootnoteReference"/>
        </w:rPr>
        <w:footnoteReference w:id="10"/>
      </w:r>
      <w:r w:rsidRPr="00F974FA">
        <w:t xml:space="preserve"> These duties do not necessarily require full legal analysis of every item of content, but they do require platforms to organise moderation in a way that can respond to context, especially where content is ambiguous, rights-sensitive or likely to cause serious harm.</w:t>
      </w:r>
    </w:p>
    <w:p w14:paraId="1FB28614" w14:textId="77777777" w:rsidR="00D738CD" w:rsidRDefault="00D738CD" w:rsidP="003C0A77">
      <w:pPr>
        <w:spacing w:after="0"/>
      </w:pPr>
    </w:p>
    <w:p w14:paraId="3D076D89" w14:textId="731049FD" w:rsidR="00187311" w:rsidRDefault="00EF3D1A" w:rsidP="003C0A77">
      <w:pPr>
        <w:spacing w:after="0"/>
      </w:pPr>
      <w:r w:rsidRPr="00EF3D1A">
        <w:t xml:space="preserve">The DSA is particularly important because it expands contextual assessment beyond individual content decisions. Under a risk-based model, platforms must consider how their own design and governance choices affect the circulation of harmful content. </w:t>
      </w:r>
      <w:commentRangeStart w:id="28"/>
      <w:r w:rsidR="002900DF" w:rsidRPr="002900DF">
        <w:t xml:space="preserve">Article 34(2) of the DSA recognises </w:t>
      </w:r>
      <w:commentRangeEnd w:id="28"/>
      <w:r w:rsidR="003006CA" w:rsidRPr="002900DF">
        <w:rPr>
          <w:rStyle w:val="CommentReference"/>
          <w:sz w:val="24"/>
          <w:szCs w:val="24"/>
        </w:rPr>
        <w:commentReference w:id="28"/>
      </w:r>
      <w:commentRangeStart w:id="29"/>
      <w:r w:rsidR="002900DF" w:rsidRPr="002900DF">
        <w:t>that systemic risks may be shaped by the design and operation of platform systems, including recommender systems, other algorithmic systems, content moderation systems, the applicable terms and conditions and their enforcement, advertising-selection and presentation systems, data-related practices, and the amplification and rapid and wide dissemination of illegal content.</w:t>
      </w:r>
      <w:r w:rsidR="002900DF">
        <w:rPr>
          <w:rStyle w:val="FootnoteReference"/>
        </w:rPr>
        <w:footnoteReference w:id="11"/>
      </w:r>
      <w:r w:rsidR="002900DF" w:rsidRPr="002900DF">
        <w:t xml:space="preserve"> </w:t>
      </w:r>
      <w:commentRangeEnd w:id="29"/>
      <w:r w:rsidR="003006CA" w:rsidRPr="002900DF">
        <w:rPr>
          <w:rStyle w:val="CommentReference"/>
          <w:sz w:val="24"/>
          <w:szCs w:val="24"/>
        </w:rPr>
        <w:commentReference w:id="29"/>
      </w:r>
      <w:r w:rsidR="002900DF" w:rsidRPr="002900DF">
        <w:t xml:space="preserve">These factors may </w:t>
      </w:r>
      <w:r w:rsidR="00E716A9" w:rsidRPr="00E716A9">
        <w:t>consequently</w:t>
      </w:r>
      <w:r w:rsidR="00E716A9">
        <w:rPr>
          <w:rFonts w:hint="eastAsia"/>
        </w:rPr>
        <w:t xml:space="preserve"> </w:t>
      </w:r>
      <w:r w:rsidR="002900DF" w:rsidRPr="002900DF">
        <w:t>affect the risk posed by hate speech</w:t>
      </w:r>
      <w:r w:rsidRPr="00EF3D1A">
        <w:t xml:space="preserve">. </w:t>
      </w:r>
      <w:r w:rsidRPr="00EF3D1A">
        <w:lastRenderedPageBreak/>
        <w:t xml:space="preserve">Contextual assessment therefore becomes not only a question of what a particular post means, but also a question of how platform systems enable, amplify or mitigate harmful expression. </w:t>
      </w:r>
      <w:commentRangeStart w:id="30"/>
      <w:r w:rsidRPr="00EF3D1A">
        <w:t>This connects individual content-level assessment with systemic platform-level assessment.</w:t>
      </w:r>
      <w:commentRangeEnd w:id="30"/>
      <w:r w:rsidR="009E3799">
        <w:rPr>
          <w:rStyle w:val="CommentReference"/>
          <w:sz w:val="24"/>
          <w:szCs w:val="24"/>
        </w:rPr>
        <w:commentReference w:id="30"/>
      </w:r>
    </w:p>
    <w:p w14:paraId="6F5B9324" w14:textId="77777777" w:rsidR="00394DDB" w:rsidRDefault="00394DDB" w:rsidP="00394DDB">
      <w:pPr>
        <w:spacing w:after="0"/>
      </w:pPr>
    </w:p>
    <w:p w14:paraId="620C734E" w14:textId="1B4051D2" w:rsidR="00394DDB" w:rsidRDefault="00394DDB" w:rsidP="00394DDB">
      <w:pPr>
        <w:spacing w:after="0"/>
      </w:pPr>
      <w:r w:rsidRPr="005B32E6">
        <w:t xml:space="preserve">Soft law and co-regulatory instruments further reinforce this implied requirement. The EU Code of Conduct on </w:t>
      </w:r>
      <w:r w:rsidR="001F4CA6">
        <w:t>C</w:t>
      </w:r>
      <w:r w:rsidRPr="005B32E6">
        <w:t xml:space="preserve">ountering </w:t>
      </w:r>
      <w:r w:rsidR="001F4CA6">
        <w:t>I</w:t>
      </w:r>
      <w:r w:rsidRPr="005B32E6">
        <w:t xml:space="preserve">llegal </w:t>
      </w:r>
      <w:r w:rsidR="001F4CA6">
        <w:t>H</w:t>
      </w:r>
      <w:r w:rsidRPr="005B32E6">
        <w:t xml:space="preserve">ate </w:t>
      </w:r>
      <w:r w:rsidR="001F4CA6">
        <w:t>S</w:t>
      </w:r>
      <w:r w:rsidRPr="005B32E6">
        <w:t xml:space="preserve">peech </w:t>
      </w:r>
      <w:r w:rsidR="001F4CA6">
        <w:t>O</w:t>
      </w:r>
      <w:r w:rsidRPr="005B32E6">
        <w:t xml:space="preserve">nline does not operate in the same way as binding legislation, but it reflects regulatory expectations that platforms should review hate speech notices seriously, cooperate with civil society organisations, and improve the quality of </w:t>
      </w:r>
      <w:commentRangeStart w:id="31"/>
      <w:r w:rsidRPr="005B32E6">
        <w:t>moderation.</w:t>
      </w:r>
      <w:r>
        <w:rPr>
          <w:rStyle w:val="FootnoteReference"/>
        </w:rPr>
        <w:footnoteReference w:id="12"/>
      </w:r>
      <w:r w:rsidRPr="005B32E6">
        <w:t xml:space="preserve"> </w:t>
      </w:r>
      <w:commentRangeEnd w:id="31"/>
      <w:r w:rsidR="009E3799" w:rsidRPr="005B32E6">
        <w:rPr>
          <w:rStyle w:val="CommentReference"/>
          <w:sz w:val="24"/>
          <w:szCs w:val="24"/>
        </w:rPr>
        <w:commentReference w:id="31"/>
      </w:r>
      <w:r w:rsidRPr="005B32E6">
        <w:t>Such instruments help shape the practical meaning of contextual assessment by encouraging platforms to move beyond purely automated or keyword-based removal.</w:t>
      </w:r>
    </w:p>
    <w:p w14:paraId="21C77D90" w14:textId="77777777" w:rsidR="00187311" w:rsidRDefault="00187311" w:rsidP="003C0A77">
      <w:pPr>
        <w:spacing w:after="0"/>
      </w:pPr>
    </w:p>
    <w:p w14:paraId="5F1C6A3C" w14:textId="44AA13F9" w:rsidR="00EB39D7" w:rsidRDefault="00D677F3" w:rsidP="003C0A77">
      <w:pPr>
        <w:spacing w:after="0"/>
      </w:pPr>
      <w:r w:rsidRPr="00D677F3">
        <w:t xml:space="preserve">Accordingly, contextual assessment in EU hate speech moderation should be understood as an implied and distributed requirement. It is implied by the legal structure of incitement, by Charter-based proportionality and fundamental rights balancing, and by the DSA’s procedural and systemic risk </w:t>
      </w:r>
      <w:commentRangeStart w:id="32"/>
      <w:r w:rsidRPr="00D677F3">
        <w:t>obligations</w:t>
      </w:r>
      <w:commentRangeEnd w:id="32"/>
      <w:r w:rsidR="009E3799" w:rsidRPr="00D677F3">
        <w:rPr>
          <w:rStyle w:val="CommentReference"/>
          <w:sz w:val="24"/>
          <w:szCs w:val="24"/>
        </w:rPr>
        <w:commentReference w:id="32"/>
      </w:r>
      <w:r w:rsidRPr="00D677F3">
        <w:t>. Its relevance is therefore both legal and practical: it is necessary to identify hate speech accurately, to protect lawful expression, and to ensure that platform moderation operates in a manner compatible with EU fundamental rights and regulatory legitimacy.</w:t>
      </w:r>
    </w:p>
    <w:p w14:paraId="6DB21255" w14:textId="77777777" w:rsidR="00EB39D7" w:rsidRDefault="00EB39D7" w:rsidP="003C0A77">
      <w:pPr>
        <w:spacing w:after="0"/>
      </w:pPr>
    </w:p>
    <w:p w14:paraId="538A0947" w14:textId="381CD517" w:rsidR="004C6B68" w:rsidRDefault="003A14FA" w:rsidP="003C0A77">
      <w:pPr>
        <w:spacing w:after="0"/>
      </w:pPr>
      <w:r w:rsidRPr="003A14FA">
        <w:t xml:space="preserve">Contextual assessment </w:t>
      </w:r>
      <w:commentRangeStart w:id="33"/>
      <w:r w:rsidRPr="003A14FA">
        <w:t xml:space="preserve">is important </w:t>
      </w:r>
      <w:commentRangeEnd w:id="33"/>
      <w:r w:rsidR="009E3799" w:rsidRPr="003A14FA">
        <w:rPr>
          <w:rStyle w:val="CommentReference"/>
          <w:sz w:val="24"/>
          <w:szCs w:val="24"/>
        </w:rPr>
        <w:commentReference w:id="33"/>
      </w:r>
      <w:r w:rsidRPr="003A14FA">
        <w:t xml:space="preserve">because it connects legal standards with the realities of online communication and platform governance. Hate speech is rarely identifiable by words alone. Its meaning often depends on </w:t>
      </w:r>
      <w:r w:rsidR="00BC577E" w:rsidRPr="00BC577E">
        <w:t xml:space="preserve">context, speaker, intent, content and form, extent of </w:t>
      </w:r>
      <w:r w:rsidR="00BC577E" w:rsidRPr="00BC577E">
        <w:lastRenderedPageBreak/>
        <w:t>dissemination, and likelihood of harm</w:t>
      </w:r>
      <w:r w:rsidRPr="003A14FA">
        <w:t>.</w:t>
      </w:r>
      <w:r w:rsidR="00BC577E">
        <w:rPr>
          <w:rStyle w:val="FootnoteReference"/>
        </w:rPr>
        <w:footnoteReference w:id="13"/>
      </w:r>
      <w:r w:rsidRPr="003A14FA">
        <w:t xml:space="preserve"> Without contextual assessment, platforms may rely too heavily on keywords or automated signals, producing both over-removal and under-removal. Over-removal may suppress satire, journalism, political criticism, or counterspeech</w:t>
      </w:r>
      <w:commentRangeStart w:id="34"/>
      <w:r w:rsidRPr="003A14FA">
        <w:t xml:space="preserve">, </w:t>
      </w:r>
      <w:commentRangeEnd w:id="34"/>
      <w:r w:rsidR="009E3799" w:rsidRPr="003A14FA">
        <w:rPr>
          <w:rStyle w:val="CommentReference"/>
          <w:sz w:val="24"/>
          <w:szCs w:val="24"/>
        </w:rPr>
        <w:commentReference w:id="34"/>
      </w:r>
      <w:r w:rsidRPr="003A14FA">
        <w:t>while under-removal may leave targeted groups exposed to coordinated hostility and discriminatory har</w:t>
      </w:r>
      <w:commentRangeStart w:id="35"/>
      <w:r w:rsidRPr="003A14FA">
        <w:t xml:space="preserve">m. </w:t>
      </w:r>
      <w:commentRangeEnd w:id="35"/>
      <w:r w:rsidR="009E3799" w:rsidRPr="003A14FA">
        <w:rPr>
          <w:rStyle w:val="CommentReference"/>
          <w:sz w:val="24"/>
          <w:szCs w:val="24"/>
        </w:rPr>
        <w:commentReference w:id="35"/>
      </w:r>
      <w:commentRangeStart w:id="36"/>
      <w:r w:rsidRPr="003A14FA">
        <w:t>Contextual assessment also supports proportionality under EU fundamental rights law, because it helps determine whether restriction is necessary, suitable, and appropriately limited.</w:t>
      </w:r>
      <w:r w:rsidR="00E92C54">
        <w:rPr>
          <w:rStyle w:val="FootnoteReference"/>
        </w:rPr>
        <w:footnoteReference w:id="14"/>
      </w:r>
      <w:r w:rsidRPr="003A14FA">
        <w:t xml:space="preserve"> In the DSA framework, its importance is not confined to individual decisions. </w:t>
      </w:r>
      <w:r w:rsidR="003D7AE8" w:rsidRPr="003D7AE8">
        <w:t>It also helps platforms understand how the design and operation of platform systems, including recommender systems, other algorithmic systems, and content moderation systems, may shape the spread and impact of hateful content</w:t>
      </w:r>
      <w:r w:rsidRPr="003A14FA">
        <w:t>.</w:t>
      </w:r>
      <w:r w:rsidR="00412779">
        <w:rPr>
          <w:rStyle w:val="FootnoteReference"/>
        </w:rPr>
        <w:footnoteReference w:id="15"/>
      </w:r>
      <w:r w:rsidRPr="003A14FA">
        <w:t xml:space="preserve"> </w:t>
      </w:r>
      <w:commentRangeEnd w:id="36"/>
      <w:r w:rsidR="00DF5060" w:rsidRPr="003A14FA">
        <w:rPr>
          <w:rStyle w:val="CommentReference"/>
          <w:sz w:val="24"/>
          <w:szCs w:val="24"/>
        </w:rPr>
        <w:commentReference w:id="36"/>
      </w:r>
      <w:r w:rsidRPr="003A14FA">
        <w:t>Therefore, contextual assessment improves accuracy, fairness, accountability, and regulatory legitimacy. It does not require perfect knowledge of every circumstance, but it requires platforms to avoid mechanical decision-making where expression is ambiguous or rights-sensitive. In this sense, contextual assessment is essential to legitimate hate speech moderation under EU law and contemporary platform practice in practice overall.</w:t>
      </w:r>
    </w:p>
    <w:p w14:paraId="47FF1D15" w14:textId="77777777" w:rsidR="003A14FA" w:rsidRDefault="003A14FA" w:rsidP="003C0A77">
      <w:pPr>
        <w:spacing w:after="0"/>
      </w:pPr>
    </w:p>
    <w:p w14:paraId="7E3D3D86" w14:textId="53605B49" w:rsidR="0050747F" w:rsidRDefault="007122F9" w:rsidP="0050747F">
      <w:pPr>
        <w:pStyle w:val="Heading2"/>
      </w:pPr>
      <w:bookmarkStart w:id="37" w:name="_Toc233403249"/>
      <w:r>
        <w:t>2.3</w:t>
      </w:r>
      <w:r w:rsidR="00770167">
        <w:t xml:space="preserve"> </w:t>
      </w:r>
      <w:r w:rsidR="0050747F" w:rsidRPr="0050747F">
        <w:t xml:space="preserve">Types of </w:t>
      </w:r>
      <w:r w:rsidR="00BF5F73">
        <w:t>C</w:t>
      </w:r>
      <w:r w:rsidR="0050747F" w:rsidRPr="0050747F">
        <w:t xml:space="preserve">ontextual </w:t>
      </w:r>
      <w:r w:rsidR="00BF5F73">
        <w:t>A</w:t>
      </w:r>
      <w:r w:rsidR="0050747F" w:rsidRPr="0050747F">
        <w:t>ssessment</w:t>
      </w:r>
      <w:bookmarkEnd w:id="37"/>
    </w:p>
    <w:p w14:paraId="44AEFDE5" w14:textId="674AAE13" w:rsidR="001056F1" w:rsidRDefault="008732D1" w:rsidP="000454B3">
      <w:r w:rsidRPr="008732D1">
        <w:t xml:space="preserve">Contextual assessment in EU hate speech moderation operates at multiple analytical levels. It is not confined to determining whether an individual post, comment, image, or symbol is unlawful, but also extends to examining the broader platform conditions through which such content is distributed, amplified, and experienced by users. This section distinguishes </w:t>
      </w:r>
      <w:commentRangeStart w:id="38"/>
      <w:r w:rsidRPr="008732D1">
        <w:t xml:space="preserve">individual content-level assessment from systemic platform-level assessment, </w:t>
      </w:r>
      <w:commentRangeEnd w:id="38"/>
      <w:r w:rsidR="00DF5060" w:rsidRPr="008732D1">
        <w:rPr>
          <w:rStyle w:val="CommentReference"/>
          <w:sz w:val="24"/>
          <w:szCs w:val="24"/>
        </w:rPr>
        <w:commentReference w:id="38"/>
      </w:r>
      <w:r w:rsidRPr="008732D1">
        <w:t xml:space="preserve">because each </w:t>
      </w:r>
      <w:r w:rsidRPr="008732D1">
        <w:lastRenderedPageBreak/>
        <w:t>addresses a distinct regulatory question, relies on different contextual information, and generates different legal consequences under EU law overall too.</w:t>
      </w:r>
    </w:p>
    <w:p w14:paraId="5E0CBD09" w14:textId="77777777" w:rsidR="008732D1" w:rsidRPr="000454B3" w:rsidRDefault="008732D1" w:rsidP="000454B3"/>
    <w:p w14:paraId="69049927" w14:textId="56B36F54" w:rsidR="007122F9" w:rsidRDefault="0050747F" w:rsidP="00E16123">
      <w:pPr>
        <w:pStyle w:val="Heading3"/>
      </w:pPr>
      <w:bookmarkStart w:id="39" w:name="_Toc233403250"/>
      <w:r>
        <w:t xml:space="preserve">2.3.1 </w:t>
      </w:r>
      <w:r w:rsidR="00C2666F" w:rsidRPr="00A81D7C">
        <w:rPr>
          <w:i/>
          <w:iCs/>
        </w:rPr>
        <w:t>Individual Content-Level Assessment</w:t>
      </w:r>
      <w:bookmarkEnd w:id="39"/>
    </w:p>
    <w:p w14:paraId="3B3CFC1F" w14:textId="65B362E1" w:rsidR="00FD6C8F" w:rsidRDefault="00C90C8C" w:rsidP="00FD6C8F">
      <w:r w:rsidRPr="00C90C8C">
        <w:t xml:space="preserve">Individual content-level assessment </w:t>
      </w:r>
      <w:r w:rsidR="00AF23ED">
        <w:rPr>
          <w:rFonts w:hint="eastAsia"/>
        </w:rPr>
        <w:t xml:space="preserve">examines </w:t>
      </w:r>
      <w:r w:rsidRPr="00C90C8C">
        <w:t xml:space="preserve">whether a specific item of user-generated content amounts to hate speech, or should otherwise be restricted, when its immediate communicative context </w:t>
      </w:r>
      <w:commentRangeStart w:id="40"/>
      <w:r w:rsidRPr="00C90C8C">
        <w:t xml:space="preserve">is considered. </w:t>
      </w:r>
      <w:commentRangeEnd w:id="40"/>
      <w:r w:rsidR="00DF5060" w:rsidRPr="00C90C8C">
        <w:rPr>
          <w:rStyle w:val="CommentReference"/>
          <w:sz w:val="24"/>
          <w:szCs w:val="24"/>
        </w:rPr>
        <w:commentReference w:id="40"/>
      </w:r>
      <w:r w:rsidRPr="00C90C8C">
        <w:t>The focus is on the legal and social meaning of a particular post, comment, image, video, meme or livestream. This form of assessment is closest to the traditional legal inquiry into whether expression targets a protected group and whether it is capable of inciting violence</w:t>
      </w:r>
      <w:r w:rsidR="00A41C21">
        <w:rPr>
          <w:rFonts w:hint="eastAsia"/>
        </w:rPr>
        <w:t xml:space="preserve"> or</w:t>
      </w:r>
      <w:r w:rsidR="00A41C21" w:rsidRPr="00A41C21">
        <w:t xml:space="preserve"> </w:t>
      </w:r>
      <w:r w:rsidR="00A41C21" w:rsidRPr="00C90C8C">
        <w:t>hatred</w:t>
      </w:r>
      <w:r w:rsidRPr="00C90C8C">
        <w:t>.</w:t>
      </w:r>
      <w:r w:rsidR="00EF332D">
        <w:rPr>
          <w:rStyle w:val="FootnoteReference"/>
        </w:rPr>
        <w:footnoteReference w:id="16"/>
      </w:r>
      <w:r w:rsidRPr="00C90C8C">
        <w:t xml:space="preserve"> It therefore </w:t>
      </w:r>
      <w:r w:rsidR="00B6172E">
        <w:t>directed at</w:t>
      </w:r>
      <w:r w:rsidRPr="00C90C8C">
        <w:t xml:space="preserve"> a relatively narrow </w:t>
      </w:r>
      <w:r w:rsidR="00B6172E">
        <w:t>issue</w:t>
      </w:r>
      <w:r w:rsidRPr="00C90C8C">
        <w:t>: what this particular expression mean</w:t>
      </w:r>
      <w:r w:rsidR="00D61B4C">
        <w:t>s</w:t>
      </w:r>
      <w:r w:rsidRPr="00C90C8C">
        <w:t xml:space="preserve"> in this particular </w:t>
      </w:r>
      <w:commentRangeStart w:id="41"/>
      <w:r w:rsidRPr="00C90C8C">
        <w:t>setting</w:t>
      </w:r>
      <w:commentRangeEnd w:id="41"/>
      <w:r w:rsidR="00DF5060" w:rsidRPr="00C90C8C">
        <w:rPr>
          <w:rStyle w:val="CommentReference"/>
          <w:sz w:val="24"/>
          <w:szCs w:val="24"/>
        </w:rPr>
        <w:commentReference w:id="41"/>
      </w:r>
      <w:r w:rsidRPr="00C90C8C">
        <w:t>?</w:t>
      </w:r>
    </w:p>
    <w:p w14:paraId="0DC78B63" w14:textId="77777777" w:rsidR="0065272C" w:rsidRDefault="0065272C" w:rsidP="00FD6C8F"/>
    <w:p w14:paraId="556AD157" w14:textId="15A51007" w:rsidR="008A5714" w:rsidRDefault="008A5714" w:rsidP="00FD6C8F">
      <w:r w:rsidRPr="008A5714">
        <w:t xml:space="preserve">The information required for individual assessment is mainly connected to the content itself and its surrounding communication. A platform may need to consider the wording or imagery used, the apparent purpose of the speaker, the group being targeted, the likely audience, and the surrounding thread or conversation. Context may alter the meaning of the same expression. </w:t>
      </w:r>
      <w:r w:rsidR="002647B6" w:rsidRPr="002647B6">
        <w:t>Abusive or derogatory remarks directed at immigrants or ethnic groups may support a finding of hateful abuse, whereas the same remarks may require a different assessment where they appear in journalistic reporting</w:t>
      </w:r>
      <w:r w:rsidRPr="008A5714">
        <w:t>.</w:t>
      </w:r>
      <w:r w:rsidR="001C56E7">
        <w:rPr>
          <w:rStyle w:val="FootnoteReference"/>
        </w:rPr>
        <w:footnoteReference w:id="17"/>
      </w:r>
      <w:r w:rsidRPr="008A5714">
        <w:t xml:space="preserve"> Similarly, </w:t>
      </w:r>
      <w:r w:rsidR="001F7721">
        <w:rPr>
          <w:rFonts w:hint="eastAsia"/>
        </w:rPr>
        <w:t>words</w:t>
      </w:r>
      <w:r w:rsidRPr="008A5714">
        <w:t xml:space="preserve"> that </w:t>
      </w:r>
      <w:r w:rsidR="001F7721">
        <w:rPr>
          <w:rFonts w:hint="eastAsia"/>
        </w:rPr>
        <w:t>appear</w:t>
      </w:r>
      <w:r w:rsidRPr="008A5714">
        <w:t xml:space="preserve"> neutral in </w:t>
      </w:r>
      <w:r w:rsidR="001F7721">
        <w:t xml:space="preserve">ordinary discourse </w:t>
      </w:r>
      <w:r w:rsidRPr="008A5714">
        <w:t xml:space="preserve">may </w:t>
      </w:r>
      <w:r w:rsidR="001D1378">
        <w:t>acquire</w:t>
      </w:r>
      <w:r w:rsidRPr="008A5714">
        <w:t xml:space="preserve"> hateful</w:t>
      </w:r>
      <w:r w:rsidR="001D1378">
        <w:t xml:space="preserve"> meanings</w:t>
      </w:r>
      <w:r w:rsidRPr="008A5714">
        <w:t xml:space="preserve"> when it </w:t>
      </w:r>
      <w:r w:rsidR="001D1378">
        <w:t>used as</w:t>
      </w:r>
      <w:r w:rsidRPr="008A5714">
        <w:t xml:space="preserve"> coded references </w:t>
      </w:r>
      <w:r w:rsidR="001D1378">
        <w:t>within</w:t>
      </w:r>
      <w:r w:rsidRPr="008A5714">
        <w:t xml:space="preserve"> </w:t>
      </w:r>
      <w:r w:rsidR="00D64547">
        <w:t>extremist</w:t>
      </w:r>
      <w:r w:rsidR="001D1378">
        <w:t xml:space="preserve"> online</w:t>
      </w:r>
      <w:r w:rsidRPr="008A5714">
        <w:t xml:space="preserve"> </w:t>
      </w:r>
      <w:r w:rsidRPr="008A5714">
        <w:lastRenderedPageBreak/>
        <w:t>community.</w:t>
      </w:r>
      <w:r w:rsidR="002B7098">
        <w:rPr>
          <w:rStyle w:val="FootnoteReference"/>
        </w:rPr>
        <w:footnoteReference w:id="18"/>
      </w:r>
      <w:r w:rsidRPr="008A5714">
        <w:t xml:space="preserve"> The relevant inquiry is therefore not simply whether offensive language appears, but how the expression functions in context.</w:t>
      </w:r>
    </w:p>
    <w:p w14:paraId="55CD3361" w14:textId="77777777" w:rsidR="00412536" w:rsidRDefault="00412536" w:rsidP="00FD6C8F"/>
    <w:p w14:paraId="124D6C0E" w14:textId="4F0C1E16" w:rsidR="001825B6" w:rsidRDefault="0074739B" w:rsidP="00FD6C8F">
      <w:r w:rsidRPr="0074739B">
        <w:t xml:space="preserve">The regulatory consequence of individual assessment is that platforms must make concrete moderation decisions about specific items of content. These decisions may arise through notice-and-action </w:t>
      </w:r>
      <w:r w:rsidR="00800729" w:rsidRPr="00800729">
        <w:t>mechanisms</w:t>
      </w:r>
      <w:r w:rsidRPr="0074739B">
        <w:t>,</w:t>
      </w:r>
      <w:r w:rsidR="00886146">
        <w:rPr>
          <w:rStyle w:val="FootnoteReference"/>
        </w:rPr>
        <w:footnoteReference w:id="19"/>
      </w:r>
      <w:r w:rsidRPr="0074739B">
        <w:t xml:space="preserve"> </w:t>
      </w:r>
      <w:r w:rsidR="00CE7AEC" w:rsidRPr="00CE7AEC">
        <w:t>statements of reasons</w:t>
      </w:r>
      <w:r w:rsidRPr="0074739B">
        <w:t>,</w:t>
      </w:r>
      <w:r w:rsidR="00886146">
        <w:rPr>
          <w:rStyle w:val="FootnoteReference"/>
        </w:rPr>
        <w:footnoteReference w:id="20"/>
      </w:r>
      <w:r w:rsidRPr="0074739B">
        <w:t xml:space="preserve"> </w:t>
      </w:r>
      <w:r w:rsidR="00C07862" w:rsidRPr="00C07862">
        <w:t>internal complaint-handling systems</w:t>
      </w:r>
      <w:r w:rsidR="00907536">
        <w:t>,</w:t>
      </w:r>
      <w:r w:rsidR="00907536">
        <w:rPr>
          <w:rStyle w:val="FootnoteReference"/>
        </w:rPr>
        <w:footnoteReference w:id="21"/>
      </w:r>
      <w:r w:rsidRPr="0074739B">
        <w:t xml:space="preserve"> or </w:t>
      </w:r>
      <w:r w:rsidR="0033729D" w:rsidRPr="0033729D">
        <w:t>out-of-court dispute settlement mechanism</w:t>
      </w:r>
      <w:r w:rsidRPr="0074739B">
        <w:t>.</w:t>
      </w:r>
      <w:r w:rsidR="00907536">
        <w:rPr>
          <w:rStyle w:val="FootnoteReference"/>
        </w:rPr>
        <w:footnoteReference w:id="22"/>
      </w:r>
      <w:r w:rsidRPr="0074739B">
        <w:t xml:space="preserve"> If content is clearly illegal, rapid removal may be appropriate. </w:t>
      </w:r>
      <w:r w:rsidR="002224E2" w:rsidRPr="002224E2">
        <w:t>Where content is ambiguous or highly context-dependent, such as parody, documentary footage, or legitimate protest, more careful review may be required to avoid unnecessary interference with lawful expression</w:t>
      </w:r>
      <w:r w:rsidRPr="0074739B">
        <w:t>.</w:t>
      </w:r>
      <w:r w:rsidR="00C73ED2">
        <w:rPr>
          <w:rStyle w:val="FootnoteReference"/>
        </w:rPr>
        <w:footnoteReference w:id="23"/>
      </w:r>
      <w:r w:rsidRPr="0074739B">
        <w:t xml:space="preserve"> </w:t>
      </w:r>
      <w:commentRangeStart w:id="42"/>
      <w:r w:rsidRPr="0074739B">
        <w:t>Individual content-level assessment is valuable because it improves accuracy in particular cases. However, it is also limited. It requires contextual knowledge that moderators may not always possess and is difficult to apply consistently at scale. For that reason, it is indispensable for fair moderation, but insufficient as the sole method for governing online hate speech.</w:t>
      </w:r>
      <w:commentRangeEnd w:id="42"/>
      <w:r w:rsidR="004E71BC">
        <w:rPr>
          <w:rStyle w:val="CommentReference"/>
          <w:sz w:val="24"/>
          <w:szCs w:val="24"/>
        </w:rPr>
        <w:commentReference w:id="42"/>
      </w:r>
    </w:p>
    <w:p w14:paraId="40586B11" w14:textId="77777777" w:rsidR="001825B6" w:rsidRPr="00FD6C8F" w:rsidRDefault="001825B6" w:rsidP="00FD6C8F"/>
    <w:p w14:paraId="0C17A768" w14:textId="0B7BBEA8" w:rsidR="0050747F" w:rsidRDefault="0050747F" w:rsidP="00E16123">
      <w:pPr>
        <w:pStyle w:val="Heading3"/>
      </w:pPr>
      <w:bookmarkStart w:id="43" w:name="_Toc233403251"/>
      <w:r>
        <w:t xml:space="preserve">2.3.2 </w:t>
      </w:r>
      <w:r w:rsidR="00FD6C8F" w:rsidRPr="00A81D7C">
        <w:rPr>
          <w:i/>
          <w:iCs/>
        </w:rPr>
        <w:t>Systemic Platform-Level Assessment</w:t>
      </w:r>
      <w:bookmarkEnd w:id="43"/>
    </w:p>
    <w:p w14:paraId="0B719924" w14:textId="17BB5D87" w:rsidR="00FA4072" w:rsidRDefault="003E3F61" w:rsidP="00FA4072">
      <w:r w:rsidRPr="003E3F61">
        <w:t xml:space="preserve">Systemic platform-level assessment </w:t>
      </w:r>
      <w:r w:rsidR="00A4271C" w:rsidRPr="00A4271C">
        <w:t>raises a distinct analytical inquiry</w:t>
      </w:r>
      <w:r w:rsidRPr="003E3F61">
        <w:t xml:space="preserve">. Rather than </w:t>
      </w:r>
      <w:r w:rsidR="007F04CB">
        <w:rPr>
          <w:rFonts w:hint="eastAsia"/>
        </w:rPr>
        <w:t>exami</w:t>
      </w:r>
      <w:r w:rsidR="00D36259">
        <w:t>ni</w:t>
      </w:r>
      <w:r w:rsidR="007F04CB">
        <w:rPr>
          <w:rFonts w:hint="eastAsia"/>
        </w:rPr>
        <w:t>ng</w:t>
      </w:r>
      <w:r w:rsidRPr="003E3F61">
        <w:t xml:space="preserve"> whether </w:t>
      </w:r>
      <w:r w:rsidR="00894DA0">
        <w:t>a single</w:t>
      </w:r>
      <w:r w:rsidRPr="003E3F61">
        <w:t xml:space="preserve"> item of content is unlawful, </w:t>
      </w:r>
      <w:r w:rsidR="00894DA0">
        <w:t>this form of assessment consider</w:t>
      </w:r>
      <w:r w:rsidR="00D36259">
        <w:t>s whether</w:t>
      </w:r>
      <w:r w:rsidR="00894DA0">
        <w:t xml:space="preserve"> </w:t>
      </w:r>
      <w:r w:rsidRPr="003E3F61">
        <w:t xml:space="preserve">the </w:t>
      </w:r>
      <w:r w:rsidRPr="003E3F61">
        <w:lastRenderedPageBreak/>
        <w:t xml:space="preserve">platform’s design and governance systems create or intensify risks connected </w:t>
      </w:r>
      <w:commentRangeStart w:id="44"/>
      <w:r w:rsidRPr="003E3F61">
        <w:t xml:space="preserve">to hate speech. </w:t>
      </w:r>
      <w:commentRangeEnd w:id="44"/>
      <w:r w:rsidR="004E71BC" w:rsidRPr="003E3F61">
        <w:rPr>
          <w:rStyle w:val="CommentReference"/>
          <w:sz w:val="24"/>
          <w:szCs w:val="24"/>
        </w:rPr>
        <w:commentReference w:id="44"/>
      </w:r>
      <w:r w:rsidRPr="003E3F61">
        <w:t xml:space="preserve">The focus is therefore not only on </w:t>
      </w:r>
      <w:r w:rsidR="00C87384">
        <w:t>the expression produced by</w:t>
      </w:r>
      <w:r w:rsidRPr="003E3F61">
        <w:t xml:space="preserve"> a user, but on how the platform organises the circulation of that speech. This form of assessment is particularly relevant under the </w:t>
      </w:r>
      <w:r>
        <w:t>DSA</w:t>
      </w:r>
      <w:r w:rsidRPr="003E3F61">
        <w:t>, which requires very large online platforms and search engines to assess and mitigate systemic risks, including risks linked to illegal content and negative effects on fundamental rights.</w:t>
      </w:r>
      <w:r w:rsidR="00660C30">
        <w:rPr>
          <w:rStyle w:val="FootnoteReference"/>
        </w:rPr>
        <w:footnoteReference w:id="24"/>
      </w:r>
    </w:p>
    <w:p w14:paraId="4F44268B" w14:textId="77777777" w:rsidR="006D2D70" w:rsidRDefault="006D2D70" w:rsidP="00FA4072"/>
    <w:p w14:paraId="3966AD5A" w14:textId="1E268794" w:rsidR="003B62D4" w:rsidRDefault="00C47D33" w:rsidP="00FA4072">
      <w:r w:rsidRPr="00C47D33">
        <w:t xml:space="preserve">The information required for systemic assessment is broader than the information needed for an individual content decision. </w:t>
      </w:r>
      <w:r w:rsidR="00667BEE">
        <w:t>Under the DSA’s systemic risk framework, such assessment</w:t>
      </w:r>
      <w:r w:rsidRPr="00C47D33">
        <w:t xml:space="preserve"> may include</w:t>
      </w:r>
      <w:r w:rsidR="00C41A3E">
        <w:t xml:space="preserve"> examining</w:t>
      </w:r>
      <w:r w:rsidRPr="00C47D33">
        <w:t xml:space="preserve"> how recommender systems </w:t>
      </w:r>
      <w:r w:rsidR="00E778A6">
        <w:t xml:space="preserve">and other </w:t>
      </w:r>
      <w:r w:rsidRPr="00C47D33">
        <w:t xml:space="preserve">algorithmic </w:t>
      </w:r>
      <w:r w:rsidR="00E778A6">
        <w:t xml:space="preserve">systems </w:t>
      </w:r>
      <w:r w:rsidR="00E778A6" w:rsidRPr="00C47D33">
        <w:t xml:space="preserve">prioritise </w:t>
      </w:r>
      <w:r w:rsidR="00E778A6">
        <w:t xml:space="preserve">or </w:t>
      </w:r>
      <w:r w:rsidRPr="00C47D33">
        <w:t>amplif</w:t>
      </w:r>
      <w:r w:rsidR="00E778A6">
        <w:t>y content, whether</w:t>
      </w:r>
      <w:r w:rsidR="00E13A8F">
        <w:t xml:space="preserve"> this</w:t>
      </w:r>
      <w:r w:rsidRPr="00C47D33">
        <w:t xml:space="preserve"> increases the visibility of hateful material,</w:t>
      </w:r>
      <w:r w:rsidR="00E778A6">
        <w:rPr>
          <w:rStyle w:val="FootnoteReference"/>
        </w:rPr>
        <w:footnoteReference w:id="25"/>
      </w:r>
      <w:r w:rsidRPr="00C47D33">
        <w:t xml:space="preserve"> </w:t>
      </w:r>
      <w:r w:rsidR="00D81EA4">
        <w:t xml:space="preserve">and </w:t>
      </w:r>
      <w:r w:rsidRPr="00C47D33">
        <w:t xml:space="preserve">whether moderation </w:t>
      </w:r>
      <w:r w:rsidR="00E13A8F">
        <w:t xml:space="preserve">systems and </w:t>
      </w:r>
      <w:r w:rsidRPr="00C47D33">
        <w:t xml:space="preserve">resources are adequate for </w:t>
      </w:r>
      <w:r w:rsidR="00DE1986">
        <w:t>the relevant</w:t>
      </w:r>
      <w:r w:rsidRPr="00C47D33">
        <w:t xml:space="preserve"> languages</w:t>
      </w:r>
      <w:r w:rsidR="00DE1986">
        <w:t>,</w:t>
      </w:r>
      <w:r w:rsidRPr="00C47D33">
        <w:t xml:space="preserve"> regions</w:t>
      </w:r>
      <w:r w:rsidR="00DE1986">
        <w:t xml:space="preserve"> and social context</w:t>
      </w:r>
      <w:r w:rsidR="00667BEE">
        <w:t>.</w:t>
      </w:r>
      <w:r w:rsidR="00671B2F">
        <w:rPr>
          <w:rStyle w:val="FootnoteReference"/>
        </w:rPr>
        <w:footnoteReference w:id="26"/>
      </w:r>
      <w:r w:rsidR="00065122">
        <w:t xml:space="preserve"> </w:t>
      </w:r>
      <w:r w:rsidRPr="00C47D33">
        <w:t>It may also require attention to external conditions, such as elections,</w:t>
      </w:r>
      <w:r w:rsidR="00291E85">
        <w:rPr>
          <w:rStyle w:val="FootnoteReference"/>
        </w:rPr>
        <w:footnoteReference w:id="27"/>
      </w:r>
      <w:r w:rsidRPr="00C47D33">
        <w:t xml:space="preserve"> social unrest</w:t>
      </w:r>
      <w:r w:rsidR="008D3993">
        <w:t xml:space="preserve"> or crisis situations</w:t>
      </w:r>
      <w:r w:rsidRPr="00C47D33">
        <w:t xml:space="preserve">, </w:t>
      </w:r>
      <w:r w:rsidR="005268D6">
        <w:t xml:space="preserve">including </w:t>
      </w:r>
      <w:r w:rsidRPr="00C47D33">
        <w:t>armed conflict</w:t>
      </w:r>
      <w:r w:rsidR="00C63180">
        <w:t>,</w:t>
      </w:r>
      <w:r w:rsidR="005268D6">
        <w:rPr>
          <w:rStyle w:val="FootnoteReference"/>
        </w:rPr>
        <w:footnoteReference w:id="28"/>
      </w:r>
      <w:r w:rsidRPr="00C47D33">
        <w:t xml:space="preserve"> </w:t>
      </w:r>
      <w:r w:rsidR="00C63180">
        <w:t>and</w:t>
      </w:r>
      <w:r w:rsidRPr="00C47D33">
        <w:t xml:space="preserve"> coordinated </w:t>
      </w:r>
      <w:r w:rsidR="00D369CC">
        <w:t>manipulation or harassment</w:t>
      </w:r>
      <w:r w:rsidRPr="00C47D33">
        <w:t xml:space="preserve"> of vulnerable groups.</w:t>
      </w:r>
      <w:r w:rsidR="00DE6489">
        <w:rPr>
          <w:rStyle w:val="FootnoteReference"/>
        </w:rPr>
        <w:footnoteReference w:id="29"/>
      </w:r>
      <w:r w:rsidRPr="00C47D33">
        <w:t xml:space="preserve"> In this sense, systemic context concerns the environment in which hate speech spreads and gains force. A single hateful post may have limited impact if it remains unseen, but the same post may create greater risk if it is repeatedly recommended, shared or used as part of an organised campaign.</w:t>
      </w:r>
    </w:p>
    <w:p w14:paraId="4AF098EE" w14:textId="77777777" w:rsidR="003B62D4" w:rsidRDefault="003B62D4" w:rsidP="00FA4072"/>
    <w:p w14:paraId="435CF849" w14:textId="66A1CE98" w:rsidR="00660BB2" w:rsidRDefault="00416D67" w:rsidP="00FA4072">
      <w:r w:rsidRPr="00416D67">
        <w:lastRenderedPageBreak/>
        <w:t xml:space="preserve">The regulatory consequence of systemic assessment is different from that of individual assessment. It does not necessarily produce a decision to remove or retain one piece of content. </w:t>
      </w:r>
      <w:r w:rsidR="00D30893" w:rsidRPr="00D30893">
        <w:t xml:space="preserve">Instead, it may require </w:t>
      </w:r>
      <w:r w:rsidR="002D5192" w:rsidRPr="00D30893">
        <w:t>adaptations of content moderation processes</w:t>
      </w:r>
      <w:r w:rsidR="002D5192">
        <w:t>,</w:t>
      </w:r>
      <w:r w:rsidR="002D5192">
        <w:rPr>
          <w:rStyle w:val="FootnoteReference"/>
        </w:rPr>
        <w:footnoteReference w:id="30"/>
      </w:r>
      <w:r w:rsidR="002D5192" w:rsidRPr="00D30893">
        <w:t xml:space="preserve"> </w:t>
      </w:r>
      <w:r w:rsidR="00D30893" w:rsidRPr="00D30893">
        <w:t>adjustments to recommender and algorithmic systems,</w:t>
      </w:r>
      <w:r w:rsidR="002D5192">
        <w:rPr>
          <w:rStyle w:val="FootnoteReference"/>
        </w:rPr>
        <w:footnoteReference w:id="31"/>
      </w:r>
      <w:r w:rsidR="00D30893" w:rsidRPr="00D30893">
        <w:t xml:space="preserve"> </w:t>
      </w:r>
      <w:r w:rsidR="00BE11D4" w:rsidRPr="00D30893">
        <w:t>cooperation with trusted flaggers</w:t>
      </w:r>
      <w:r w:rsidR="00D30893" w:rsidRPr="00D30893">
        <w:t>,</w:t>
      </w:r>
      <w:r w:rsidR="00BE11D4">
        <w:rPr>
          <w:rStyle w:val="FootnoteReference"/>
        </w:rPr>
        <w:footnoteReference w:id="32"/>
      </w:r>
      <w:r w:rsidR="00D30893" w:rsidRPr="00D30893">
        <w:t xml:space="preserve"> or</w:t>
      </w:r>
      <w:r w:rsidR="00BE11D4" w:rsidRPr="00BE11D4">
        <w:t xml:space="preserve"> </w:t>
      </w:r>
      <w:r w:rsidR="00BE11D4" w:rsidRPr="00D30893">
        <w:t>improvements to advertising transparency</w:t>
      </w:r>
      <w:r w:rsidR="00D30893" w:rsidRPr="00D30893">
        <w:t>.</w:t>
      </w:r>
      <w:r w:rsidR="00BE11D4">
        <w:rPr>
          <w:rStyle w:val="FootnoteReference"/>
        </w:rPr>
        <w:footnoteReference w:id="33"/>
      </w:r>
      <w:r w:rsidRPr="00416D67">
        <w:t xml:space="preserve"> </w:t>
      </w:r>
      <w:r w:rsidR="00495648" w:rsidRPr="00495648">
        <w:t>For example, where hateful content repeatedly circulates in a particular language or regional context, a platform may need to adapt its content moderation processes by improving local-language review capacity and the quality of notice processing.</w:t>
      </w:r>
      <w:r w:rsidRPr="00416D67">
        <w:t xml:space="preserve"> The value of systemic assessment is that it responds to the scale and architecture of online harm. Its weakness is that it may become too abstract if disconnected from concrete user experiences. It should therefore complement individual assessment, not replace it. </w:t>
      </w:r>
      <w:commentRangeStart w:id="45"/>
      <w:r w:rsidRPr="00416D67">
        <w:t>Together, the two forms connect the meaning of specific content with the broader platform conditions that shape its impact.</w:t>
      </w:r>
      <w:commentRangeEnd w:id="45"/>
      <w:r w:rsidR="004E71BC">
        <w:rPr>
          <w:rStyle w:val="CommentReference"/>
          <w:sz w:val="24"/>
          <w:szCs w:val="24"/>
        </w:rPr>
        <w:commentReference w:id="45"/>
      </w:r>
    </w:p>
    <w:p w14:paraId="0C193AD8" w14:textId="77777777" w:rsidR="00660BB2" w:rsidRDefault="00660BB2" w:rsidP="00FA4072"/>
    <w:p w14:paraId="0A793824" w14:textId="4FFB2E25" w:rsidR="00193266" w:rsidRDefault="007C6B24" w:rsidP="00FA4072">
      <w:commentRangeStart w:id="46"/>
      <w:r w:rsidRPr="007C6B24">
        <w:t xml:space="preserve">Systemic platform-level assessment therefore broadens contextual assessment from isolated speech to the </w:t>
      </w:r>
      <w:r w:rsidR="00203FE3">
        <w:rPr>
          <w:rFonts w:hint="eastAsia"/>
        </w:rPr>
        <w:t xml:space="preserve">broader </w:t>
      </w:r>
      <w:r w:rsidRPr="007C6B24">
        <w:t xml:space="preserve">conditions that give speech practical force. It examines whether platform architecture, governance, and risk-management practices contribute to the spread or intensification of hateful expression. This does not remove the need for individual content-level judgment; rather, it explains why such judgment may be inadequate on its own. </w:t>
      </w:r>
      <w:commentRangeEnd w:id="46"/>
      <w:r w:rsidR="004E71BC" w:rsidRPr="007C6B24">
        <w:rPr>
          <w:rStyle w:val="CommentReference"/>
          <w:sz w:val="24"/>
          <w:szCs w:val="24"/>
        </w:rPr>
        <w:commentReference w:id="46"/>
      </w:r>
      <w:r w:rsidRPr="007C6B24">
        <w:t>The next section therefore considers how these two forms of contextual assessment relate to each other within EU hate speech moderation.</w:t>
      </w:r>
    </w:p>
    <w:p w14:paraId="22000FC8" w14:textId="77777777" w:rsidR="00193266" w:rsidRPr="00FA4072" w:rsidRDefault="00193266" w:rsidP="00FA4072"/>
    <w:p w14:paraId="3939595D" w14:textId="63EADC7D" w:rsidR="007122F9" w:rsidRDefault="007122F9" w:rsidP="00770167">
      <w:pPr>
        <w:pStyle w:val="Heading2"/>
      </w:pPr>
      <w:bookmarkStart w:id="47" w:name="_Toc233403252"/>
      <w:r>
        <w:lastRenderedPageBreak/>
        <w:t>2.4</w:t>
      </w:r>
      <w:r w:rsidR="00770167">
        <w:t xml:space="preserve"> </w:t>
      </w:r>
      <w:r w:rsidR="00DD2001" w:rsidRPr="00DD2001">
        <w:t xml:space="preserve">Relationship </w:t>
      </w:r>
      <w:r w:rsidR="00DD2001">
        <w:t>B</w:t>
      </w:r>
      <w:r w:rsidR="00DD2001" w:rsidRPr="00DD2001">
        <w:t xml:space="preserve">etween </w:t>
      </w:r>
      <w:r w:rsidR="00DD2001">
        <w:t>D</w:t>
      </w:r>
      <w:r w:rsidR="00DD2001" w:rsidRPr="00DD2001">
        <w:t xml:space="preserve">ifferent </w:t>
      </w:r>
      <w:r w:rsidR="00DD2001">
        <w:t>T</w:t>
      </w:r>
      <w:r w:rsidR="00DD2001" w:rsidRPr="00DD2001">
        <w:t xml:space="preserve">ypes of </w:t>
      </w:r>
      <w:r w:rsidR="00DD2001">
        <w:t>C</w:t>
      </w:r>
      <w:r w:rsidR="00DD2001" w:rsidRPr="00DD2001">
        <w:t xml:space="preserve">ontextual </w:t>
      </w:r>
      <w:r w:rsidR="00DD2001">
        <w:t>A</w:t>
      </w:r>
      <w:r w:rsidR="00DD2001" w:rsidRPr="00DD2001">
        <w:t>ssessment</w:t>
      </w:r>
      <w:bookmarkEnd w:id="47"/>
    </w:p>
    <w:p w14:paraId="3AF6AA98" w14:textId="265D0752" w:rsidR="007122F9" w:rsidRDefault="000B1127" w:rsidP="003C0A77">
      <w:pPr>
        <w:spacing w:after="0"/>
      </w:pPr>
      <w:r w:rsidRPr="000B1127">
        <w:t xml:space="preserve">Individual content-level assessment and systemic platform-level assessment should not be treated as separate or competing models. They address different dimensions of the same regulatory problem. Individual assessment focuses on the meaning and legal significance of a particular item of content, while systemic assessment focuses on the platform conditions that shape how such content is circulated and experienced. The relationship between them is therefore complementary. A platform cannot understand online hate speech only by looking at isolated posts, </w:t>
      </w:r>
      <w:r w:rsidR="00E21C3C" w:rsidRPr="00E21C3C">
        <w:t>because the harm caused by expression may depend on amplification, coordinated harassment, or repeated circulation</w:t>
      </w:r>
      <w:r w:rsidRPr="000B1127">
        <w:t xml:space="preserve">. </w:t>
      </w:r>
      <w:r w:rsidR="00E96E8B" w:rsidRPr="00E96E8B">
        <w:t xml:space="preserve">Equally, systemic risks cannot be assessed in the abstract without attention to concrete examples of content, notices, complaints and </w:t>
      </w:r>
      <w:r w:rsidR="00ED7CCA" w:rsidRPr="00ED7CCA">
        <w:t>individual</w:t>
      </w:r>
      <w:r w:rsidR="00ED7CCA">
        <w:rPr>
          <w:rFonts w:hint="eastAsia"/>
        </w:rPr>
        <w:t xml:space="preserve"> </w:t>
      </w:r>
      <w:r w:rsidR="00E96E8B" w:rsidRPr="00E96E8B">
        <w:t>review outcomes</w:t>
      </w:r>
      <w:r w:rsidRPr="000B1127">
        <w:t>. The two forms of contextual assessment therefore operate at different levels, but they should inform each other.</w:t>
      </w:r>
    </w:p>
    <w:p w14:paraId="450C74B1" w14:textId="77777777" w:rsidR="004E2C64" w:rsidRDefault="004E2C64" w:rsidP="003C0A77">
      <w:pPr>
        <w:spacing w:after="0"/>
      </w:pPr>
    </w:p>
    <w:p w14:paraId="2C657122" w14:textId="5E31FDDF" w:rsidR="00B51B4F" w:rsidRDefault="001C3268" w:rsidP="003C0A77">
      <w:pPr>
        <w:spacing w:after="0"/>
      </w:pPr>
      <w:r w:rsidRPr="001C3268">
        <w:t xml:space="preserve">Individual content decisions can provide evidence for systemic assessment. </w:t>
      </w:r>
      <w:r w:rsidR="00031AAB" w:rsidRPr="00031AAB">
        <w:t>Repeated complaints about similar abuse may reveal patterns that are not visible in a single case. This is reflected in the DSA’s reporting structure: Article 15(1)(d) requires platforms to report the number, basis and outcomes of internal complaints,</w:t>
      </w:r>
      <w:r w:rsidR="00972061">
        <w:rPr>
          <w:rStyle w:val="FootnoteReference"/>
        </w:rPr>
        <w:footnoteReference w:id="34"/>
      </w:r>
      <w:r w:rsidR="00031AAB" w:rsidRPr="00031AAB">
        <w:t xml:space="preserve"> while Article 21(4) requires reporting on out-of-court dispute settlement in a way that may identify systematic or sectoral shortcomings.</w:t>
      </w:r>
      <w:r w:rsidR="00F35638">
        <w:rPr>
          <w:rStyle w:val="FootnoteReference"/>
        </w:rPr>
        <w:footnoteReference w:id="35"/>
      </w:r>
      <w:r w:rsidR="00031AAB" w:rsidRPr="00031AAB">
        <w:t xml:space="preserve"> Together, these provisions treat complaint and dispute data as evidence from which broader weaknesses in platform redress and moderation systems may be detected.</w:t>
      </w:r>
      <w:r w:rsidRPr="001C3268">
        <w:t xml:space="preserve"> Appeal outcomes may also show whether moderation rules are being applied too broadly or too narrowly. In this sense, individual content decisions generate information about recurring failures in detection, enforcement or protection. They help platforms and regulators identify </w:t>
      </w:r>
      <w:r w:rsidRPr="001C3268">
        <w:lastRenderedPageBreak/>
        <w:t>where systemic mitigation may be required, such as improving local-language review, strengthening reporting tools, revising moderation guidance, or reassessing how recommender systems treat harmful material. Individual assessment therefore has significance beyond the particular item of content under review: it can reveal whether the platform’s wider governance framework is working effectively.</w:t>
      </w:r>
    </w:p>
    <w:p w14:paraId="19A176E2" w14:textId="77777777" w:rsidR="004E2C64" w:rsidRDefault="004E2C64" w:rsidP="003C0A77">
      <w:pPr>
        <w:spacing w:after="0"/>
      </w:pPr>
    </w:p>
    <w:p w14:paraId="6857273A" w14:textId="0147E83B" w:rsidR="001C3268" w:rsidRDefault="001C3268" w:rsidP="003C0A77">
      <w:pPr>
        <w:spacing w:after="0"/>
      </w:pPr>
      <w:r w:rsidRPr="001C3268">
        <w:t xml:space="preserve">Conversely, systemic assessment can inform individual content-level assessment. </w:t>
      </w:r>
      <w:r w:rsidR="000B4444">
        <w:t>Firstly, k</w:t>
      </w:r>
      <w:r w:rsidRPr="001C3268">
        <w:t xml:space="preserve">nowledge of platform-wide risks may help moderators understand why a particular expression is harmful in context. </w:t>
      </w:r>
      <w:r w:rsidR="00952990" w:rsidRPr="00952990">
        <w:t>This reflects the Rabat Plan</w:t>
      </w:r>
      <w:r w:rsidR="005002E6">
        <w:t xml:space="preserve"> of </w:t>
      </w:r>
      <w:r w:rsidR="005314A0">
        <w:t>Actions</w:t>
      </w:r>
      <w:r w:rsidR="005314A0" w:rsidRPr="00952990">
        <w:t>’</w:t>
      </w:r>
      <w:r w:rsidR="00952990" w:rsidRPr="00952990">
        <w:t xml:space="preserve"> emphasis on </w:t>
      </w:r>
      <w:r w:rsidR="005002E6">
        <w:t>‘</w:t>
      </w:r>
      <w:r w:rsidR="00952990" w:rsidRPr="00952990">
        <w:t>context</w:t>
      </w:r>
      <w:r w:rsidR="005002E6">
        <w:t>’</w:t>
      </w:r>
      <w:r w:rsidR="00952990" w:rsidRPr="00952990">
        <w:t xml:space="preserve"> as a threshold factor in assessing incitement.</w:t>
      </w:r>
      <w:r w:rsidR="005D6F67">
        <w:rPr>
          <w:rStyle w:val="FootnoteReference"/>
        </w:rPr>
        <w:footnoteReference w:id="36"/>
      </w:r>
      <w:r w:rsidR="00952990" w:rsidRPr="00952990">
        <w:t xml:space="preserve"> During a period of regional tension, an otherwise ambiguous phrase may carry a greater risk because the surrounding social or political circumstances may affect how the audience understands its meaning and likely harm.</w:t>
      </w:r>
      <w:r w:rsidRPr="001C3268">
        <w:t xml:space="preserve"> </w:t>
      </w:r>
      <w:r w:rsidR="000B4444">
        <w:t>Secondly, s</w:t>
      </w:r>
      <w:r w:rsidRPr="001C3268">
        <w:t xml:space="preserve">ystemic risk analysis can also guide moderation resources. Content associated with high-risk contexts may require escalation, human review or more detailed explanation, while clearly unlawful content may be processed more quickly. This does not mean that systemic risk automatically determines the legality of individual speech. Rather, it provides contextual information relevant to assessing meaning, harm and proportionality. The relationship between the two forms is therefore circular: individual cases reveal systemic risks, and systemic risks shape the level of scrutiny required in </w:t>
      </w:r>
      <w:commentRangeStart w:id="48"/>
      <w:r w:rsidRPr="001C3268">
        <w:t>individual cases.</w:t>
      </w:r>
      <w:commentRangeEnd w:id="48"/>
      <w:r w:rsidR="004E71BC">
        <w:rPr>
          <w:rStyle w:val="CommentReference"/>
          <w:sz w:val="24"/>
          <w:szCs w:val="24"/>
        </w:rPr>
        <w:commentReference w:id="48"/>
      </w:r>
    </w:p>
    <w:p w14:paraId="04160208" w14:textId="77777777" w:rsidR="001C3268" w:rsidRDefault="001C3268" w:rsidP="003C0A77">
      <w:pPr>
        <w:spacing w:after="0"/>
      </w:pPr>
    </w:p>
    <w:p w14:paraId="7DC66B9C" w14:textId="29682575" w:rsidR="007122F9" w:rsidRDefault="007122F9" w:rsidP="00770167">
      <w:pPr>
        <w:pStyle w:val="Heading2"/>
      </w:pPr>
      <w:bookmarkStart w:id="49" w:name="_Toc233403253"/>
      <w:r>
        <w:t>2.5</w:t>
      </w:r>
      <w:r w:rsidR="00770167">
        <w:t xml:space="preserve"> </w:t>
      </w:r>
      <w:r w:rsidR="00400125" w:rsidRPr="00400125">
        <w:t xml:space="preserve">Limits of </w:t>
      </w:r>
      <w:r w:rsidR="00400125">
        <w:t>C</w:t>
      </w:r>
      <w:r w:rsidR="00400125" w:rsidRPr="00400125">
        <w:t xml:space="preserve">ontextual </w:t>
      </w:r>
      <w:r w:rsidR="00400125">
        <w:t>A</w:t>
      </w:r>
      <w:r w:rsidR="00400125" w:rsidRPr="00400125">
        <w:t>ssessment</w:t>
      </w:r>
      <w:bookmarkEnd w:id="49"/>
    </w:p>
    <w:p w14:paraId="75982D3D" w14:textId="203F0BDC" w:rsidR="00400125" w:rsidRDefault="00A331F4" w:rsidP="00400125">
      <w:r w:rsidRPr="00A331F4">
        <w:t xml:space="preserve">Although contextual assessment is necessary for accurate hate speech moderation, its scope cannot be unlimited. The first limit is practical. </w:t>
      </w:r>
      <w:r w:rsidR="006A4BA2" w:rsidRPr="006A4BA2">
        <w:t xml:space="preserve">Major platform companies operate at a scale that makes traditional manual moderation increasingly impracticable and pushes them towards </w:t>
      </w:r>
      <w:r w:rsidR="006A4BA2" w:rsidRPr="006A4BA2">
        <w:lastRenderedPageBreak/>
        <w:t>automated systems capable of detecting problematic content proactively and at scale</w:t>
      </w:r>
      <w:r w:rsidRPr="00A331F4">
        <w:t>.</w:t>
      </w:r>
      <w:r w:rsidR="0006417D">
        <w:rPr>
          <w:rStyle w:val="FootnoteReference"/>
        </w:rPr>
        <w:footnoteReference w:id="37"/>
      </w:r>
      <w:r w:rsidRPr="00A331F4">
        <w:t xml:space="preserve"> It would therefore be unrealistic to expect platforms to conduct full judicial-style reasoning for every post, comment, image or video. </w:t>
      </w:r>
      <w:commentRangeStart w:id="50"/>
      <w:r w:rsidRPr="00A331F4">
        <w:t>Contextual assessment requires time</w:t>
      </w:r>
      <w:r w:rsidR="00A426D3">
        <w:t xml:space="preserve"> </w:t>
      </w:r>
      <w:r w:rsidR="005A308A">
        <w:rPr>
          <w:rFonts w:hint="eastAsia"/>
        </w:rPr>
        <w:t>and</w:t>
      </w:r>
      <w:r w:rsidR="005A308A">
        <w:t xml:space="preserve"> access to</w:t>
      </w:r>
      <w:r w:rsidR="00A426D3">
        <w:t xml:space="preserve"> </w:t>
      </w:r>
      <w:r w:rsidRPr="00A331F4">
        <w:t>relevant information</w:t>
      </w:r>
      <w:r w:rsidR="00A40794">
        <w:t>.</w:t>
      </w:r>
      <w:r w:rsidRPr="00A331F4">
        <w:t xml:space="preserve"> </w:t>
      </w:r>
      <w:commentRangeEnd w:id="50"/>
      <w:r w:rsidR="001B58F4" w:rsidRPr="00A40794">
        <w:rPr>
          <w:rStyle w:val="CommentReference"/>
          <w:sz w:val="24"/>
          <w:szCs w:val="24"/>
        </w:rPr>
        <w:commentReference w:id="50"/>
      </w:r>
      <w:r w:rsidR="00A40794" w:rsidRPr="00A40794">
        <w:t>This requirement sits uneasily with moderation systems that often operate under pressure to act quickly</w:t>
      </w:r>
      <w:r w:rsidRPr="00A331F4">
        <w:t>.</w:t>
      </w:r>
      <w:r w:rsidR="00A40794">
        <w:rPr>
          <w:rStyle w:val="FootnoteReference"/>
        </w:rPr>
        <w:footnoteReference w:id="38"/>
      </w:r>
      <w:r w:rsidRPr="00A331F4">
        <w:t xml:space="preserve"> This creates a tension between accuracy and speed. A legal standard that requires exhaustive contextual knowledge in every case would be difficult to implement and may encourage inconsistent or superficial decision-making. For this reason, contextual assessment should be understood as requiring contextual sensitivity, not perfect contextual certainty.</w:t>
      </w:r>
    </w:p>
    <w:p w14:paraId="5C9D5A05" w14:textId="77777777" w:rsidR="00A331F4" w:rsidRDefault="00A331F4" w:rsidP="00400125"/>
    <w:p w14:paraId="0164C8AF" w14:textId="500A3AFA" w:rsidR="00A331F4" w:rsidRDefault="00814F92" w:rsidP="00400125">
      <w:r w:rsidRPr="00814F92">
        <w:t xml:space="preserve">The second limit is epistemic. Platforms and moderators may not always know the full circumstances surrounding a piece of content. They may lack information about the speaker’s intention, the relationship between speaker and target, the meaning of local references, or the historical significance of </w:t>
      </w:r>
      <w:commentRangeStart w:id="51"/>
      <w:r w:rsidRPr="00814F92">
        <w:t xml:space="preserve">particular symbols. </w:t>
      </w:r>
      <w:commentRangeEnd w:id="51"/>
      <w:r w:rsidR="001B58F4" w:rsidRPr="00814F92">
        <w:rPr>
          <w:rStyle w:val="CommentReference"/>
          <w:sz w:val="24"/>
          <w:szCs w:val="24"/>
        </w:rPr>
        <w:commentReference w:id="51"/>
      </w:r>
      <w:r w:rsidRPr="00814F92">
        <w:t>This problem is especially serious where hate speech is communicated through sarcasm, irony, memes, coded language, minority dialects or rapidly changing political references. At the same time, excessive reliance on assumed context may create new risks. Moderators may misread lawful expression as hateful, apply stereotypes about particular groups, or treat ambiguous speech as harmful without sufficient evidence. Contextual assessment therefore requires caution. It should improve interpretation, but it should not become a licence for speculative or arbitrary moderation.</w:t>
      </w:r>
    </w:p>
    <w:p w14:paraId="42090B43" w14:textId="77777777" w:rsidR="008618DD" w:rsidRDefault="008618DD" w:rsidP="003C0A77">
      <w:pPr>
        <w:spacing w:after="0"/>
      </w:pPr>
    </w:p>
    <w:p w14:paraId="12A7B7C1" w14:textId="77777777" w:rsidR="00BD22CF" w:rsidRDefault="00BD22CF" w:rsidP="003C0A77">
      <w:pPr>
        <w:spacing w:after="0"/>
        <w:sectPr w:rsidR="00BD22CF">
          <w:headerReference w:type="default" r:id="rId18"/>
          <w:pgSz w:w="11906" w:h="16838"/>
          <w:pgMar w:top="1440" w:right="1440" w:bottom="1440" w:left="1440" w:header="708" w:footer="708" w:gutter="0"/>
          <w:cols w:space="708"/>
          <w:docGrid w:linePitch="360"/>
        </w:sectPr>
      </w:pPr>
    </w:p>
    <w:p w14:paraId="5BECF8BB" w14:textId="2144E193" w:rsidR="00BD22CF" w:rsidRDefault="00BD22CF" w:rsidP="00BD22CF">
      <w:pPr>
        <w:pStyle w:val="Heading1"/>
      </w:pPr>
      <w:bookmarkStart w:id="52" w:name="_Toc233403254"/>
      <w:r>
        <w:lastRenderedPageBreak/>
        <w:t xml:space="preserve">Chapter 3: </w:t>
      </w:r>
      <w:r w:rsidR="00145FC2" w:rsidRPr="00442040">
        <w:rPr>
          <w:rFonts w:cs="Times New Roman"/>
        </w:rPr>
        <w:t>Implementation of Contextual Assessment in Large-Scale Platform Moderation</w:t>
      </w:r>
      <w:bookmarkEnd w:id="52"/>
    </w:p>
    <w:p w14:paraId="34D39B1E" w14:textId="68BEA5F7" w:rsidR="00BD22CF" w:rsidRDefault="00865BB1" w:rsidP="00865BB1">
      <w:pPr>
        <w:pStyle w:val="Heading2"/>
      </w:pPr>
      <w:bookmarkStart w:id="53" w:name="_Toc233403255"/>
      <w:r>
        <w:t>3.1</w:t>
      </w:r>
      <w:r w:rsidR="00B46E59">
        <w:t xml:space="preserve"> </w:t>
      </w:r>
      <w:r w:rsidR="008A06B2" w:rsidRPr="008A06B2">
        <w:t>Automated Moderation as Preliminary Detection</w:t>
      </w:r>
      <w:bookmarkEnd w:id="53"/>
    </w:p>
    <w:p w14:paraId="58103243" w14:textId="77777777" w:rsidR="00865BB1" w:rsidRDefault="00865BB1" w:rsidP="003C0A77">
      <w:pPr>
        <w:spacing w:after="0"/>
      </w:pPr>
    </w:p>
    <w:p w14:paraId="3AE3E8CF" w14:textId="0148BFA1" w:rsidR="00865BB1" w:rsidRDefault="00865BB1" w:rsidP="00865BB1">
      <w:pPr>
        <w:pStyle w:val="Heading2"/>
      </w:pPr>
      <w:bookmarkStart w:id="54" w:name="_Toc233403256"/>
      <w:r>
        <w:t>3.2</w:t>
      </w:r>
      <w:r w:rsidR="00B46E59">
        <w:t xml:space="preserve"> </w:t>
      </w:r>
      <w:r w:rsidR="00E975DC" w:rsidRPr="00E975DC">
        <w:t>Human Review, Escalation and Local Expertise</w:t>
      </w:r>
      <w:bookmarkEnd w:id="54"/>
    </w:p>
    <w:p w14:paraId="59C1F83B" w14:textId="77777777" w:rsidR="00865BB1" w:rsidRDefault="00865BB1" w:rsidP="003C0A77">
      <w:pPr>
        <w:spacing w:after="0"/>
      </w:pPr>
    </w:p>
    <w:p w14:paraId="635CA92A" w14:textId="0496BD9C" w:rsidR="00865BB1" w:rsidRDefault="00865BB1" w:rsidP="00865BB1">
      <w:pPr>
        <w:pStyle w:val="Heading2"/>
      </w:pPr>
      <w:bookmarkStart w:id="55" w:name="_Toc233403257"/>
      <w:r>
        <w:t>3.3</w:t>
      </w:r>
      <w:r w:rsidR="00B46E59">
        <w:t xml:space="preserve"> </w:t>
      </w:r>
      <w:r w:rsidR="00E16EF2" w:rsidRPr="00E16EF2">
        <w:t>Notice-and-Action and Trusted Flaggers as Contextual Inputs</w:t>
      </w:r>
      <w:bookmarkEnd w:id="55"/>
    </w:p>
    <w:p w14:paraId="10951C47" w14:textId="5A72E25C" w:rsidR="00865BB1" w:rsidRDefault="00865BB1" w:rsidP="003C0A77">
      <w:pPr>
        <w:spacing w:after="0"/>
      </w:pPr>
    </w:p>
    <w:p w14:paraId="6AC74261" w14:textId="2EEF4B94" w:rsidR="00865BB1" w:rsidRDefault="00865BB1" w:rsidP="00865BB1">
      <w:pPr>
        <w:pStyle w:val="Heading2"/>
      </w:pPr>
      <w:bookmarkStart w:id="56" w:name="_Toc233403258"/>
      <w:r>
        <w:t>3.4</w:t>
      </w:r>
      <w:r w:rsidR="00B46E59">
        <w:t xml:space="preserve"> </w:t>
      </w:r>
      <w:r w:rsidR="005009C2" w:rsidRPr="005009C2">
        <w:t>Appeals, Explanations and Review Mechanisms</w:t>
      </w:r>
      <w:bookmarkEnd w:id="56"/>
    </w:p>
    <w:p w14:paraId="51CA062A" w14:textId="77777777" w:rsidR="00865BB1" w:rsidRDefault="00865BB1" w:rsidP="003C0A77">
      <w:pPr>
        <w:spacing w:after="0"/>
      </w:pPr>
    </w:p>
    <w:p w14:paraId="22CEB4E5" w14:textId="2A190064" w:rsidR="00865BB1" w:rsidRDefault="00865BB1" w:rsidP="00865BB1">
      <w:pPr>
        <w:pStyle w:val="Heading2"/>
      </w:pPr>
      <w:bookmarkStart w:id="57" w:name="_Toc233403259"/>
      <w:r>
        <w:t>3.5</w:t>
      </w:r>
      <w:r w:rsidR="00B46E59">
        <w:t xml:space="preserve"> </w:t>
      </w:r>
      <w:r w:rsidR="00943ED1" w:rsidRPr="00F025EC">
        <w:rPr>
          <w:rFonts w:cs="Times New Roman"/>
        </w:rPr>
        <w:t xml:space="preserve">A </w:t>
      </w:r>
      <w:r w:rsidR="00943ED1">
        <w:rPr>
          <w:rFonts w:cs="Times New Roman"/>
        </w:rPr>
        <w:t>T</w:t>
      </w:r>
      <w:r w:rsidR="00943ED1" w:rsidRPr="00F025EC">
        <w:rPr>
          <w:rFonts w:cs="Times New Roman"/>
        </w:rPr>
        <w:t xml:space="preserve">iered </w:t>
      </w:r>
      <w:r w:rsidR="00943ED1">
        <w:rPr>
          <w:rFonts w:cs="Times New Roman"/>
        </w:rPr>
        <w:t>M</w:t>
      </w:r>
      <w:r w:rsidR="00943ED1" w:rsidRPr="00F025EC">
        <w:rPr>
          <w:rFonts w:cs="Times New Roman"/>
        </w:rPr>
        <w:t xml:space="preserve">odel of </w:t>
      </w:r>
      <w:r w:rsidR="00943ED1">
        <w:rPr>
          <w:rFonts w:cs="Times New Roman"/>
        </w:rPr>
        <w:t>C</w:t>
      </w:r>
      <w:r w:rsidR="00943ED1" w:rsidRPr="00F025EC">
        <w:rPr>
          <w:rFonts w:cs="Times New Roman"/>
        </w:rPr>
        <w:t xml:space="preserve">ontextual </w:t>
      </w:r>
      <w:r w:rsidR="00943ED1">
        <w:rPr>
          <w:rFonts w:cs="Times New Roman"/>
        </w:rPr>
        <w:t>M</w:t>
      </w:r>
      <w:r w:rsidR="00943ED1" w:rsidRPr="00F025EC">
        <w:rPr>
          <w:rFonts w:cs="Times New Roman"/>
        </w:rPr>
        <w:t>oderation</w:t>
      </w:r>
      <w:bookmarkEnd w:id="57"/>
    </w:p>
    <w:p w14:paraId="075E3AC0" w14:textId="77777777" w:rsidR="00865BB1" w:rsidRDefault="00865BB1" w:rsidP="003C0A77">
      <w:pPr>
        <w:spacing w:after="0"/>
      </w:pPr>
    </w:p>
    <w:p w14:paraId="593430B2" w14:textId="77777777" w:rsidR="00BD22CF" w:rsidRDefault="00BD22CF" w:rsidP="003C0A77">
      <w:pPr>
        <w:spacing w:after="0"/>
      </w:pPr>
    </w:p>
    <w:p w14:paraId="149DF6AA" w14:textId="77777777" w:rsidR="00BD22CF" w:rsidRDefault="00BD22CF" w:rsidP="003C0A77">
      <w:pPr>
        <w:spacing w:after="0"/>
        <w:sectPr w:rsidR="00BD22CF">
          <w:headerReference w:type="default" r:id="rId19"/>
          <w:pgSz w:w="11906" w:h="16838"/>
          <w:pgMar w:top="1440" w:right="1440" w:bottom="1440" w:left="1440" w:header="708" w:footer="708" w:gutter="0"/>
          <w:cols w:space="708"/>
          <w:docGrid w:linePitch="360"/>
        </w:sectPr>
      </w:pPr>
    </w:p>
    <w:p w14:paraId="5490D743" w14:textId="7CFC7750" w:rsidR="00BD22CF" w:rsidRDefault="00CE3C42" w:rsidP="00CE3C42">
      <w:pPr>
        <w:pStyle w:val="Heading1"/>
      </w:pPr>
      <w:bookmarkStart w:id="58" w:name="_Toc233403260"/>
      <w:r w:rsidRPr="0019117E">
        <w:rPr>
          <w:rFonts w:hint="eastAsia"/>
        </w:rPr>
        <w:lastRenderedPageBreak/>
        <w:t>Chapter</w:t>
      </w:r>
      <w:r>
        <w:rPr>
          <w:rFonts w:hint="eastAsia"/>
        </w:rPr>
        <w:t xml:space="preserve"> </w:t>
      </w:r>
      <w:r>
        <w:t>4</w:t>
      </w:r>
      <w:r w:rsidR="005146C3">
        <w:t xml:space="preserve">: </w:t>
      </w:r>
      <w:r w:rsidR="00945ACA" w:rsidRPr="00945ACA">
        <w:t>Risks and Safeguards</w:t>
      </w:r>
      <w:bookmarkEnd w:id="58"/>
    </w:p>
    <w:p w14:paraId="17F21F64" w14:textId="667C0582" w:rsidR="00CE3C42" w:rsidRDefault="0054545B" w:rsidP="0054545B">
      <w:pPr>
        <w:pStyle w:val="Heading2"/>
      </w:pPr>
      <w:bookmarkStart w:id="59" w:name="_Toc233403261"/>
      <w:r>
        <w:t xml:space="preserve">4.1 </w:t>
      </w:r>
      <w:r w:rsidR="00D719E8" w:rsidRPr="00D719E8">
        <w:t>Over-Removal and Chilling Effect</w:t>
      </w:r>
      <w:bookmarkEnd w:id="59"/>
    </w:p>
    <w:p w14:paraId="236AFB73" w14:textId="77777777" w:rsidR="0054545B" w:rsidRDefault="0054545B" w:rsidP="003C0A77">
      <w:pPr>
        <w:spacing w:after="0"/>
      </w:pPr>
    </w:p>
    <w:p w14:paraId="2FE5B5F5" w14:textId="0D2369CD" w:rsidR="00AC795F" w:rsidRPr="00F84E3A" w:rsidRDefault="0054545B" w:rsidP="00E00301">
      <w:pPr>
        <w:pStyle w:val="Heading2"/>
        <w:rPr>
          <w:rFonts w:cs="Times New Roman"/>
          <w:u w:val="single"/>
        </w:rPr>
      </w:pPr>
      <w:bookmarkStart w:id="60" w:name="_Toc233403262"/>
      <w:r>
        <w:t xml:space="preserve">4.2 </w:t>
      </w:r>
      <w:r w:rsidR="00E00301" w:rsidRPr="00E00301">
        <w:t>Under-Removal and Unequal Protection</w:t>
      </w:r>
      <w:bookmarkEnd w:id="60"/>
    </w:p>
    <w:p w14:paraId="73B5BD05" w14:textId="77777777" w:rsidR="0054545B" w:rsidRDefault="0054545B" w:rsidP="003C0A77">
      <w:pPr>
        <w:spacing w:after="0"/>
      </w:pPr>
    </w:p>
    <w:p w14:paraId="037BCE58" w14:textId="4880AF97" w:rsidR="0054545B" w:rsidRDefault="0054545B" w:rsidP="0054545B">
      <w:pPr>
        <w:pStyle w:val="Heading2"/>
      </w:pPr>
      <w:bookmarkStart w:id="61" w:name="_Toc233403263"/>
      <w:r>
        <w:t xml:space="preserve">4.3 </w:t>
      </w:r>
      <w:r w:rsidR="009E1DB1" w:rsidRPr="009E1DB1">
        <w:t>Privatised Legality Determination</w:t>
      </w:r>
      <w:bookmarkEnd w:id="61"/>
    </w:p>
    <w:p w14:paraId="181EA378" w14:textId="77777777" w:rsidR="0054545B" w:rsidRDefault="0054545B" w:rsidP="003C0A77">
      <w:pPr>
        <w:spacing w:after="0"/>
      </w:pPr>
    </w:p>
    <w:p w14:paraId="2E4395D5" w14:textId="208F25D6" w:rsidR="0054545B" w:rsidRDefault="0054545B" w:rsidP="0054545B">
      <w:pPr>
        <w:pStyle w:val="Heading2"/>
      </w:pPr>
      <w:bookmarkStart w:id="62" w:name="_Toc233403264"/>
      <w:r>
        <w:t xml:space="preserve">4.4 </w:t>
      </w:r>
      <w:r w:rsidR="00480469" w:rsidRPr="00480469">
        <w:t>Opacity, Inconsistency and Accountability Deficits</w:t>
      </w:r>
      <w:bookmarkEnd w:id="62"/>
    </w:p>
    <w:p w14:paraId="04F632AF" w14:textId="77777777" w:rsidR="0054545B" w:rsidRDefault="0054545B" w:rsidP="003C0A77">
      <w:pPr>
        <w:spacing w:after="0"/>
      </w:pPr>
    </w:p>
    <w:p w14:paraId="38557FD7" w14:textId="6A9080FD" w:rsidR="0054545B" w:rsidRDefault="0054545B" w:rsidP="0054545B">
      <w:pPr>
        <w:pStyle w:val="Heading2"/>
      </w:pPr>
      <w:bookmarkStart w:id="63" w:name="_Toc233403265"/>
      <w:r>
        <w:t xml:space="preserve">4.5 </w:t>
      </w:r>
      <w:r w:rsidR="00134CF6" w:rsidRPr="00134CF6">
        <w:t>Safeguards for Legitimate Contextual Assessment</w:t>
      </w:r>
      <w:bookmarkEnd w:id="63"/>
    </w:p>
    <w:p w14:paraId="2862FE34" w14:textId="77777777" w:rsidR="0054545B" w:rsidRDefault="0054545B" w:rsidP="003C0A77">
      <w:pPr>
        <w:spacing w:after="0"/>
      </w:pPr>
    </w:p>
    <w:p w14:paraId="41792041" w14:textId="77777777" w:rsidR="00CE3C42" w:rsidRDefault="00CE3C42" w:rsidP="003C0A77">
      <w:pPr>
        <w:spacing w:after="0"/>
      </w:pPr>
    </w:p>
    <w:p w14:paraId="0B0C9521" w14:textId="77777777" w:rsidR="00CE3C42" w:rsidRDefault="00CE3C42" w:rsidP="003C0A77">
      <w:pPr>
        <w:spacing w:after="0"/>
        <w:sectPr w:rsidR="00CE3C42">
          <w:headerReference w:type="default" r:id="rId20"/>
          <w:pgSz w:w="11906" w:h="16838"/>
          <w:pgMar w:top="1440" w:right="1440" w:bottom="1440" w:left="1440" w:header="708" w:footer="708" w:gutter="0"/>
          <w:cols w:space="708"/>
          <w:docGrid w:linePitch="360"/>
        </w:sectPr>
      </w:pPr>
    </w:p>
    <w:p w14:paraId="140E8C34" w14:textId="5C10B63A" w:rsidR="00BD22CF" w:rsidRDefault="00E7699D" w:rsidP="00E7699D">
      <w:pPr>
        <w:pStyle w:val="Heading1"/>
      </w:pPr>
      <w:bookmarkStart w:id="64" w:name="_Toc233403266"/>
      <w:r w:rsidRPr="0019117E">
        <w:rPr>
          <w:rFonts w:hint="eastAsia"/>
        </w:rPr>
        <w:lastRenderedPageBreak/>
        <w:t>Chapter</w:t>
      </w:r>
      <w:r>
        <w:rPr>
          <w:rFonts w:hint="eastAsia"/>
        </w:rPr>
        <w:t xml:space="preserve"> </w:t>
      </w:r>
      <w:r>
        <w:t xml:space="preserve">5: </w:t>
      </w:r>
      <w:r w:rsidR="00B02B0D">
        <w:t>Conclusion</w:t>
      </w:r>
      <w:bookmarkEnd w:id="64"/>
    </w:p>
    <w:p w14:paraId="6ED48520" w14:textId="77777777" w:rsidR="00E7699D" w:rsidRDefault="00E7699D" w:rsidP="003C0A77">
      <w:pPr>
        <w:spacing w:after="0"/>
      </w:pPr>
    </w:p>
    <w:p w14:paraId="39AD8FF4" w14:textId="77777777" w:rsidR="00E7699D" w:rsidRDefault="00E7699D" w:rsidP="003C0A77">
      <w:pPr>
        <w:spacing w:after="0"/>
      </w:pPr>
    </w:p>
    <w:p w14:paraId="7CC1BD65" w14:textId="77777777" w:rsidR="00E7699D" w:rsidRDefault="00E7699D" w:rsidP="003C0A77">
      <w:pPr>
        <w:spacing w:after="0"/>
        <w:sectPr w:rsidR="00E7699D">
          <w:headerReference w:type="default" r:id="rId21"/>
          <w:pgSz w:w="11906" w:h="16838"/>
          <w:pgMar w:top="1440" w:right="1440" w:bottom="1440" w:left="1440" w:header="708" w:footer="708" w:gutter="0"/>
          <w:cols w:space="708"/>
          <w:docGrid w:linePitch="360"/>
        </w:sectPr>
      </w:pPr>
    </w:p>
    <w:p w14:paraId="44F4E768" w14:textId="7A7A8E7E" w:rsidR="00BD22CF" w:rsidRDefault="0053782C" w:rsidP="0053782C">
      <w:pPr>
        <w:pStyle w:val="Heading1"/>
      </w:pPr>
      <w:bookmarkStart w:id="65" w:name="_Toc233403267"/>
      <w:r>
        <w:lastRenderedPageBreak/>
        <w:t>Bibliography</w:t>
      </w:r>
      <w:bookmarkEnd w:id="65"/>
    </w:p>
    <w:p w14:paraId="76B94F19" w14:textId="77777777" w:rsidR="0053782C" w:rsidRDefault="0053782C" w:rsidP="003C0A77">
      <w:pPr>
        <w:spacing w:after="0"/>
      </w:pPr>
    </w:p>
    <w:p w14:paraId="6250FA87" w14:textId="77777777" w:rsidR="0053782C" w:rsidRDefault="0053782C" w:rsidP="003C0A77">
      <w:pPr>
        <w:spacing w:after="0"/>
      </w:pPr>
    </w:p>
    <w:p w14:paraId="2F8BC48D" w14:textId="77777777" w:rsidR="0053782C" w:rsidRDefault="0053782C" w:rsidP="003C0A77">
      <w:pPr>
        <w:spacing w:after="0"/>
        <w:sectPr w:rsidR="0053782C">
          <w:headerReference w:type="default" r:id="rId22"/>
          <w:pgSz w:w="11906" w:h="16838"/>
          <w:pgMar w:top="1440" w:right="1440" w:bottom="1440" w:left="1440" w:header="708" w:footer="708" w:gutter="0"/>
          <w:cols w:space="708"/>
          <w:docGrid w:linePitch="360"/>
        </w:sectPr>
      </w:pPr>
    </w:p>
    <w:p w14:paraId="69EB4B78" w14:textId="77777777" w:rsidR="00D86254" w:rsidRDefault="00D86254" w:rsidP="003C0A77">
      <w:pPr>
        <w:spacing w:after="0"/>
      </w:pPr>
    </w:p>
    <w:sectPr w:rsidR="00D8625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Liana Japaridze" w:date="2026-06-29T13:53:00Z" w:initials="LJ">
    <w:p w14:paraId="70CE1405" w14:textId="77777777" w:rsidR="003006CA" w:rsidRDefault="003006CA" w:rsidP="003006CA">
      <w:pPr>
        <w:pStyle w:val="CommentText"/>
      </w:pPr>
      <w:r>
        <w:rPr>
          <w:rStyle w:val="CommentReference"/>
        </w:rPr>
        <w:annotationRef/>
      </w:r>
      <w:r>
        <w:t>Is this the definition that you came up with, or is there a source you used that has this definition in it? If the latter, it would be good to cite the source in the footnote.</w:t>
      </w:r>
    </w:p>
  </w:comment>
  <w:comment w:id="22" w:author="Liana Japaridze" w:date="2026-06-29T13:54:00Z" w:initials="LJ">
    <w:p w14:paraId="159214AC" w14:textId="77777777" w:rsidR="003006CA" w:rsidRDefault="003006CA" w:rsidP="003006CA">
      <w:pPr>
        <w:pStyle w:val="CommentText"/>
      </w:pPr>
      <w:r>
        <w:rPr>
          <w:rStyle w:val="CommentReference"/>
        </w:rPr>
        <w:annotationRef/>
      </w:r>
      <w:r>
        <w:t xml:space="preserve">Do you mean - “It is therefore necessary to conduct a structured evaluation of…”? </w:t>
      </w:r>
    </w:p>
  </w:comment>
  <w:comment w:id="24" w:author="Liana Japaridze" w:date="2026-06-29T13:57:00Z" w:initials="LJ">
    <w:p w14:paraId="1809229C" w14:textId="77777777" w:rsidR="003006CA" w:rsidRDefault="003006CA" w:rsidP="003006CA">
      <w:pPr>
        <w:pStyle w:val="CommentText"/>
      </w:pPr>
      <w:r>
        <w:rPr>
          <w:rStyle w:val="CommentReference"/>
        </w:rPr>
        <w:annotationRef/>
      </w:r>
      <w:r>
        <w:t>It is best to include this source after discussing Charter provisions (see the next comment).</w:t>
      </w:r>
    </w:p>
  </w:comment>
  <w:comment w:id="25" w:author="Liana Japaridze" w:date="2026-06-29T13:58:00Z" w:initials="LJ">
    <w:p w14:paraId="53700847" w14:textId="77777777" w:rsidR="003006CA" w:rsidRDefault="003006CA" w:rsidP="003006CA">
      <w:pPr>
        <w:pStyle w:val="CommentText"/>
      </w:pPr>
      <w:r>
        <w:rPr>
          <w:rStyle w:val="CommentReference"/>
        </w:rPr>
        <w:annotationRef/>
      </w:r>
      <w:r>
        <w:t>Put these concepts in quotation marks.</w:t>
      </w:r>
    </w:p>
  </w:comment>
  <w:comment w:id="26" w:author="Liana Japaridze" w:date="2026-06-29T13:56:00Z" w:initials="LJ">
    <w:p w14:paraId="6BD8C014" w14:textId="77777777" w:rsidR="003006CA" w:rsidRDefault="003006CA" w:rsidP="003006CA">
      <w:pPr>
        <w:pStyle w:val="CommentText"/>
      </w:pPr>
      <w:r>
        <w:rPr>
          <w:rStyle w:val="CommentReference"/>
        </w:rPr>
        <w:annotationRef/>
      </w:r>
      <w:r>
        <w:t>It is best to discuss the Charter first - this is the primary law of the EU (i.e. has ‘constitutional’ value). Therefore, it should be analysed before any other legal act.</w:t>
      </w:r>
    </w:p>
  </w:comment>
  <w:comment w:id="27" w:author="Liana Japaridze" w:date="2026-06-29T13:57:00Z" w:initials="LJ">
    <w:p w14:paraId="22BAC3B5" w14:textId="77777777" w:rsidR="003006CA" w:rsidRDefault="003006CA" w:rsidP="003006CA">
      <w:pPr>
        <w:pStyle w:val="CommentText"/>
      </w:pPr>
      <w:r>
        <w:rPr>
          <w:rStyle w:val="CommentReference"/>
        </w:rPr>
        <w:annotationRef/>
      </w:r>
      <w:r>
        <w:t>Maybe add 2-3 sentences to explain why these rights are important from the viewpoint of hate speech moderation.</w:t>
      </w:r>
    </w:p>
  </w:comment>
  <w:comment w:id="28" w:author="Liana Japaridze" w:date="2026-06-29T14:01:00Z" w:initials="LJ">
    <w:p w14:paraId="7EC68C63" w14:textId="77777777" w:rsidR="003006CA" w:rsidRDefault="003006CA" w:rsidP="003006CA">
      <w:pPr>
        <w:pStyle w:val="CommentText"/>
      </w:pPr>
      <w:r>
        <w:rPr>
          <w:rStyle w:val="CommentReference"/>
        </w:rPr>
        <w:annotationRef/>
      </w:r>
      <w:r>
        <w:t>You can simply say here “The Act recognises that…” - you already indicate the provision in footnote 11 below, there is no need to repeat it in the text as we..</w:t>
      </w:r>
    </w:p>
  </w:comment>
  <w:comment w:id="29" w:author="Liana Japaridze" w:date="2026-06-29T14:02:00Z" w:initials="LJ">
    <w:p w14:paraId="2C3F51E3" w14:textId="77777777" w:rsidR="003006CA" w:rsidRDefault="003006CA" w:rsidP="003006CA">
      <w:pPr>
        <w:pStyle w:val="CommentText"/>
      </w:pPr>
      <w:r>
        <w:rPr>
          <w:rStyle w:val="CommentReference"/>
        </w:rPr>
        <w:annotationRef/>
      </w:r>
      <w:r>
        <w:t>Is this your interpretation of the article 34(2), or have you consulted any academic source that provides this interpretation? If the latter, please include that academic source (e.g. journal article) in footnote 11 alongside article 34(2).</w:t>
      </w:r>
    </w:p>
  </w:comment>
  <w:comment w:id="30" w:author="Liana Japaridze" w:date="2026-06-29T14:05:00Z" w:initials="LJ">
    <w:p w14:paraId="2FA345BF" w14:textId="77777777" w:rsidR="009E3799" w:rsidRDefault="009E3799" w:rsidP="009E3799">
      <w:pPr>
        <w:pStyle w:val="CommentText"/>
      </w:pPr>
      <w:r>
        <w:rPr>
          <w:rStyle w:val="CommentReference"/>
        </w:rPr>
        <w:annotationRef/>
      </w:r>
      <w:r>
        <w:t>You might want to move this sentence in subchapter 2.4. where you discuss the relationship between the two types of contextual assessment. Since you have not introduced the two types of assessment before this point, it is best to not mention them here.</w:t>
      </w:r>
    </w:p>
  </w:comment>
  <w:comment w:id="31" w:author="Liana Japaridze" w:date="2026-06-29T14:06:00Z" w:initials="LJ">
    <w:p w14:paraId="7E9BA8F0" w14:textId="77777777" w:rsidR="009E3799" w:rsidRDefault="009E3799" w:rsidP="009E3799">
      <w:pPr>
        <w:pStyle w:val="CommentText"/>
      </w:pPr>
      <w:r>
        <w:rPr>
          <w:rStyle w:val="CommentReference"/>
        </w:rPr>
        <w:annotationRef/>
      </w:r>
      <w:r>
        <w:t>Again - is there any academic source that views this code of conduct as an implied mechanism for contextual assessment? If yes, please put it in footnote 12 alongside the Code.</w:t>
      </w:r>
    </w:p>
  </w:comment>
  <w:comment w:id="32" w:author="Liana Japaridze" w:date="2026-06-29T14:07:00Z" w:initials="LJ">
    <w:p w14:paraId="7BEA5BC0" w14:textId="77777777" w:rsidR="009E3799" w:rsidRDefault="009E3799" w:rsidP="009E3799">
      <w:pPr>
        <w:pStyle w:val="CommentText"/>
      </w:pPr>
      <w:r>
        <w:rPr>
          <w:rStyle w:val="CommentReference"/>
        </w:rPr>
        <w:annotationRef/>
      </w:r>
      <w:r>
        <w:t>Amend this sentence to include the changed sequence of acts that you discuss above and the soft law document (Code) that you mention.</w:t>
      </w:r>
    </w:p>
  </w:comment>
  <w:comment w:id="33" w:author="Liana Japaridze" w:date="2026-06-29T14:08:00Z" w:initials="LJ">
    <w:p w14:paraId="24CF989C" w14:textId="77777777" w:rsidR="009E3799" w:rsidRDefault="009E3799" w:rsidP="009E3799">
      <w:pPr>
        <w:pStyle w:val="CommentText"/>
      </w:pPr>
      <w:r>
        <w:rPr>
          <w:rStyle w:val="CommentReference"/>
        </w:rPr>
        <w:annotationRef/>
      </w:r>
      <w:r>
        <w:t>‘...is also relevant…’</w:t>
      </w:r>
    </w:p>
  </w:comment>
  <w:comment w:id="34" w:author="Liana Japaridze" w:date="2026-06-29T14:09:00Z" w:initials="LJ">
    <w:p w14:paraId="64FAD9A7" w14:textId="77777777" w:rsidR="009E3799" w:rsidRDefault="009E3799" w:rsidP="009E3799">
      <w:pPr>
        <w:pStyle w:val="CommentText"/>
      </w:pPr>
      <w:r>
        <w:rPr>
          <w:rStyle w:val="CommentReference"/>
        </w:rPr>
        <w:annotationRef/>
      </w:r>
      <w:r>
        <w:t>‘...thereby hurting fundamental rights such as freedom of expression…’</w:t>
      </w:r>
    </w:p>
  </w:comment>
  <w:comment w:id="35" w:author="Liana Japaridze" w:date="2026-06-29T14:10:00Z" w:initials="LJ">
    <w:p w14:paraId="3B836B68" w14:textId="77777777" w:rsidR="009E3799" w:rsidRDefault="009E3799" w:rsidP="009E3799">
      <w:pPr>
        <w:pStyle w:val="CommentText"/>
      </w:pPr>
      <w:r>
        <w:rPr>
          <w:rStyle w:val="CommentReference"/>
        </w:rPr>
        <w:annotationRef/>
      </w:r>
      <w:r>
        <w:t>‘…, hence affecting equality rights under the EU law.’</w:t>
      </w:r>
    </w:p>
  </w:comment>
  <w:comment w:id="36" w:author="Liana Japaridze" w:date="2026-06-29T14:19:00Z" w:initials="LJ">
    <w:p w14:paraId="30D635C1" w14:textId="77777777" w:rsidR="00DF5060" w:rsidRDefault="00DF5060" w:rsidP="00DF5060">
      <w:pPr>
        <w:pStyle w:val="CommentText"/>
      </w:pPr>
      <w:r>
        <w:rPr>
          <w:rStyle w:val="CommentReference"/>
        </w:rPr>
        <w:annotationRef/>
      </w:r>
      <w:r>
        <w:t>To avoid repetition of the info from the previous paragraph, you could rephrase these two sentences and join them into one sentence. One possible example of a new sentence could be “In contrast, implementing contextual assessment would support proportional decision making (as required by the EU Charter), provided that such assessment is carried vis-a-vis individual decisions, while the legal framework also supports operation of platform systems in a way that supports nuanced hate speech detection on a systemic level (as required by the DSA).” This is just a suggested sentence - you might want to draft your own (with your own words) along the same lines. Also, there is no need to use footnotes here.</w:t>
      </w:r>
    </w:p>
  </w:comment>
  <w:comment w:id="38" w:author="Liana Japaridze" w:date="2026-06-29T14:20:00Z" w:initials="LJ">
    <w:p w14:paraId="0E22EAD2" w14:textId="77777777" w:rsidR="00DF5060" w:rsidRDefault="00DF5060" w:rsidP="00DF5060">
      <w:pPr>
        <w:pStyle w:val="CommentText"/>
      </w:pPr>
      <w:r>
        <w:rPr>
          <w:rStyle w:val="CommentReference"/>
        </w:rPr>
        <w:annotationRef/>
      </w:r>
      <w:r>
        <w:t>Did you come up with the names of these two types of assessment, or did you use any academic source for this? If the latter, please cite the source here.</w:t>
      </w:r>
    </w:p>
  </w:comment>
  <w:comment w:id="40" w:author="Liana Japaridze" w:date="2026-06-29T14:22:00Z" w:initials="LJ">
    <w:p w14:paraId="091BC396" w14:textId="77777777" w:rsidR="00DF5060" w:rsidRDefault="00DF5060" w:rsidP="00DF5060">
      <w:pPr>
        <w:pStyle w:val="CommentText"/>
      </w:pPr>
      <w:r>
        <w:rPr>
          <w:rStyle w:val="CommentReference"/>
        </w:rPr>
        <w:annotationRef/>
      </w:r>
      <w:r>
        <w:t>Again - is this your own definition, or can you cite an academic source that makes this definition?</w:t>
      </w:r>
    </w:p>
  </w:comment>
  <w:comment w:id="41" w:author="Liana Japaridze" w:date="2026-06-29T14:23:00Z" w:initials="LJ">
    <w:p w14:paraId="4CE02AFE" w14:textId="77777777" w:rsidR="00DF5060" w:rsidRDefault="00DF5060" w:rsidP="00DF5060">
      <w:pPr>
        <w:pStyle w:val="CommentText"/>
      </w:pPr>
      <w:r>
        <w:rPr>
          <w:rStyle w:val="CommentReference"/>
        </w:rPr>
        <w:annotationRef/>
      </w:r>
      <w:r>
        <w:t xml:space="preserve">‘...setting/context’? - You use the term ‘context’ in the subsequent paragraph when giving examples, so I think it is the best if you use this word here as well. </w:t>
      </w:r>
    </w:p>
  </w:comment>
  <w:comment w:id="42" w:author="Liana Japaridze" w:date="2026-06-29T14:25:00Z" w:initials="LJ">
    <w:p w14:paraId="04D25606" w14:textId="77777777" w:rsidR="004E71BC" w:rsidRDefault="004E71BC" w:rsidP="004E71BC">
      <w:pPr>
        <w:pStyle w:val="CommentText"/>
      </w:pPr>
      <w:r>
        <w:rPr>
          <w:rStyle w:val="CommentReference"/>
        </w:rPr>
        <w:annotationRef/>
      </w:r>
      <w:r>
        <w:t>I think this part should be treated as a separate paragraph (not the continuation of a larger paragraph) because it provides a distinct idea about the merits of the contextual assessment.</w:t>
      </w:r>
    </w:p>
  </w:comment>
  <w:comment w:id="44" w:author="Liana Japaridze" w:date="2026-06-29T14:26:00Z" w:initials="LJ">
    <w:p w14:paraId="367AF485" w14:textId="77777777" w:rsidR="004E71BC" w:rsidRDefault="004E71BC" w:rsidP="004E71BC">
      <w:pPr>
        <w:pStyle w:val="CommentText"/>
      </w:pPr>
      <w:r>
        <w:rPr>
          <w:rStyle w:val="CommentReference"/>
        </w:rPr>
        <w:annotationRef/>
      </w:r>
      <w:r>
        <w:t>Again - any academic source that you read this from? If yes, please cite.</w:t>
      </w:r>
    </w:p>
  </w:comment>
  <w:comment w:id="45" w:author="Liana Japaridze" w:date="2026-06-29T14:29:00Z" w:initials="LJ">
    <w:p w14:paraId="582284AF" w14:textId="77777777" w:rsidR="004E71BC" w:rsidRDefault="004E71BC" w:rsidP="004E71BC">
      <w:pPr>
        <w:pStyle w:val="CommentText"/>
      </w:pPr>
      <w:r>
        <w:rPr>
          <w:rStyle w:val="CommentReference"/>
        </w:rPr>
        <w:annotationRef/>
      </w:r>
      <w:r>
        <w:t>I think it is best to move this sentence to subsection 2.4.</w:t>
      </w:r>
    </w:p>
  </w:comment>
  <w:comment w:id="46" w:author="Liana Japaridze" w:date="2026-06-29T14:30:00Z" w:initials="LJ">
    <w:p w14:paraId="0E563B38" w14:textId="77777777" w:rsidR="004E71BC" w:rsidRDefault="004E71BC" w:rsidP="004E71BC">
      <w:pPr>
        <w:pStyle w:val="CommentText"/>
      </w:pPr>
      <w:r>
        <w:rPr>
          <w:rStyle w:val="CommentReference"/>
        </w:rPr>
        <w:annotationRef/>
      </w:r>
      <w:r>
        <w:t>This part also belongs in the subsection 2.4. The last sentence of this paragraph can be tied to the previous paragraph.</w:t>
      </w:r>
    </w:p>
  </w:comment>
  <w:comment w:id="48" w:author="Liana Japaridze" w:date="2026-06-29T14:33:00Z" w:initials="LJ">
    <w:p w14:paraId="0E203068" w14:textId="77777777" w:rsidR="004E71BC" w:rsidRDefault="004E71BC" w:rsidP="004E71BC">
      <w:pPr>
        <w:pStyle w:val="CommentText"/>
      </w:pPr>
      <w:r>
        <w:rPr>
          <w:rStyle w:val="CommentReference"/>
        </w:rPr>
        <w:annotationRef/>
      </w:r>
      <w:r>
        <w:t>I really like this sub-section! If possible, add the sentences/paragraphs that I advised you to move here from the other sub-sections. However, if you just want to delete them from above and keep this sub-section as it is, that is also fine by me. See which approach works best for you.</w:t>
      </w:r>
    </w:p>
  </w:comment>
  <w:comment w:id="50" w:author="Liana Japaridze" w:date="2026-06-29T14:38:00Z" w:initials="LJ">
    <w:p w14:paraId="544B5881" w14:textId="77777777" w:rsidR="001B58F4" w:rsidRDefault="001B58F4" w:rsidP="001B58F4">
      <w:pPr>
        <w:pStyle w:val="CommentText"/>
      </w:pPr>
      <w:r>
        <w:rPr>
          <w:rStyle w:val="CommentReference"/>
        </w:rPr>
        <w:annotationRef/>
      </w:r>
      <w:r>
        <w:t>Maybe add a sentence or two here, explaining that this is true even if the contextual assessment is done by trained algorithm, and this is due to a share size of the major platforms and the amount of information that is shared via them on a daily basis.</w:t>
      </w:r>
    </w:p>
  </w:comment>
  <w:comment w:id="51" w:author="Liana Japaridze" w:date="2026-06-29T14:41:00Z" w:initials="LJ">
    <w:p w14:paraId="6ACC5725" w14:textId="77777777" w:rsidR="001B58F4" w:rsidRDefault="001B58F4" w:rsidP="001B58F4">
      <w:pPr>
        <w:pStyle w:val="CommentText"/>
      </w:pPr>
      <w:r>
        <w:rPr>
          <w:rStyle w:val="CommentReference"/>
        </w:rPr>
        <w:annotationRef/>
      </w:r>
      <w:r>
        <w:t>Maybe add a sentence or two explaining that, this problem arises despite of the fact that platforms might employ local teams who could help with moderating the content better. It’s just that these platforms are so global and people tune in from so many places of the world, that one can never have a picture-perfect idea of a broader context, no matter how much effort is put into this exercise.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CE1405" w15:done="0"/>
  <w15:commentEx w15:paraId="159214AC" w15:done="0"/>
  <w15:commentEx w15:paraId="1809229C" w15:done="0"/>
  <w15:commentEx w15:paraId="53700847" w15:done="0"/>
  <w15:commentEx w15:paraId="6BD8C014" w15:done="0"/>
  <w15:commentEx w15:paraId="22BAC3B5" w15:done="0"/>
  <w15:commentEx w15:paraId="7EC68C63" w15:done="0"/>
  <w15:commentEx w15:paraId="2C3F51E3" w15:done="0"/>
  <w15:commentEx w15:paraId="2FA345BF" w15:done="0"/>
  <w15:commentEx w15:paraId="7E9BA8F0" w15:done="0"/>
  <w15:commentEx w15:paraId="7BEA5BC0" w15:done="0"/>
  <w15:commentEx w15:paraId="24CF989C" w15:done="0"/>
  <w15:commentEx w15:paraId="64FAD9A7" w15:done="0"/>
  <w15:commentEx w15:paraId="3B836B68" w15:done="0"/>
  <w15:commentEx w15:paraId="30D635C1" w15:done="0"/>
  <w15:commentEx w15:paraId="0E22EAD2" w15:done="0"/>
  <w15:commentEx w15:paraId="091BC396" w15:done="0"/>
  <w15:commentEx w15:paraId="4CE02AFE" w15:done="0"/>
  <w15:commentEx w15:paraId="04D25606" w15:done="0"/>
  <w15:commentEx w15:paraId="367AF485" w15:done="0"/>
  <w15:commentEx w15:paraId="582284AF" w15:done="0"/>
  <w15:commentEx w15:paraId="0E563B38" w15:done="0"/>
  <w15:commentEx w15:paraId="0E203068" w15:done="0"/>
  <w15:commentEx w15:paraId="544B5881" w15:done="0"/>
  <w15:commentEx w15:paraId="6ACC57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248C4D" w16cex:dateUtc="2026-06-29T12:53:00Z"/>
  <w16cex:commentExtensible w16cex:durableId="40C32E10" w16cex:dateUtc="2026-06-29T12:54:00Z"/>
  <w16cex:commentExtensible w16cex:durableId="645F98C5" w16cex:dateUtc="2026-06-29T12:57:00Z"/>
  <w16cex:commentExtensible w16cex:durableId="5415E840" w16cex:dateUtc="2026-06-29T12:58:00Z"/>
  <w16cex:commentExtensible w16cex:durableId="0E372342" w16cex:dateUtc="2026-06-29T12:56:00Z"/>
  <w16cex:commentExtensible w16cex:durableId="1A8248D4" w16cex:dateUtc="2026-06-29T12:57:00Z"/>
  <w16cex:commentExtensible w16cex:durableId="124F6E25" w16cex:dateUtc="2026-06-29T13:01:00Z"/>
  <w16cex:commentExtensible w16cex:durableId="383D4664" w16cex:dateUtc="2026-06-29T13:02:00Z"/>
  <w16cex:commentExtensible w16cex:durableId="517CA848" w16cex:dateUtc="2026-06-29T13:05:00Z"/>
  <w16cex:commentExtensible w16cex:durableId="619BD33A" w16cex:dateUtc="2026-06-29T13:06:00Z"/>
  <w16cex:commentExtensible w16cex:durableId="61F598ED" w16cex:dateUtc="2026-06-29T13:07:00Z"/>
  <w16cex:commentExtensible w16cex:durableId="03797FFF" w16cex:dateUtc="2026-06-29T13:08:00Z"/>
  <w16cex:commentExtensible w16cex:durableId="7FD6413D" w16cex:dateUtc="2026-06-29T13:09:00Z"/>
  <w16cex:commentExtensible w16cex:durableId="78C310C0" w16cex:dateUtc="2026-06-29T13:10:00Z"/>
  <w16cex:commentExtensible w16cex:durableId="5CF4876A" w16cex:dateUtc="2026-06-29T13:19:00Z"/>
  <w16cex:commentExtensible w16cex:durableId="4D677B24" w16cex:dateUtc="2026-06-29T13:20:00Z"/>
  <w16cex:commentExtensible w16cex:durableId="62D61213" w16cex:dateUtc="2026-06-29T13:22:00Z"/>
  <w16cex:commentExtensible w16cex:durableId="09FFDFF4" w16cex:dateUtc="2026-06-29T13:23:00Z"/>
  <w16cex:commentExtensible w16cex:durableId="07E2DF80" w16cex:dateUtc="2026-06-29T13:25:00Z"/>
  <w16cex:commentExtensible w16cex:durableId="55964B06" w16cex:dateUtc="2026-06-29T13:26:00Z"/>
  <w16cex:commentExtensible w16cex:durableId="60CFF86F" w16cex:dateUtc="2026-06-29T13:29:00Z"/>
  <w16cex:commentExtensible w16cex:durableId="133FD9BF" w16cex:dateUtc="2026-06-29T13:30:00Z"/>
  <w16cex:commentExtensible w16cex:durableId="6BF12EBB" w16cex:dateUtc="2026-06-29T13:33:00Z"/>
  <w16cex:commentExtensible w16cex:durableId="4654862D" w16cex:dateUtc="2026-06-29T13:38:00Z"/>
  <w16cex:commentExtensible w16cex:durableId="6E6DE7DF" w16cex:dateUtc="2026-06-29T1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CE1405" w16cid:durableId="00248C4D"/>
  <w16cid:commentId w16cid:paraId="159214AC" w16cid:durableId="40C32E10"/>
  <w16cid:commentId w16cid:paraId="1809229C" w16cid:durableId="645F98C5"/>
  <w16cid:commentId w16cid:paraId="53700847" w16cid:durableId="5415E840"/>
  <w16cid:commentId w16cid:paraId="6BD8C014" w16cid:durableId="0E372342"/>
  <w16cid:commentId w16cid:paraId="22BAC3B5" w16cid:durableId="1A8248D4"/>
  <w16cid:commentId w16cid:paraId="7EC68C63" w16cid:durableId="124F6E25"/>
  <w16cid:commentId w16cid:paraId="2C3F51E3" w16cid:durableId="383D4664"/>
  <w16cid:commentId w16cid:paraId="2FA345BF" w16cid:durableId="517CA848"/>
  <w16cid:commentId w16cid:paraId="7E9BA8F0" w16cid:durableId="619BD33A"/>
  <w16cid:commentId w16cid:paraId="7BEA5BC0" w16cid:durableId="61F598ED"/>
  <w16cid:commentId w16cid:paraId="24CF989C" w16cid:durableId="03797FFF"/>
  <w16cid:commentId w16cid:paraId="64FAD9A7" w16cid:durableId="7FD6413D"/>
  <w16cid:commentId w16cid:paraId="3B836B68" w16cid:durableId="78C310C0"/>
  <w16cid:commentId w16cid:paraId="30D635C1" w16cid:durableId="5CF4876A"/>
  <w16cid:commentId w16cid:paraId="0E22EAD2" w16cid:durableId="4D677B24"/>
  <w16cid:commentId w16cid:paraId="091BC396" w16cid:durableId="62D61213"/>
  <w16cid:commentId w16cid:paraId="4CE02AFE" w16cid:durableId="09FFDFF4"/>
  <w16cid:commentId w16cid:paraId="04D25606" w16cid:durableId="07E2DF80"/>
  <w16cid:commentId w16cid:paraId="367AF485" w16cid:durableId="55964B06"/>
  <w16cid:commentId w16cid:paraId="582284AF" w16cid:durableId="60CFF86F"/>
  <w16cid:commentId w16cid:paraId="0E563B38" w16cid:durableId="133FD9BF"/>
  <w16cid:commentId w16cid:paraId="0E203068" w16cid:durableId="6BF12EBB"/>
  <w16cid:commentId w16cid:paraId="544B5881" w16cid:durableId="4654862D"/>
  <w16cid:commentId w16cid:paraId="6ACC5725" w16cid:durableId="6E6DE7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DA4FF" w14:textId="77777777" w:rsidR="002D01F6" w:rsidRDefault="002D01F6" w:rsidP="00C61A3F">
      <w:pPr>
        <w:spacing w:after="0" w:line="240" w:lineRule="auto"/>
      </w:pPr>
      <w:r>
        <w:separator/>
      </w:r>
    </w:p>
  </w:endnote>
  <w:endnote w:type="continuationSeparator" w:id="0">
    <w:p w14:paraId="063A592F" w14:textId="77777777" w:rsidR="002D01F6" w:rsidRDefault="002D01F6" w:rsidP="00C6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1118423"/>
      <w:docPartObj>
        <w:docPartGallery w:val="Page Numbers (Bottom of Page)"/>
        <w:docPartUnique/>
      </w:docPartObj>
    </w:sdtPr>
    <w:sdtEndPr>
      <w:rPr>
        <w:rStyle w:val="PageNumber"/>
      </w:rPr>
    </w:sdtEndPr>
    <w:sdtContent>
      <w:p w14:paraId="6F2E2146" w14:textId="646971B5" w:rsidR="00C61A3F" w:rsidRDefault="00C61A3F" w:rsidP="00BB3B2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179754" w14:textId="77777777" w:rsidR="00C61A3F" w:rsidRDefault="00C61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8"/>
        <w:szCs w:val="18"/>
      </w:rPr>
      <w:id w:val="501165723"/>
      <w:docPartObj>
        <w:docPartGallery w:val="Page Numbers (Bottom of Page)"/>
        <w:docPartUnique/>
      </w:docPartObj>
    </w:sdtPr>
    <w:sdtEndPr>
      <w:rPr>
        <w:rStyle w:val="PageNumber"/>
      </w:rPr>
    </w:sdtEndPr>
    <w:sdtContent>
      <w:p w14:paraId="4ADFB226" w14:textId="1A2EDA07" w:rsidR="00C61A3F" w:rsidRPr="00C61A3F" w:rsidRDefault="00C61A3F" w:rsidP="00BB3B26">
        <w:pPr>
          <w:pStyle w:val="Footer"/>
          <w:framePr w:wrap="none" w:vAnchor="text" w:hAnchor="margin" w:xAlign="center" w:y="1"/>
          <w:rPr>
            <w:rStyle w:val="PageNumber"/>
            <w:sz w:val="18"/>
            <w:szCs w:val="18"/>
          </w:rPr>
        </w:pPr>
        <w:r w:rsidRPr="00C61A3F">
          <w:rPr>
            <w:rStyle w:val="PageNumber"/>
            <w:sz w:val="18"/>
            <w:szCs w:val="18"/>
          </w:rPr>
          <w:fldChar w:fldCharType="begin"/>
        </w:r>
        <w:r w:rsidRPr="00C61A3F">
          <w:rPr>
            <w:rStyle w:val="PageNumber"/>
            <w:sz w:val="18"/>
            <w:szCs w:val="18"/>
          </w:rPr>
          <w:instrText xml:space="preserve"> PAGE </w:instrText>
        </w:r>
        <w:r w:rsidRPr="00C61A3F">
          <w:rPr>
            <w:rStyle w:val="PageNumber"/>
            <w:sz w:val="18"/>
            <w:szCs w:val="18"/>
          </w:rPr>
          <w:fldChar w:fldCharType="separate"/>
        </w:r>
        <w:r w:rsidRPr="00C61A3F">
          <w:rPr>
            <w:rStyle w:val="PageNumber"/>
            <w:noProof/>
            <w:sz w:val="18"/>
            <w:szCs w:val="18"/>
          </w:rPr>
          <w:t>1</w:t>
        </w:r>
        <w:r w:rsidRPr="00C61A3F">
          <w:rPr>
            <w:rStyle w:val="PageNumber"/>
            <w:sz w:val="18"/>
            <w:szCs w:val="18"/>
          </w:rPr>
          <w:fldChar w:fldCharType="end"/>
        </w:r>
      </w:p>
    </w:sdtContent>
  </w:sdt>
  <w:p w14:paraId="562F7CC8" w14:textId="77777777" w:rsidR="00C61A3F" w:rsidRDefault="00C61A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90D1B" w14:textId="77777777" w:rsidR="002D01F6" w:rsidRDefault="002D01F6" w:rsidP="00C61A3F">
      <w:pPr>
        <w:spacing w:after="0" w:line="240" w:lineRule="auto"/>
      </w:pPr>
      <w:r>
        <w:separator/>
      </w:r>
    </w:p>
  </w:footnote>
  <w:footnote w:type="continuationSeparator" w:id="0">
    <w:p w14:paraId="4EBB43C9" w14:textId="77777777" w:rsidR="002D01F6" w:rsidRDefault="002D01F6" w:rsidP="00C61A3F">
      <w:pPr>
        <w:spacing w:after="0" w:line="240" w:lineRule="auto"/>
      </w:pPr>
      <w:r>
        <w:continuationSeparator/>
      </w:r>
    </w:p>
  </w:footnote>
  <w:footnote w:id="1">
    <w:p w14:paraId="315A6E7B" w14:textId="6230425B" w:rsidR="00870825" w:rsidRPr="00DA33B2" w:rsidRDefault="00870825" w:rsidP="00876D78">
      <w:pPr>
        <w:spacing w:after="0" w:line="360" w:lineRule="auto"/>
        <w:rPr>
          <w:sz w:val="20"/>
          <w:szCs w:val="20"/>
        </w:rPr>
      </w:pPr>
      <w:r w:rsidRPr="00DA33B2">
        <w:rPr>
          <w:rStyle w:val="FootnoteReference"/>
          <w:sz w:val="20"/>
          <w:szCs w:val="20"/>
        </w:rPr>
        <w:footnoteRef/>
      </w:r>
      <w:r w:rsidRPr="00DA33B2">
        <w:rPr>
          <w:sz w:val="20"/>
          <w:szCs w:val="20"/>
        </w:rPr>
        <w:t xml:space="preserve"> </w:t>
      </w:r>
      <w:r w:rsidR="00D11BB4" w:rsidRPr="00DA33B2">
        <w:rPr>
          <w:sz w:val="20"/>
          <w:szCs w:val="20"/>
        </w:rPr>
        <w:t>Council Framework Decision 2008/913/JHA of 28 November 2008 on C</w:t>
      </w:r>
      <w:r w:rsidR="00D11BB4" w:rsidRPr="00DA33B2">
        <w:rPr>
          <w:rFonts w:hint="eastAsia"/>
          <w:sz w:val="20"/>
          <w:szCs w:val="20"/>
        </w:rPr>
        <w:t>o</w:t>
      </w:r>
      <w:r w:rsidR="00D11BB4" w:rsidRPr="00DA33B2">
        <w:rPr>
          <w:sz w:val="20"/>
          <w:szCs w:val="20"/>
        </w:rPr>
        <w:t>mbating Certain Forms and Expressions of Racism and Xenophobia by Means of Criminal Law</w:t>
      </w:r>
      <w:r w:rsidR="00DE61F1" w:rsidRPr="00DA33B2">
        <w:rPr>
          <w:rFonts w:hint="eastAsia"/>
          <w:sz w:val="20"/>
          <w:szCs w:val="20"/>
        </w:rPr>
        <w:t xml:space="preserve"> </w:t>
      </w:r>
      <w:r w:rsidR="00DE61F1" w:rsidRPr="00DA33B2">
        <w:rPr>
          <w:sz w:val="20"/>
          <w:szCs w:val="20"/>
        </w:rPr>
        <w:t xml:space="preserve">[2008] </w:t>
      </w:r>
      <w:r w:rsidR="00DA33B2" w:rsidRPr="00DA33B2">
        <w:rPr>
          <w:sz w:val="20"/>
          <w:szCs w:val="20"/>
        </w:rPr>
        <w:t>OJ L328/55</w:t>
      </w:r>
      <w:r w:rsidR="007A1595">
        <w:rPr>
          <w:rFonts w:hint="eastAsia"/>
          <w:sz w:val="20"/>
          <w:szCs w:val="20"/>
        </w:rPr>
        <w:t xml:space="preserve"> </w:t>
      </w:r>
      <w:r w:rsidR="007A1595">
        <w:rPr>
          <w:sz w:val="20"/>
          <w:szCs w:val="20"/>
        </w:rPr>
        <w:t>(</w:t>
      </w:r>
      <w:r w:rsidR="007A1595" w:rsidRPr="007A1595">
        <w:rPr>
          <w:sz w:val="20"/>
          <w:szCs w:val="20"/>
        </w:rPr>
        <w:t>Framework Decision 2008/913/JHA</w:t>
      </w:r>
      <w:r w:rsidR="007A1595">
        <w:rPr>
          <w:sz w:val="20"/>
          <w:szCs w:val="20"/>
        </w:rPr>
        <w:t>)</w:t>
      </w:r>
      <w:r w:rsidR="005D697A">
        <w:rPr>
          <w:sz w:val="20"/>
          <w:szCs w:val="20"/>
        </w:rPr>
        <w:t xml:space="preserve">, </w:t>
      </w:r>
      <w:r w:rsidR="00790226">
        <w:rPr>
          <w:sz w:val="20"/>
          <w:szCs w:val="20"/>
        </w:rPr>
        <w:t>art 1(a).</w:t>
      </w:r>
    </w:p>
  </w:footnote>
  <w:footnote w:id="2">
    <w:p w14:paraId="555A00AB" w14:textId="133CE8BF" w:rsidR="0017031B" w:rsidRDefault="0017031B" w:rsidP="00876D78">
      <w:pPr>
        <w:pStyle w:val="FootnoteText"/>
        <w:spacing w:line="360" w:lineRule="auto"/>
      </w:pPr>
      <w:r>
        <w:rPr>
          <w:rStyle w:val="FootnoteReference"/>
        </w:rPr>
        <w:footnoteRef/>
      </w:r>
      <w:r>
        <w:t xml:space="preserve"> </w:t>
      </w:r>
      <w:r w:rsidR="00C14913" w:rsidRPr="00C14913">
        <w:t>OHCHR</w:t>
      </w:r>
      <w:r w:rsidR="0057363E">
        <w:t xml:space="preserve">, </w:t>
      </w:r>
      <w:r w:rsidR="00E8165A">
        <w:t>‘</w:t>
      </w:r>
      <w:r w:rsidR="00B07979" w:rsidRPr="00B07979">
        <w:t>Rabat Plan of Action on the Prohibition of Advocacy of National, Racial or Religious Hatred That Constitutes Incitement to Discrimination, Hostility or Violence</w:t>
      </w:r>
      <w:r w:rsidR="00E8165A">
        <w:t>’</w:t>
      </w:r>
      <w:r w:rsidR="00761175">
        <w:rPr>
          <w:rFonts w:hint="eastAsia"/>
        </w:rPr>
        <w:t xml:space="preserve"> </w:t>
      </w:r>
      <w:r w:rsidR="00761175">
        <w:t xml:space="preserve">(Rabat </w:t>
      </w:r>
      <w:r w:rsidR="004C1192">
        <w:t>Plan of Action</w:t>
      </w:r>
      <w:r w:rsidR="00761175">
        <w:t>)</w:t>
      </w:r>
      <w:r w:rsidR="00413926">
        <w:t xml:space="preserve"> (</w:t>
      </w:r>
      <w:r w:rsidR="00413926">
        <w:rPr>
          <w:rFonts w:hint="eastAsia"/>
        </w:rPr>
        <w:t>2012</w:t>
      </w:r>
      <w:r w:rsidR="00413926">
        <w:t>)</w:t>
      </w:r>
      <w:r w:rsidR="00B07979">
        <w:t xml:space="preserve">, </w:t>
      </w:r>
      <w:r w:rsidR="005C415F">
        <w:t>[</w:t>
      </w:r>
      <w:r w:rsidR="00B07979">
        <w:t>29</w:t>
      </w:r>
      <w:r w:rsidR="005C415F">
        <w:t>].</w:t>
      </w:r>
    </w:p>
  </w:footnote>
  <w:footnote w:id="3">
    <w:p w14:paraId="5F717CC8" w14:textId="4C27E333" w:rsidR="0086161D" w:rsidRDefault="0086161D" w:rsidP="00876D78">
      <w:pPr>
        <w:pStyle w:val="FootnoteText"/>
        <w:spacing w:line="360" w:lineRule="auto"/>
      </w:pPr>
      <w:r>
        <w:rPr>
          <w:rStyle w:val="FootnoteReference"/>
        </w:rPr>
        <w:footnoteRef/>
      </w:r>
      <w:r>
        <w:t xml:space="preserve"> </w:t>
      </w:r>
      <w:r w:rsidR="00CB66DB" w:rsidRPr="00CB66DB">
        <w:t>Charter of Fundamental Rights of the European Union</w:t>
      </w:r>
      <w:r w:rsidR="00CB66DB">
        <w:rPr>
          <w:rFonts w:hint="eastAsia"/>
        </w:rPr>
        <w:t xml:space="preserve"> </w:t>
      </w:r>
      <w:r w:rsidR="00CB66DB">
        <w:t>(</w:t>
      </w:r>
      <w:r w:rsidR="004F44F9" w:rsidRPr="004F44F9">
        <w:t>EU Charter of Fundamental Rights</w:t>
      </w:r>
      <w:r w:rsidR="00CB66DB">
        <w:t>)</w:t>
      </w:r>
      <w:r w:rsidR="004F44F9">
        <w:t>, art 11.</w:t>
      </w:r>
    </w:p>
  </w:footnote>
  <w:footnote w:id="4">
    <w:p w14:paraId="4FD92339" w14:textId="66DF91A7" w:rsidR="002344EA" w:rsidRDefault="002344EA" w:rsidP="00876D78">
      <w:pPr>
        <w:pStyle w:val="FootnoteText"/>
        <w:spacing w:line="360" w:lineRule="auto"/>
      </w:pPr>
      <w:r>
        <w:rPr>
          <w:rStyle w:val="FootnoteReference"/>
        </w:rPr>
        <w:footnoteRef/>
      </w:r>
      <w:r>
        <w:t xml:space="preserve"> ibid, art 21.</w:t>
      </w:r>
    </w:p>
  </w:footnote>
  <w:footnote w:id="5">
    <w:p w14:paraId="5B6535F6" w14:textId="20503BBD" w:rsidR="006A7DA5" w:rsidRDefault="006A7DA5" w:rsidP="00876D78">
      <w:pPr>
        <w:pStyle w:val="FootnoteText"/>
        <w:spacing w:line="360" w:lineRule="auto"/>
      </w:pPr>
      <w:r>
        <w:rPr>
          <w:rStyle w:val="FootnoteReference"/>
        </w:rPr>
        <w:footnoteRef/>
      </w:r>
      <w:r>
        <w:t xml:space="preserve"> ibid</w:t>
      </w:r>
      <w:r w:rsidR="00DE1C3E">
        <w:t>,</w:t>
      </w:r>
      <w:r>
        <w:t xml:space="preserve"> art 1.</w:t>
      </w:r>
    </w:p>
  </w:footnote>
  <w:footnote w:id="6">
    <w:p w14:paraId="4B582B59" w14:textId="0C980FF0" w:rsidR="00876D78" w:rsidRDefault="00876D78" w:rsidP="00876D78">
      <w:pPr>
        <w:pStyle w:val="FootnoteText"/>
        <w:spacing w:line="360" w:lineRule="auto"/>
      </w:pPr>
      <w:r>
        <w:rPr>
          <w:rStyle w:val="FootnoteReference"/>
        </w:rPr>
        <w:footnoteRef/>
      </w:r>
      <w:r>
        <w:t xml:space="preserve"> ibid, art 52(1).</w:t>
      </w:r>
    </w:p>
  </w:footnote>
  <w:footnote w:id="7">
    <w:p w14:paraId="65CCB346" w14:textId="35363B8A" w:rsidR="00B865DF" w:rsidRPr="005A491D" w:rsidRDefault="00B865DF" w:rsidP="0027510E">
      <w:pPr>
        <w:spacing w:after="0" w:line="360" w:lineRule="auto"/>
        <w:rPr>
          <w:sz w:val="20"/>
          <w:szCs w:val="20"/>
        </w:rPr>
      </w:pPr>
      <w:r w:rsidRPr="005A491D">
        <w:rPr>
          <w:rStyle w:val="FootnoteReference"/>
          <w:sz w:val="20"/>
          <w:szCs w:val="20"/>
        </w:rPr>
        <w:footnoteRef/>
      </w:r>
      <w:r w:rsidRPr="005A491D">
        <w:rPr>
          <w:sz w:val="20"/>
          <w:szCs w:val="20"/>
        </w:rPr>
        <w:t xml:space="preserve"> </w:t>
      </w:r>
      <w:r w:rsidR="00CD5D2B" w:rsidRPr="005A491D">
        <w:rPr>
          <w:sz w:val="20"/>
          <w:szCs w:val="20"/>
        </w:rPr>
        <w:t xml:space="preserve">Regulation (EU) 2022/2065 of the European Parliament and of the Council of 19 October 2022 on a Single Market </w:t>
      </w:r>
      <w:r w:rsidR="00BC6EE4" w:rsidRPr="005A491D">
        <w:rPr>
          <w:sz w:val="20"/>
          <w:szCs w:val="20"/>
        </w:rPr>
        <w:t>for</w:t>
      </w:r>
      <w:r w:rsidR="00CD5D2B" w:rsidRPr="005A491D">
        <w:rPr>
          <w:sz w:val="20"/>
          <w:szCs w:val="20"/>
        </w:rPr>
        <w:t xml:space="preserve"> Digital Services and amending Directive 2000/31/EC </w:t>
      </w:r>
      <w:r w:rsidR="000A0F24" w:rsidRPr="005A491D">
        <w:rPr>
          <w:sz w:val="20"/>
          <w:szCs w:val="20"/>
        </w:rPr>
        <w:t>[2022] OJ L</w:t>
      </w:r>
      <w:r w:rsidR="005A491D" w:rsidRPr="005A491D">
        <w:rPr>
          <w:sz w:val="20"/>
          <w:szCs w:val="20"/>
        </w:rPr>
        <w:t>277/1</w:t>
      </w:r>
      <w:r w:rsidR="000A0F24" w:rsidRPr="005A491D">
        <w:rPr>
          <w:sz w:val="20"/>
          <w:szCs w:val="20"/>
        </w:rPr>
        <w:t xml:space="preserve"> </w:t>
      </w:r>
      <w:r w:rsidR="00CD5D2B" w:rsidRPr="005A491D">
        <w:rPr>
          <w:sz w:val="20"/>
          <w:szCs w:val="20"/>
        </w:rPr>
        <w:t xml:space="preserve">(Digital Services Act), art </w:t>
      </w:r>
      <w:r w:rsidR="000A0F24" w:rsidRPr="005A491D">
        <w:rPr>
          <w:sz w:val="20"/>
          <w:szCs w:val="20"/>
        </w:rPr>
        <w:t>16.</w:t>
      </w:r>
    </w:p>
  </w:footnote>
  <w:footnote w:id="8">
    <w:p w14:paraId="2A1872EA" w14:textId="522E36CA" w:rsidR="00B865DF" w:rsidRDefault="00B865DF" w:rsidP="0027510E">
      <w:pPr>
        <w:pStyle w:val="FootnoteText"/>
        <w:spacing w:line="360" w:lineRule="auto"/>
      </w:pPr>
      <w:r>
        <w:rPr>
          <w:rStyle w:val="FootnoteReference"/>
        </w:rPr>
        <w:footnoteRef/>
      </w:r>
      <w:r>
        <w:t xml:space="preserve"> </w:t>
      </w:r>
      <w:r w:rsidR="00801DAA">
        <w:t>ibid, art 17.</w:t>
      </w:r>
    </w:p>
  </w:footnote>
  <w:footnote w:id="9">
    <w:p w14:paraId="5AF3A2D7" w14:textId="56D9147D" w:rsidR="00B865DF" w:rsidRDefault="00B865DF" w:rsidP="0027510E">
      <w:pPr>
        <w:pStyle w:val="FootnoteText"/>
        <w:spacing w:line="360" w:lineRule="auto"/>
      </w:pPr>
      <w:r>
        <w:rPr>
          <w:rStyle w:val="FootnoteReference"/>
        </w:rPr>
        <w:footnoteRef/>
      </w:r>
      <w:r>
        <w:t xml:space="preserve"> </w:t>
      </w:r>
      <w:r w:rsidR="00801DAA">
        <w:t xml:space="preserve">ibid, art </w:t>
      </w:r>
      <w:r w:rsidR="005074B5">
        <w:t>20</w:t>
      </w:r>
      <w:r w:rsidR="005074B5" w:rsidRPr="005074B5">
        <w:t>–</w:t>
      </w:r>
      <w:r w:rsidR="005074B5">
        <w:t>21.</w:t>
      </w:r>
    </w:p>
  </w:footnote>
  <w:footnote w:id="10">
    <w:p w14:paraId="395BEDE4" w14:textId="37190CDB" w:rsidR="00B865DF" w:rsidRDefault="00B865DF" w:rsidP="0027510E">
      <w:pPr>
        <w:pStyle w:val="FootnoteText"/>
        <w:spacing w:line="360" w:lineRule="auto"/>
      </w:pPr>
      <w:r>
        <w:rPr>
          <w:rStyle w:val="FootnoteReference"/>
        </w:rPr>
        <w:footnoteRef/>
      </w:r>
      <w:r>
        <w:t xml:space="preserve"> </w:t>
      </w:r>
      <w:r w:rsidR="00B16517">
        <w:t xml:space="preserve">ibid, </w:t>
      </w:r>
      <w:r w:rsidR="00B23D21">
        <w:t xml:space="preserve">art </w:t>
      </w:r>
      <w:r w:rsidR="00B16517">
        <w:t>34</w:t>
      </w:r>
      <w:r w:rsidR="00B16517" w:rsidRPr="005074B5">
        <w:t>–</w:t>
      </w:r>
      <w:r w:rsidR="00B16517">
        <w:t>35.</w:t>
      </w:r>
    </w:p>
  </w:footnote>
  <w:footnote w:id="11">
    <w:p w14:paraId="2DD088FF" w14:textId="77777777" w:rsidR="002900DF" w:rsidRDefault="002900DF" w:rsidP="000E7D02">
      <w:pPr>
        <w:pStyle w:val="FootnoteText"/>
        <w:spacing w:line="360" w:lineRule="auto"/>
      </w:pPr>
      <w:r>
        <w:rPr>
          <w:rStyle w:val="FootnoteReference"/>
        </w:rPr>
        <w:footnoteRef/>
      </w:r>
      <w:r>
        <w:t xml:space="preserve"> ibid, art 34(2).</w:t>
      </w:r>
    </w:p>
  </w:footnote>
  <w:footnote w:id="12">
    <w:p w14:paraId="12B05599" w14:textId="461F3274" w:rsidR="00394DDB" w:rsidRDefault="00394DDB" w:rsidP="00BC577E">
      <w:pPr>
        <w:pStyle w:val="FootnoteText"/>
        <w:spacing w:line="360" w:lineRule="auto"/>
      </w:pPr>
      <w:r>
        <w:rPr>
          <w:rStyle w:val="FootnoteReference"/>
        </w:rPr>
        <w:footnoteRef/>
      </w:r>
      <w:r>
        <w:t xml:space="preserve"> </w:t>
      </w:r>
      <w:r w:rsidR="00C05BF1" w:rsidRPr="00C05BF1">
        <w:t>European Commission</w:t>
      </w:r>
      <w:r w:rsidR="000E7D02">
        <w:t>, ‘Code of Conduct on C</w:t>
      </w:r>
      <w:r w:rsidR="000E7D02">
        <w:rPr>
          <w:rFonts w:hint="eastAsia"/>
        </w:rPr>
        <w:t>o</w:t>
      </w:r>
      <w:r w:rsidR="000E7D02">
        <w:t>untering Illegal Hate Speech Online: Questions and Answers on the Fourth Evaluation’ (2019).</w:t>
      </w:r>
    </w:p>
  </w:footnote>
  <w:footnote w:id="13">
    <w:p w14:paraId="40C9162D" w14:textId="269E5D58" w:rsidR="00BC577E" w:rsidRDefault="00BC577E" w:rsidP="0020045A">
      <w:pPr>
        <w:pStyle w:val="FootnoteText"/>
        <w:spacing w:line="360" w:lineRule="auto"/>
      </w:pPr>
      <w:r>
        <w:rPr>
          <w:rStyle w:val="FootnoteReference"/>
        </w:rPr>
        <w:footnoteRef/>
      </w:r>
      <w:r>
        <w:t xml:space="preserve"> </w:t>
      </w:r>
      <w:r w:rsidRPr="00C14913">
        <w:t>OHCHR</w:t>
      </w:r>
      <w:r>
        <w:rPr>
          <w:rFonts w:hint="eastAsia"/>
        </w:rPr>
        <w:t xml:space="preserve"> </w:t>
      </w:r>
      <w:r>
        <w:t xml:space="preserve">(n 2), </w:t>
      </w:r>
      <w:r w:rsidR="0094104C">
        <w:t>[29].</w:t>
      </w:r>
    </w:p>
  </w:footnote>
  <w:footnote w:id="14">
    <w:p w14:paraId="0F435945" w14:textId="420D257F" w:rsidR="00E92C54" w:rsidRDefault="00E92C54" w:rsidP="0020045A">
      <w:pPr>
        <w:pStyle w:val="FootnoteText"/>
        <w:spacing w:line="360" w:lineRule="auto"/>
      </w:pPr>
      <w:r>
        <w:rPr>
          <w:rStyle w:val="FootnoteReference"/>
        </w:rPr>
        <w:footnoteRef/>
      </w:r>
      <w:r>
        <w:t xml:space="preserve"> </w:t>
      </w:r>
      <w:r w:rsidR="00720B3E" w:rsidRPr="004F44F9">
        <w:t>EU Charter of Fundamental Rights</w:t>
      </w:r>
      <w:r w:rsidR="00720B3E">
        <w:t>, art 52(1).</w:t>
      </w:r>
    </w:p>
  </w:footnote>
  <w:footnote w:id="15">
    <w:p w14:paraId="39061609" w14:textId="082D6BAD" w:rsidR="00412779" w:rsidRPr="00412779" w:rsidRDefault="00412779" w:rsidP="0020045A">
      <w:pPr>
        <w:pStyle w:val="FootnoteText"/>
        <w:spacing w:line="360" w:lineRule="auto"/>
      </w:pPr>
      <w:r>
        <w:rPr>
          <w:rStyle w:val="FootnoteReference"/>
        </w:rPr>
        <w:footnoteRef/>
      </w:r>
      <w:r>
        <w:t xml:space="preserve"> </w:t>
      </w:r>
      <w:r w:rsidR="003D7AE8">
        <w:rPr>
          <w:rFonts w:hint="eastAsia"/>
        </w:rPr>
        <w:t>DSA</w:t>
      </w:r>
      <w:r w:rsidR="003D7AE8">
        <w:t>, art 34(2).</w:t>
      </w:r>
    </w:p>
  </w:footnote>
  <w:footnote w:id="16">
    <w:p w14:paraId="77715CE2" w14:textId="040B4E09" w:rsidR="00EF332D" w:rsidRDefault="00EF332D" w:rsidP="00975BEE">
      <w:pPr>
        <w:pStyle w:val="FootnoteText"/>
        <w:spacing w:line="360" w:lineRule="auto"/>
      </w:pPr>
      <w:r>
        <w:rPr>
          <w:rStyle w:val="FootnoteReference"/>
        </w:rPr>
        <w:footnoteRef/>
      </w:r>
      <w:r>
        <w:t xml:space="preserve"> </w:t>
      </w:r>
      <w:r w:rsidR="00A16405" w:rsidRPr="007A1595">
        <w:t>Framework Decision 2008/913/JHA</w:t>
      </w:r>
      <w:r w:rsidR="00A16405">
        <w:t>, art 1(a).</w:t>
      </w:r>
    </w:p>
  </w:footnote>
  <w:footnote w:id="17">
    <w:p w14:paraId="68292F47" w14:textId="67EA127D" w:rsidR="001C56E7" w:rsidRDefault="001C56E7" w:rsidP="00C73ED2">
      <w:pPr>
        <w:pStyle w:val="FootnoteText"/>
        <w:spacing w:line="360" w:lineRule="auto"/>
      </w:pPr>
      <w:r>
        <w:rPr>
          <w:rStyle w:val="FootnoteReference"/>
        </w:rPr>
        <w:footnoteRef/>
      </w:r>
      <w:r>
        <w:t xml:space="preserve"> </w:t>
      </w:r>
      <w:r w:rsidR="003C20B2" w:rsidRPr="001D0EF3">
        <w:rPr>
          <w:i/>
          <w:iCs/>
        </w:rPr>
        <w:t>Jersil</w:t>
      </w:r>
      <w:r w:rsidR="003C20B2" w:rsidRPr="001D0EF3">
        <w:rPr>
          <w:rFonts w:hint="eastAsia"/>
          <w:i/>
          <w:iCs/>
        </w:rPr>
        <w:t xml:space="preserve">d </w:t>
      </w:r>
      <w:r w:rsidR="003C20B2" w:rsidRPr="001D0EF3">
        <w:rPr>
          <w:i/>
          <w:iCs/>
        </w:rPr>
        <w:t>v. Denmark</w:t>
      </w:r>
      <w:r w:rsidR="003C20B2">
        <w:t xml:space="preserve"> </w:t>
      </w:r>
      <w:r w:rsidR="00FF1974">
        <w:t xml:space="preserve">Application no. 15890/89 </w:t>
      </w:r>
      <w:r w:rsidR="003C20B2">
        <w:t>(</w:t>
      </w:r>
      <w:r w:rsidR="00FF1974">
        <w:t>ECtHR</w:t>
      </w:r>
      <w:r w:rsidR="009A476B">
        <w:t>,</w:t>
      </w:r>
      <w:r w:rsidR="00FF1974">
        <w:t xml:space="preserve"> </w:t>
      </w:r>
      <w:r w:rsidR="009A476B">
        <w:t>23 September 1994</w:t>
      </w:r>
      <w:r w:rsidR="003C20B2">
        <w:t>)</w:t>
      </w:r>
      <w:r w:rsidR="009A476B">
        <w:t xml:space="preserve"> [10], [19], [</w:t>
      </w:r>
      <w:r w:rsidR="00A43B35">
        <w:t>31</w:t>
      </w:r>
      <w:r w:rsidR="009A476B">
        <w:t>]</w:t>
      </w:r>
      <w:r w:rsidR="00A43B35">
        <w:t>, [35].</w:t>
      </w:r>
    </w:p>
  </w:footnote>
  <w:footnote w:id="18">
    <w:p w14:paraId="3DC3E933" w14:textId="18546F32" w:rsidR="002B7098" w:rsidRDefault="002B7098" w:rsidP="00C73ED2">
      <w:pPr>
        <w:pStyle w:val="FootnoteText"/>
        <w:spacing w:line="360" w:lineRule="auto"/>
      </w:pPr>
      <w:r>
        <w:rPr>
          <w:rStyle w:val="FootnoteReference"/>
        </w:rPr>
        <w:footnoteRef/>
      </w:r>
      <w:r>
        <w:t xml:space="preserve"> </w:t>
      </w:r>
      <w:r w:rsidR="00D64547">
        <w:t xml:space="preserve">Jherez Taylor, </w:t>
      </w:r>
      <w:r w:rsidR="005F5B13">
        <w:t>Melvyn Peignon, and Yi-Shin Chen, ‘Surfacing Contextual Hate Speech Words within Social Media’ (</w:t>
      </w:r>
      <w:r w:rsidR="00047DCA" w:rsidRPr="00047DCA">
        <w:t>ar</w:t>
      </w:r>
      <w:r w:rsidR="00047DCA">
        <w:t>X</w:t>
      </w:r>
      <w:r w:rsidR="00047DCA" w:rsidRPr="00047DCA">
        <w:t>iv</w:t>
      </w:r>
      <w:r w:rsidR="00B94822">
        <w:t xml:space="preserve"> 2017</w:t>
      </w:r>
      <w:r w:rsidR="005F5B13">
        <w:t>)</w:t>
      </w:r>
      <w:r w:rsidR="002D31EA">
        <w:t xml:space="preserve"> 1.</w:t>
      </w:r>
    </w:p>
  </w:footnote>
  <w:footnote w:id="19">
    <w:p w14:paraId="4C181BCA" w14:textId="787D4F07" w:rsidR="00886146" w:rsidRDefault="00886146" w:rsidP="00C73ED2">
      <w:pPr>
        <w:pStyle w:val="FootnoteText"/>
        <w:spacing w:line="360" w:lineRule="auto"/>
      </w:pPr>
      <w:r>
        <w:rPr>
          <w:rStyle w:val="FootnoteReference"/>
        </w:rPr>
        <w:footnoteRef/>
      </w:r>
      <w:r>
        <w:t xml:space="preserve"> </w:t>
      </w:r>
      <w:r w:rsidR="0056241E">
        <w:t>DSA, art</w:t>
      </w:r>
      <w:r w:rsidR="00B65E06">
        <w:t xml:space="preserve"> 16.</w:t>
      </w:r>
    </w:p>
  </w:footnote>
  <w:footnote w:id="20">
    <w:p w14:paraId="48AA1CED" w14:textId="5CD1E0E2" w:rsidR="00886146" w:rsidRDefault="00886146" w:rsidP="00C73ED2">
      <w:pPr>
        <w:pStyle w:val="FootnoteText"/>
        <w:spacing w:line="360" w:lineRule="auto"/>
      </w:pPr>
      <w:r>
        <w:rPr>
          <w:rStyle w:val="FootnoteReference"/>
        </w:rPr>
        <w:footnoteRef/>
      </w:r>
      <w:r>
        <w:t xml:space="preserve"> </w:t>
      </w:r>
      <w:r w:rsidR="00B65E06">
        <w:t>ibid, art 17.</w:t>
      </w:r>
    </w:p>
  </w:footnote>
  <w:footnote w:id="21">
    <w:p w14:paraId="733028E5" w14:textId="54E6A156" w:rsidR="00907536" w:rsidRDefault="00907536" w:rsidP="00C73ED2">
      <w:pPr>
        <w:pStyle w:val="FootnoteText"/>
        <w:spacing w:line="360" w:lineRule="auto"/>
      </w:pPr>
      <w:r>
        <w:rPr>
          <w:rStyle w:val="FootnoteReference"/>
        </w:rPr>
        <w:footnoteRef/>
      </w:r>
      <w:r>
        <w:t xml:space="preserve"> </w:t>
      </w:r>
      <w:r w:rsidR="00B65E06">
        <w:t>ibid, art 20.</w:t>
      </w:r>
    </w:p>
  </w:footnote>
  <w:footnote w:id="22">
    <w:p w14:paraId="42C0492F" w14:textId="5757AB83" w:rsidR="00907536" w:rsidRDefault="00907536" w:rsidP="00C73ED2">
      <w:pPr>
        <w:pStyle w:val="FootnoteText"/>
        <w:spacing w:line="360" w:lineRule="auto"/>
      </w:pPr>
      <w:r>
        <w:rPr>
          <w:rStyle w:val="FootnoteReference"/>
        </w:rPr>
        <w:footnoteRef/>
      </w:r>
      <w:r>
        <w:t xml:space="preserve"> </w:t>
      </w:r>
      <w:r w:rsidR="00B65E06">
        <w:t>ibid, art 21.</w:t>
      </w:r>
    </w:p>
  </w:footnote>
  <w:footnote w:id="23">
    <w:p w14:paraId="1EEB1354" w14:textId="17BD6549" w:rsidR="00C73ED2" w:rsidRDefault="00C73ED2" w:rsidP="00C73ED2">
      <w:pPr>
        <w:pStyle w:val="FootnoteText"/>
        <w:spacing w:line="360" w:lineRule="auto"/>
      </w:pPr>
      <w:r>
        <w:rPr>
          <w:rStyle w:val="FootnoteReference"/>
        </w:rPr>
        <w:footnoteRef/>
      </w:r>
      <w:r>
        <w:t xml:space="preserve"> </w:t>
      </w:r>
      <w:r w:rsidR="00791691">
        <w:t>Richard A. Wilson</w:t>
      </w:r>
      <w:r w:rsidR="00791691">
        <w:rPr>
          <w:rFonts w:hint="eastAsia"/>
        </w:rPr>
        <w:t xml:space="preserve"> </w:t>
      </w:r>
      <w:r w:rsidR="00791691">
        <w:t xml:space="preserve">and </w:t>
      </w:r>
      <w:r w:rsidR="00540C79">
        <w:t xml:space="preserve">Molly Land, ‘Hate Speech on Social Media: Content Moderation in Context’ (2021) 52 </w:t>
      </w:r>
      <w:r w:rsidR="00AC7FC9">
        <w:t>Connecticut Law Review 1029, 1066.</w:t>
      </w:r>
    </w:p>
  </w:footnote>
  <w:footnote w:id="24">
    <w:p w14:paraId="09FFB8CC" w14:textId="226F7AAF" w:rsidR="00660C30" w:rsidRDefault="00660C30" w:rsidP="00DE6489">
      <w:pPr>
        <w:pStyle w:val="FootnoteText"/>
        <w:spacing w:line="360" w:lineRule="auto"/>
      </w:pPr>
      <w:r>
        <w:rPr>
          <w:rStyle w:val="FootnoteReference"/>
        </w:rPr>
        <w:footnoteRef/>
      </w:r>
      <w:r>
        <w:t xml:space="preserve"> DSA, art 34(1).</w:t>
      </w:r>
    </w:p>
  </w:footnote>
  <w:footnote w:id="25">
    <w:p w14:paraId="39DE95C1" w14:textId="77777777" w:rsidR="00E778A6" w:rsidRDefault="00E778A6" w:rsidP="00DE6489">
      <w:pPr>
        <w:pStyle w:val="FootnoteText"/>
        <w:spacing w:line="360" w:lineRule="auto"/>
      </w:pPr>
      <w:r>
        <w:rPr>
          <w:rStyle w:val="FootnoteReference"/>
        </w:rPr>
        <w:footnoteRef/>
      </w:r>
      <w:r>
        <w:t xml:space="preserve"> ibid, art 3</w:t>
      </w:r>
      <w:r>
        <w:rPr>
          <w:rFonts w:hint="eastAsia"/>
        </w:rPr>
        <w:t>4</w:t>
      </w:r>
      <w:r>
        <w:t>(2)(a).</w:t>
      </w:r>
    </w:p>
  </w:footnote>
  <w:footnote w:id="26">
    <w:p w14:paraId="3F16D368" w14:textId="1C0FC488" w:rsidR="00671B2F" w:rsidRDefault="00671B2F" w:rsidP="00DE6489">
      <w:pPr>
        <w:pStyle w:val="FootnoteText"/>
        <w:spacing w:line="360" w:lineRule="auto"/>
      </w:pPr>
      <w:r>
        <w:rPr>
          <w:rStyle w:val="FootnoteReference"/>
        </w:rPr>
        <w:footnoteRef/>
      </w:r>
      <w:r>
        <w:t xml:space="preserve"> ibid, art 34(2)(b)</w:t>
      </w:r>
      <w:r w:rsidR="00463294">
        <w:t>.</w:t>
      </w:r>
    </w:p>
  </w:footnote>
  <w:footnote w:id="27">
    <w:p w14:paraId="0433B564" w14:textId="1F4AC8E3" w:rsidR="00291E85" w:rsidRDefault="00291E85" w:rsidP="00DE6489">
      <w:pPr>
        <w:pStyle w:val="FootnoteText"/>
        <w:spacing w:line="360" w:lineRule="auto"/>
      </w:pPr>
      <w:r>
        <w:rPr>
          <w:rStyle w:val="FootnoteReference"/>
        </w:rPr>
        <w:footnoteRef/>
      </w:r>
      <w:r>
        <w:t xml:space="preserve"> </w:t>
      </w:r>
      <w:r>
        <w:rPr>
          <w:rFonts w:hint="eastAsia"/>
        </w:rPr>
        <w:t>ibid</w:t>
      </w:r>
      <w:r>
        <w:t xml:space="preserve">, </w:t>
      </w:r>
      <w:r w:rsidRPr="00291E85">
        <w:t>art 34(1)(c), recital 82</w:t>
      </w:r>
      <w:r>
        <w:t>.</w:t>
      </w:r>
    </w:p>
  </w:footnote>
  <w:footnote w:id="28">
    <w:p w14:paraId="27228873" w14:textId="2C863A46" w:rsidR="005268D6" w:rsidRDefault="005268D6" w:rsidP="00DE6489">
      <w:pPr>
        <w:pStyle w:val="FootnoteText"/>
        <w:spacing w:line="360" w:lineRule="auto"/>
      </w:pPr>
      <w:r>
        <w:rPr>
          <w:rStyle w:val="FootnoteReference"/>
        </w:rPr>
        <w:footnoteRef/>
      </w:r>
      <w:r>
        <w:t xml:space="preserve"> ibid, </w:t>
      </w:r>
      <w:r w:rsidR="00BE7A29" w:rsidRPr="00BE7A29">
        <w:t>recital 91</w:t>
      </w:r>
      <w:r w:rsidR="00BE7A29">
        <w:t>,</w:t>
      </w:r>
      <w:r w:rsidR="00BE7A29" w:rsidRPr="00BE7A29">
        <w:t xml:space="preserve"> art 36</w:t>
      </w:r>
      <w:r w:rsidR="00BE7A29">
        <w:t>.</w:t>
      </w:r>
    </w:p>
  </w:footnote>
  <w:footnote w:id="29">
    <w:p w14:paraId="472C00C6" w14:textId="7CC678F6" w:rsidR="00DE6489" w:rsidRDefault="00DE6489" w:rsidP="00DE6489">
      <w:pPr>
        <w:pStyle w:val="FootnoteText"/>
        <w:spacing w:line="360" w:lineRule="auto"/>
      </w:pPr>
      <w:r>
        <w:rPr>
          <w:rStyle w:val="FootnoteReference"/>
        </w:rPr>
        <w:footnoteRef/>
      </w:r>
      <w:r>
        <w:t xml:space="preserve"> ibid, </w:t>
      </w:r>
      <w:r w:rsidR="007F315B" w:rsidRPr="007F315B">
        <w:t>art 34(2), recital 84</w:t>
      </w:r>
      <w:r w:rsidR="007F315B">
        <w:t>.</w:t>
      </w:r>
    </w:p>
  </w:footnote>
  <w:footnote w:id="30">
    <w:p w14:paraId="64353286" w14:textId="3B652028" w:rsidR="002D5192" w:rsidRDefault="002D5192" w:rsidP="00BE11D4">
      <w:pPr>
        <w:pStyle w:val="FootnoteText"/>
        <w:spacing w:line="360" w:lineRule="auto"/>
      </w:pPr>
      <w:r>
        <w:rPr>
          <w:rStyle w:val="FootnoteReference"/>
        </w:rPr>
        <w:footnoteRef/>
      </w:r>
      <w:r>
        <w:t xml:space="preserve"> ibid, art 35(1)(c).</w:t>
      </w:r>
    </w:p>
  </w:footnote>
  <w:footnote w:id="31">
    <w:p w14:paraId="694B97B2" w14:textId="0427C5AF" w:rsidR="002D5192" w:rsidRDefault="002D5192" w:rsidP="00BE11D4">
      <w:pPr>
        <w:pStyle w:val="FootnoteText"/>
        <w:spacing w:line="360" w:lineRule="auto"/>
      </w:pPr>
      <w:r>
        <w:rPr>
          <w:rStyle w:val="FootnoteReference"/>
        </w:rPr>
        <w:footnoteRef/>
      </w:r>
      <w:r>
        <w:t xml:space="preserve"> ibid, art 35(1)(d).</w:t>
      </w:r>
    </w:p>
  </w:footnote>
  <w:footnote w:id="32">
    <w:p w14:paraId="05397381" w14:textId="2311E2A8" w:rsidR="00BE11D4" w:rsidRDefault="00BE11D4" w:rsidP="00BE11D4">
      <w:pPr>
        <w:pStyle w:val="FootnoteText"/>
        <w:spacing w:line="360" w:lineRule="auto"/>
      </w:pPr>
      <w:r>
        <w:rPr>
          <w:rStyle w:val="FootnoteReference"/>
        </w:rPr>
        <w:footnoteRef/>
      </w:r>
      <w:r>
        <w:t xml:space="preserve"> ibid, art 35(1)(</w:t>
      </w:r>
      <w:r w:rsidR="003D38E2">
        <w:t>h</w:t>
      </w:r>
      <w:r>
        <w:t>).</w:t>
      </w:r>
    </w:p>
  </w:footnote>
  <w:footnote w:id="33">
    <w:p w14:paraId="78371E45" w14:textId="727FD977" w:rsidR="00BE11D4" w:rsidRDefault="00BE11D4" w:rsidP="00BE11D4">
      <w:pPr>
        <w:pStyle w:val="FootnoteText"/>
        <w:spacing w:line="360" w:lineRule="auto"/>
      </w:pPr>
      <w:r>
        <w:rPr>
          <w:rStyle w:val="FootnoteReference"/>
        </w:rPr>
        <w:footnoteRef/>
      </w:r>
      <w:r>
        <w:t xml:space="preserve"> ibid, art 35(1)(</w:t>
      </w:r>
      <w:r w:rsidR="003D38E2">
        <w:t>j</w:t>
      </w:r>
      <w:r>
        <w:t>).</w:t>
      </w:r>
    </w:p>
  </w:footnote>
  <w:footnote w:id="34">
    <w:p w14:paraId="0058960D" w14:textId="68740D61" w:rsidR="00972061" w:rsidRDefault="00972061" w:rsidP="00BF576F">
      <w:pPr>
        <w:pStyle w:val="FootnoteText"/>
        <w:spacing w:line="360" w:lineRule="auto"/>
      </w:pPr>
      <w:r>
        <w:rPr>
          <w:rStyle w:val="FootnoteReference"/>
        </w:rPr>
        <w:footnoteRef/>
      </w:r>
      <w:r>
        <w:t xml:space="preserve"> </w:t>
      </w:r>
      <w:r w:rsidR="00F35638">
        <w:t>ibid</w:t>
      </w:r>
      <w:r>
        <w:t>, art 15(1)(d).</w:t>
      </w:r>
    </w:p>
  </w:footnote>
  <w:footnote w:id="35">
    <w:p w14:paraId="3EE531D3" w14:textId="24907065" w:rsidR="00F35638" w:rsidRPr="00227F7E" w:rsidRDefault="00F35638" w:rsidP="00BF576F">
      <w:pPr>
        <w:pStyle w:val="FootnoteText"/>
        <w:spacing w:line="360" w:lineRule="auto"/>
        <w:rPr>
          <w:u w:val="double"/>
        </w:rPr>
      </w:pPr>
      <w:r>
        <w:rPr>
          <w:rStyle w:val="FootnoteReference"/>
        </w:rPr>
        <w:footnoteRef/>
      </w:r>
      <w:r>
        <w:t xml:space="preserve"> ibid, art </w:t>
      </w:r>
      <w:r w:rsidR="00265DF0">
        <w:t>21(4).</w:t>
      </w:r>
    </w:p>
  </w:footnote>
  <w:footnote w:id="36">
    <w:p w14:paraId="3EA4D934" w14:textId="3C3B2F3B" w:rsidR="005D6F67" w:rsidRDefault="005D6F67" w:rsidP="00D85690">
      <w:pPr>
        <w:pStyle w:val="FootnoteText"/>
        <w:spacing w:line="360" w:lineRule="auto"/>
      </w:pPr>
      <w:r>
        <w:rPr>
          <w:rStyle w:val="FootnoteReference"/>
        </w:rPr>
        <w:footnoteRef/>
      </w:r>
      <w:r>
        <w:t xml:space="preserve"> </w:t>
      </w:r>
      <w:r w:rsidR="00D85690" w:rsidRPr="00C14913">
        <w:t>OHCHR</w:t>
      </w:r>
      <w:r w:rsidR="00D85690">
        <w:t>, [29].</w:t>
      </w:r>
    </w:p>
  </w:footnote>
  <w:footnote w:id="37">
    <w:p w14:paraId="13BBE5EC" w14:textId="2B24B66C" w:rsidR="0006417D" w:rsidRPr="00961772" w:rsidRDefault="0006417D" w:rsidP="00394777">
      <w:pPr>
        <w:pStyle w:val="p1"/>
        <w:spacing w:before="0" w:beforeAutospacing="0" w:after="0" w:afterAutospacing="0" w:line="360" w:lineRule="auto"/>
        <w:rPr>
          <w:sz w:val="18"/>
          <w:szCs w:val="18"/>
        </w:rPr>
      </w:pPr>
      <w:r w:rsidRPr="00961772">
        <w:rPr>
          <w:rStyle w:val="FootnoteReference"/>
          <w:sz w:val="20"/>
          <w:szCs w:val="20"/>
        </w:rPr>
        <w:footnoteRef/>
      </w:r>
      <w:r w:rsidRPr="00961772">
        <w:rPr>
          <w:sz w:val="20"/>
          <w:szCs w:val="20"/>
        </w:rPr>
        <w:t xml:space="preserve"> </w:t>
      </w:r>
      <w:r w:rsidR="00961772" w:rsidRPr="00961772">
        <w:rPr>
          <w:sz w:val="20"/>
          <w:szCs w:val="20"/>
        </w:rPr>
        <w:t>Robert Gorwa , Reuben Binns</w:t>
      </w:r>
      <w:r w:rsidR="00961772" w:rsidRPr="00961772">
        <w:rPr>
          <w:rFonts w:eastAsia="SimSun"/>
          <w:sz w:val="20"/>
          <w:szCs w:val="20"/>
        </w:rPr>
        <w:t>,</w:t>
      </w:r>
      <w:r w:rsidR="00961772" w:rsidRPr="00961772">
        <w:rPr>
          <w:sz w:val="20"/>
          <w:szCs w:val="20"/>
        </w:rPr>
        <w:t xml:space="preserve"> and Christian Katzenbach</w:t>
      </w:r>
      <w:r w:rsidR="00EB3E93">
        <w:rPr>
          <w:sz w:val="20"/>
          <w:szCs w:val="20"/>
        </w:rPr>
        <w:t>, ‘</w:t>
      </w:r>
      <w:r w:rsidR="00EB3E93" w:rsidRPr="00EB3E93">
        <w:rPr>
          <w:sz w:val="20"/>
          <w:szCs w:val="20"/>
        </w:rPr>
        <w:t>Algorithmic Content Moderation: Technical and Political Challenges in the Automation of Platform Governance</w:t>
      </w:r>
      <w:r w:rsidR="00EB3E93">
        <w:rPr>
          <w:sz w:val="20"/>
          <w:szCs w:val="20"/>
        </w:rPr>
        <w:t xml:space="preserve">’ </w:t>
      </w:r>
      <w:r w:rsidR="00E77656">
        <w:rPr>
          <w:sz w:val="20"/>
          <w:szCs w:val="20"/>
        </w:rPr>
        <w:t>[</w:t>
      </w:r>
      <w:r w:rsidR="004D0FD5">
        <w:rPr>
          <w:sz w:val="20"/>
          <w:szCs w:val="20"/>
        </w:rPr>
        <w:t>2020</w:t>
      </w:r>
      <w:r w:rsidR="00E77656">
        <w:rPr>
          <w:sz w:val="20"/>
          <w:szCs w:val="20"/>
        </w:rPr>
        <w:t>]</w:t>
      </w:r>
      <w:r w:rsidR="004D792A">
        <w:rPr>
          <w:sz w:val="20"/>
          <w:szCs w:val="20"/>
        </w:rPr>
        <w:t xml:space="preserve"> </w:t>
      </w:r>
      <w:r w:rsidR="004D792A" w:rsidRPr="004D792A">
        <w:rPr>
          <w:sz w:val="20"/>
          <w:szCs w:val="20"/>
        </w:rPr>
        <w:t>Big Data &amp; Society</w:t>
      </w:r>
      <w:r w:rsidR="004D792A">
        <w:rPr>
          <w:sz w:val="20"/>
          <w:szCs w:val="20"/>
        </w:rPr>
        <w:t xml:space="preserve"> </w:t>
      </w:r>
      <w:r w:rsidR="004B3890">
        <w:rPr>
          <w:sz w:val="20"/>
          <w:szCs w:val="20"/>
        </w:rPr>
        <w:t>1, 2.</w:t>
      </w:r>
    </w:p>
  </w:footnote>
  <w:footnote w:id="38">
    <w:p w14:paraId="2DB6C4C6" w14:textId="7D7862D5" w:rsidR="00A40794" w:rsidRDefault="00A40794" w:rsidP="00394777">
      <w:pPr>
        <w:pStyle w:val="FootnoteText"/>
        <w:spacing w:line="360" w:lineRule="auto"/>
      </w:pPr>
      <w:r>
        <w:rPr>
          <w:rStyle w:val="FootnoteReference"/>
        </w:rPr>
        <w:footnoteRef/>
      </w:r>
      <w:r>
        <w:t xml:space="preserve"> ibid, 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A84DC" w14:textId="2B17D7BD" w:rsidR="00F479EE" w:rsidRPr="00F479EE" w:rsidRDefault="00915A1B" w:rsidP="00F479EE">
    <w:pPr>
      <w:pStyle w:val="Header"/>
      <w:jc w:val="center"/>
      <w:rPr>
        <w:sz w:val="18"/>
        <w:szCs w:val="18"/>
      </w:rPr>
    </w:pPr>
    <w:r w:rsidRPr="00915A1B">
      <w:rPr>
        <w:sz w:val="18"/>
        <w:szCs w:val="18"/>
      </w:rPr>
      <w:t xml:space="preserve">Title </w:t>
    </w:r>
    <w:r>
      <w:rPr>
        <w:rFonts w:hint="eastAsia"/>
        <w:sz w:val="18"/>
        <w:szCs w:val="18"/>
      </w:rPr>
      <w:t>P</w:t>
    </w:r>
    <w:r w:rsidRPr="00915A1B">
      <w:rPr>
        <w:sz w:val="18"/>
        <w:szCs w:val="18"/>
      </w:rPr>
      <w:t>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DB8B9" w14:textId="77777777" w:rsidR="00F479EE" w:rsidRPr="00F479EE" w:rsidRDefault="00F479EE" w:rsidP="00F479EE">
    <w:pPr>
      <w:pStyle w:val="Header"/>
      <w:jc w:val="center"/>
      <w:rPr>
        <w:sz w:val="18"/>
        <w:szCs w:val="18"/>
      </w:rPr>
    </w:pPr>
    <w:r w:rsidRPr="00F479EE">
      <w:rPr>
        <w:sz w:val="18"/>
        <w:szCs w:val="18"/>
      </w:rPr>
      <w:t>Acknowledgements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497E6" w14:textId="7A6BF873" w:rsidR="00F479EE" w:rsidRPr="00A6076C" w:rsidRDefault="00A6076C" w:rsidP="00A6076C">
    <w:pPr>
      <w:pStyle w:val="Header"/>
      <w:jc w:val="center"/>
    </w:pPr>
    <w:r w:rsidRPr="00A6076C">
      <w:rPr>
        <w:sz w:val="18"/>
        <w:szCs w:val="18"/>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3D72" w14:textId="69876F96" w:rsidR="00A6076C" w:rsidRPr="0019117E" w:rsidRDefault="0019117E" w:rsidP="0019117E">
    <w:pPr>
      <w:pStyle w:val="Header"/>
      <w:jc w:val="center"/>
      <w:rPr>
        <w:sz w:val="18"/>
        <w:szCs w:val="18"/>
      </w:rPr>
    </w:pPr>
    <w:r w:rsidRPr="0019117E">
      <w:rPr>
        <w:sz w:val="18"/>
        <w:szCs w:val="18"/>
      </w:rPr>
      <w:t>Table of 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DE13A" w14:textId="09D42F58" w:rsidR="0019117E" w:rsidRPr="0019117E" w:rsidRDefault="0019117E" w:rsidP="00A44F3D">
    <w:pPr>
      <w:pStyle w:val="Header"/>
      <w:jc w:val="center"/>
      <w:rPr>
        <w:sz w:val="18"/>
        <w:szCs w:val="18"/>
      </w:rPr>
    </w:pPr>
    <w:r w:rsidRPr="0019117E">
      <w:rPr>
        <w:rFonts w:hint="eastAsia"/>
        <w:sz w:val="18"/>
        <w:szCs w:val="18"/>
      </w:rPr>
      <w:t>Chapter</w:t>
    </w:r>
    <w:r w:rsidR="002907B7">
      <w:rPr>
        <w:rFonts w:hint="eastAsia"/>
        <w:sz w:val="18"/>
        <w:szCs w:val="18"/>
      </w:rPr>
      <w:t xml:space="preserve"> </w:t>
    </w:r>
    <w:r w:rsidRPr="0019117E">
      <w:rPr>
        <w:rFonts w:hint="eastAsia"/>
        <w:sz w:val="18"/>
        <w:szCs w:val="18"/>
      </w:rPr>
      <w:t>1</w:t>
    </w:r>
    <w:r w:rsidR="002907B7">
      <w:rPr>
        <w:sz w:val="18"/>
        <w:szCs w:val="18"/>
      </w:rPr>
      <w:t xml:space="preserve">: </w:t>
    </w:r>
    <w:r w:rsidR="00D427C8">
      <w:rPr>
        <w:sz w:val="18"/>
        <w:szCs w:val="18"/>
      </w:rPr>
      <w:t>Introduction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AD28" w14:textId="6FC55212" w:rsidR="00023C63" w:rsidRPr="0019117E" w:rsidRDefault="00023C63" w:rsidP="00A44F3D">
    <w:pPr>
      <w:pStyle w:val="Header"/>
      <w:jc w:val="center"/>
      <w:rPr>
        <w:sz w:val="18"/>
        <w:szCs w:val="18"/>
      </w:rPr>
    </w:pPr>
    <w:r w:rsidRPr="0019117E">
      <w:rPr>
        <w:rFonts w:hint="eastAsia"/>
        <w:sz w:val="18"/>
        <w:szCs w:val="18"/>
      </w:rPr>
      <w:t>Chapter</w:t>
    </w:r>
    <w:r w:rsidR="002907B7">
      <w:rPr>
        <w:rFonts w:hint="eastAsia"/>
        <w:sz w:val="18"/>
        <w:szCs w:val="18"/>
      </w:rPr>
      <w:t xml:space="preserve"> </w:t>
    </w:r>
    <w:r>
      <w:rPr>
        <w:rFonts w:hint="eastAsia"/>
        <w:sz w:val="18"/>
        <w:szCs w:val="18"/>
      </w:rPr>
      <w:t>2</w:t>
    </w:r>
    <w:r w:rsidR="00BD22CF">
      <w:rPr>
        <w:sz w:val="18"/>
        <w:szCs w:val="18"/>
      </w:rPr>
      <w:t xml:space="preserve">: </w:t>
    </w:r>
    <w:r w:rsidR="00770167" w:rsidRPr="00770167">
      <w:rPr>
        <w:sz w:val="18"/>
        <w:szCs w:val="18"/>
      </w:rPr>
      <w:t>Contextual Assessment in the EU Hate Speech: Meaning, Scope and Legal Sources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B02A4" w14:textId="1CDCC966" w:rsidR="00BD22CF" w:rsidRPr="0019117E" w:rsidRDefault="00BD22CF" w:rsidP="00A44F3D">
    <w:pPr>
      <w:pStyle w:val="Header"/>
      <w:jc w:val="center"/>
      <w:rPr>
        <w:sz w:val="18"/>
        <w:szCs w:val="18"/>
      </w:rPr>
    </w:pPr>
    <w:r w:rsidRPr="0019117E">
      <w:rPr>
        <w:rFonts w:hint="eastAsia"/>
        <w:sz w:val="18"/>
        <w:szCs w:val="18"/>
      </w:rPr>
      <w:t>Chapter</w:t>
    </w:r>
    <w:r>
      <w:rPr>
        <w:rFonts w:hint="eastAsia"/>
        <w:sz w:val="18"/>
        <w:szCs w:val="18"/>
      </w:rPr>
      <w:t xml:space="preserve"> </w:t>
    </w:r>
    <w:r>
      <w:rPr>
        <w:sz w:val="18"/>
        <w:szCs w:val="18"/>
      </w:rPr>
      <w:t xml:space="preserve">3: </w:t>
    </w:r>
    <w:r w:rsidR="00145FC2" w:rsidRPr="00145FC2">
      <w:rPr>
        <w:sz w:val="18"/>
        <w:szCs w:val="18"/>
      </w:rPr>
      <w:t>Implementation of Contextual Assessment in Large-Scale Platform Moderation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DD384" w14:textId="1A6D4B38" w:rsidR="00CE3C42" w:rsidRPr="0019117E" w:rsidRDefault="00CE3C42" w:rsidP="00A44F3D">
    <w:pPr>
      <w:pStyle w:val="Header"/>
      <w:jc w:val="center"/>
      <w:rPr>
        <w:sz w:val="18"/>
        <w:szCs w:val="18"/>
      </w:rPr>
    </w:pPr>
    <w:r w:rsidRPr="0019117E">
      <w:rPr>
        <w:rFonts w:hint="eastAsia"/>
        <w:sz w:val="18"/>
        <w:szCs w:val="18"/>
      </w:rPr>
      <w:t>Chapter</w:t>
    </w:r>
    <w:r>
      <w:rPr>
        <w:rFonts w:hint="eastAsia"/>
        <w:sz w:val="18"/>
        <w:szCs w:val="18"/>
      </w:rPr>
      <w:t xml:space="preserve"> </w:t>
    </w:r>
    <w:r>
      <w:rPr>
        <w:sz w:val="18"/>
        <w:szCs w:val="18"/>
      </w:rPr>
      <w:t xml:space="preserve">4: </w:t>
    </w:r>
    <w:r w:rsidR="0054545B" w:rsidRPr="0054545B">
      <w:rPr>
        <w:sz w:val="18"/>
        <w:szCs w:val="18"/>
      </w:rPr>
      <w:t>Risks and Safeguards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E7FD8" w14:textId="5CCB18CF" w:rsidR="00E7699D" w:rsidRPr="0019117E" w:rsidRDefault="00E7699D" w:rsidP="00A44F3D">
    <w:pPr>
      <w:pStyle w:val="Header"/>
      <w:jc w:val="center"/>
      <w:rPr>
        <w:sz w:val="18"/>
        <w:szCs w:val="18"/>
      </w:rPr>
    </w:pPr>
    <w:r w:rsidRPr="0019117E">
      <w:rPr>
        <w:rFonts w:hint="eastAsia"/>
        <w:sz w:val="18"/>
        <w:szCs w:val="18"/>
      </w:rPr>
      <w:t>Chapter</w:t>
    </w:r>
    <w:r>
      <w:rPr>
        <w:rFonts w:hint="eastAsia"/>
        <w:sz w:val="18"/>
        <w:szCs w:val="18"/>
      </w:rPr>
      <w:t xml:space="preserve"> </w:t>
    </w:r>
    <w:r>
      <w:rPr>
        <w:sz w:val="18"/>
        <w:szCs w:val="18"/>
      </w:rPr>
      <w:t xml:space="preserve">5: </w:t>
    </w:r>
    <w:r w:rsidR="00B02B0D">
      <w:rPr>
        <w:sz w:val="18"/>
        <w:szCs w:val="18"/>
      </w:rPr>
      <w:t>Conclusion</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985D7" w14:textId="7582C069" w:rsidR="0053782C" w:rsidRPr="0019117E" w:rsidRDefault="0053782C" w:rsidP="00A44F3D">
    <w:pPr>
      <w:pStyle w:val="Header"/>
      <w:jc w:val="center"/>
      <w:rPr>
        <w:sz w:val="18"/>
        <w:szCs w:val="18"/>
      </w:rPr>
    </w:pPr>
    <w:r>
      <w:rPr>
        <w:sz w:val="18"/>
        <w:szCs w:val="18"/>
      </w:rPr>
      <w:t>Bibliography</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a Japaridze">
    <w15:presenceInfo w15:providerId="AD" w15:userId="S::Liana.Japaridze@glasgow.ac.uk::c86345fd-20f4-41be-85d1-6ae0c5f3d99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16B"/>
    <w:rsid w:val="00001A1A"/>
    <w:rsid w:val="0000228C"/>
    <w:rsid w:val="00003224"/>
    <w:rsid w:val="00003EDB"/>
    <w:rsid w:val="00003F3F"/>
    <w:rsid w:val="0000696E"/>
    <w:rsid w:val="00010282"/>
    <w:rsid w:val="0001117D"/>
    <w:rsid w:val="0001160E"/>
    <w:rsid w:val="00016D0B"/>
    <w:rsid w:val="00017364"/>
    <w:rsid w:val="00023C63"/>
    <w:rsid w:val="00031AAB"/>
    <w:rsid w:val="00034F22"/>
    <w:rsid w:val="00035308"/>
    <w:rsid w:val="0003533B"/>
    <w:rsid w:val="000454B3"/>
    <w:rsid w:val="00045523"/>
    <w:rsid w:val="000468FA"/>
    <w:rsid w:val="00047618"/>
    <w:rsid w:val="00047DCA"/>
    <w:rsid w:val="00050AE6"/>
    <w:rsid w:val="00055265"/>
    <w:rsid w:val="00057665"/>
    <w:rsid w:val="000621C2"/>
    <w:rsid w:val="0006417D"/>
    <w:rsid w:val="00065122"/>
    <w:rsid w:val="00073586"/>
    <w:rsid w:val="00074577"/>
    <w:rsid w:val="000771CE"/>
    <w:rsid w:val="00080536"/>
    <w:rsid w:val="000809D2"/>
    <w:rsid w:val="00081180"/>
    <w:rsid w:val="00082BEA"/>
    <w:rsid w:val="00087A67"/>
    <w:rsid w:val="0009135E"/>
    <w:rsid w:val="000919D3"/>
    <w:rsid w:val="000926B5"/>
    <w:rsid w:val="000944C0"/>
    <w:rsid w:val="0009460B"/>
    <w:rsid w:val="000953AF"/>
    <w:rsid w:val="00095C5F"/>
    <w:rsid w:val="000971A3"/>
    <w:rsid w:val="000972FE"/>
    <w:rsid w:val="000A0F24"/>
    <w:rsid w:val="000A148F"/>
    <w:rsid w:val="000A23C9"/>
    <w:rsid w:val="000A3B5E"/>
    <w:rsid w:val="000A4A63"/>
    <w:rsid w:val="000A689C"/>
    <w:rsid w:val="000A68E2"/>
    <w:rsid w:val="000A7AE1"/>
    <w:rsid w:val="000A7C30"/>
    <w:rsid w:val="000B1018"/>
    <w:rsid w:val="000B1127"/>
    <w:rsid w:val="000B24BA"/>
    <w:rsid w:val="000B4444"/>
    <w:rsid w:val="000B7822"/>
    <w:rsid w:val="000C0AAF"/>
    <w:rsid w:val="000C108C"/>
    <w:rsid w:val="000C34DD"/>
    <w:rsid w:val="000C4750"/>
    <w:rsid w:val="000C5F92"/>
    <w:rsid w:val="000C6052"/>
    <w:rsid w:val="000C789E"/>
    <w:rsid w:val="000D0D7D"/>
    <w:rsid w:val="000D12FE"/>
    <w:rsid w:val="000D25E6"/>
    <w:rsid w:val="000D3256"/>
    <w:rsid w:val="000D5768"/>
    <w:rsid w:val="000E00D4"/>
    <w:rsid w:val="000E1473"/>
    <w:rsid w:val="000E4422"/>
    <w:rsid w:val="000E52CE"/>
    <w:rsid w:val="000E61B6"/>
    <w:rsid w:val="000E7D02"/>
    <w:rsid w:val="000F05AF"/>
    <w:rsid w:val="000F2173"/>
    <w:rsid w:val="000F2EA5"/>
    <w:rsid w:val="00104844"/>
    <w:rsid w:val="00104F43"/>
    <w:rsid w:val="001056F1"/>
    <w:rsid w:val="00114A02"/>
    <w:rsid w:val="00115953"/>
    <w:rsid w:val="00117960"/>
    <w:rsid w:val="0012316E"/>
    <w:rsid w:val="001233DF"/>
    <w:rsid w:val="00123781"/>
    <w:rsid w:val="00126EA7"/>
    <w:rsid w:val="00132FE2"/>
    <w:rsid w:val="00134CF6"/>
    <w:rsid w:val="00134E98"/>
    <w:rsid w:val="00136499"/>
    <w:rsid w:val="001411A4"/>
    <w:rsid w:val="001420F3"/>
    <w:rsid w:val="00145DCF"/>
    <w:rsid w:val="00145FC2"/>
    <w:rsid w:val="001543C0"/>
    <w:rsid w:val="0015507C"/>
    <w:rsid w:val="001561AE"/>
    <w:rsid w:val="00157865"/>
    <w:rsid w:val="00160558"/>
    <w:rsid w:val="001655B1"/>
    <w:rsid w:val="00166FE2"/>
    <w:rsid w:val="0017031B"/>
    <w:rsid w:val="00172B17"/>
    <w:rsid w:val="00173934"/>
    <w:rsid w:val="00177A27"/>
    <w:rsid w:val="001825B6"/>
    <w:rsid w:val="00182BA9"/>
    <w:rsid w:val="00182D15"/>
    <w:rsid w:val="00184B25"/>
    <w:rsid w:val="00186292"/>
    <w:rsid w:val="00187311"/>
    <w:rsid w:val="0019117E"/>
    <w:rsid w:val="00193266"/>
    <w:rsid w:val="0019381C"/>
    <w:rsid w:val="00194D8A"/>
    <w:rsid w:val="001A26AB"/>
    <w:rsid w:val="001A500D"/>
    <w:rsid w:val="001A5AE0"/>
    <w:rsid w:val="001A5BB1"/>
    <w:rsid w:val="001A77E3"/>
    <w:rsid w:val="001B378C"/>
    <w:rsid w:val="001B5537"/>
    <w:rsid w:val="001B58F4"/>
    <w:rsid w:val="001C0183"/>
    <w:rsid w:val="001C1F64"/>
    <w:rsid w:val="001C23E2"/>
    <w:rsid w:val="001C3268"/>
    <w:rsid w:val="001C56E7"/>
    <w:rsid w:val="001D0EF3"/>
    <w:rsid w:val="001D1378"/>
    <w:rsid w:val="001D2A4A"/>
    <w:rsid w:val="001D43E4"/>
    <w:rsid w:val="001D4AAD"/>
    <w:rsid w:val="001E030E"/>
    <w:rsid w:val="001E2117"/>
    <w:rsid w:val="001E5E34"/>
    <w:rsid w:val="001E7EDC"/>
    <w:rsid w:val="001F0303"/>
    <w:rsid w:val="001F4CA6"/>
    <w:rsid w:val="001F7721"/>
    <w:rsid w:val="001F79AB"/>
    <w:rsid w:val="0020025F"/>
    <w:rsid w:val="0020045A"/>
    <w:rsid w:val="0020250F"/>
    <w:rsid w:val="00203CE0"/>
    <w:rsid w:val="00203FE3"/>
    <w:rsid w:val="0020466D"/>
    <w:rsid w:val="00205037"/>
    <w:rsid w:val="002074A3"/>
    <w:rsid w:val="002117F9"/>
    <w:rsid w:val="00211C42"/>
    <w:rsid w:val="002141FB"/>
    <w:rsid w:val="00215A68"/>
    <w:rsid w:val="0021708B"/>
    <w:rsid w:val="002200D0"/>
    <w:rsid w:val="00221FC6"/>
    <w:rsid w:val="002224E2"/>
    <w:rsid w:val="00225119"/>
    <w:rsid w:val="00225A03"/>
    <w:rsid w:val="00227F7E"/>
    <w:rsid w:val="00230C5A"/>
    <w:rsid w:val="00230D0E"/>
    <w:rsid w:val="002344EA"/>
    <w:rsid w:val="00234EE0"/>
    <w:rsid w:val="00236EE8"/>
    <w:rsid w:val="00236F9B"/>
    <w:rsid w:val="002379AA"/>
    <w:rsid w:val="002403D8"/>
    <w:rsid w:val="00240F37"/>
    <w:rsid w:val="00242FC2"/>
    <w:rsid w:val="00243244"/>
    <w:rsid w:val="002445FD"/>
    <w:rsid w:val="00244B6B"/>
    <w:rsid w:val="002457A7"/>
    <w:rsid w:val="00247302"/>
    <w:rsid w:val="0025023A"/>
    <w:rsid w:val="002524B9"/>
    <w:rsid w:val="00255226"/>
    <w:rsid w:val="00256CE7"/>
    <w:rsid w:val="00260009"/>
    <w:rsid w:val="00261788"/>
    <w:rsid w:val="00264270"/>
    <w:rsid w:val="002647B6"/>
    <w:rsid w:val="00265DF0"/>
    <w:rsid w:val="0027002C"/>
    <w:rsid w:val="00273ECB"/>
    <w:rsid w:val="00274795"/>
    <w:rsid w:val="00274D1C"/>
    <w:rsid w:val="0027510E"/>
    <w:rsid w:val="00276572"/>
    <w:rsid w:val="0028178D"/>
    <w:rsid w:val="00282714"/>
    <w:rsid w:val="0028276F"/>
    <w:rsid w:val="0028626C"/>
    <w:rsid w:val="0028643C"/>
    <w:rsid w:val="00287C86"/>
    <w:rsid w:val="002900DF"/>
    <w:rsid w:val="002907B7"/>
    <w:rsid w:val="00290942"/>
    <w:rsid w:val="00291651"/>
    <w:rsid w:val="00291E85"/>
    <w:rsid w:val="002A0DC7"/>
    <w:rsid w:val="002A25F8"/>
    <w:rsid w:val="002A2C91"/>
    <w:rsid w:val="002A34AB"/>
    <w:rsid w:val="002A4252"/>
    <w:rsid w:val="002A70C9"/>
    <w:rsid w:val="002A7D4A"/>
    <w:rsid w:val="002B06F1"/>
    <w:rsid w:val="002B0C2A"/>
    <w:rsid w:val="002B2B4E"/>
    <w:rsid w:val="002B2CF9"/>
    <w:rsid w:val="002B4AF7"/>
    <w:rsid w:val="002B57B6"/>
    <w:rsid w:val="002B7098"/>
    <w:rsid w:val="002C2AD8"/>
    <w:rsid w:val="002D01F6"/>
    <w:rsid w:val="002D1DEC"/>
    <w:rsid w:val="002D31EA"/>
    <w:rsid w:val="002D34ED"/>
    <w:rsid w:val="002D399F"/>
    <w:rsid w:val="002D4B6C"/>
    <w:rsid w:val="002D5192"/>
    <w:rsid w:val="002D533F"/>
    <w:rsid w:val="002E0378"/>
    <w:rsid w:val="002E10B6"/>
    <w:rsid w:val="002E17D1"/>
    <w:rsid w:val="002E1D6B"/>
    <w:rsid w:val="002E448D"/>
    <w:rsid w:val="002E5570"/>
    <w:rsid w:val="002F02D0"/>
    <w:rsid w:val="002F0E4C"/>
    <w:rsid w:val="002F3A9F"/>
    <w:rsid w:val="002F5E97"/>
    <w:rsid w:val="002F6623"/>
    <w:rsid w:val="002F7D44"/>
    <w:rsid w:val="003006CA"/>
    <w:rsid w:val="00304ACE"/>
    <w:rsid w:val="00304B15"/>
    <w:rsid w:val="003074B0"/>
    <w:rsid w:val="003127FD"/>
    <w:rsid w:val="00312D89"/>
    <w:rsid w:val="00312DA6"/>
    <w:rsid w:val="00315F75"/>
    <w:rsid w:val="00321C1B"/>
    <w:rsid w:val="00322345"/>
    <w:rsid w:val="00323DA7"/>
    <w:rsid w:val="003258CA"/>
    <w:rsid w:val="00325B39"/>
    <w:rsid w:val="003336E8"/>
    <w:rsid w:val="00333DEA"/>
    <w:rsid w:val="0033729D"/>
    <w:rsid w:val="0034206A"/>
    <w:rsid w:val="00346D9D"/>
    <w:rsid w:val="003522B4"/>
    <w:rsid w:val="00353E7A"/>
    <w:rsid w:val="0035737F"/>
    <w:rsid w:val="0035759F"/>
    <w:rsid w:val="0036504D"/>
    <w:rsid w:val="00373CE5"/>
    <w:rsid w:val="00381909"/>
    <w:rsid w:val="00390D71"/>
    <w:rsid w:val="00394777"/>
    <w:rsid w:val="00394DDB"/>
    <w:rsid w:val="00395224"/>
    <w:rsid w:val="00395853"/>
    <w:rsid w:val="00396056"/>
    <w:rsid w:val="003A14FA"/>
    <w:rsid w:val="003A1FA0"/>
    <w:rsid w:val="003A5924"/>
    <w:rsid w:val="003B2DB6"/>
    <w:rsid w:val="003B612D"/>
    <w:rsid w:val="003B62D4"/>
    <w:rsid w:val="003C0A77"/>
    <w:rsid w:val="003C20B2"/>
    <w:rsid w:val="003C2C8D"/>
    <w:rsid w:val="003D0E3E"/>
    <w:rsid w:val="003D2DC3"/>
    <w:rsid w:val="003D2FC8"/>
    <w:rsid w:val="003D34BE"/>
    <w:rsid w:val="003D38E2"/>
    <w:rsid w:val="003D5946"/>
    <w:rsid w:val="003D7AE8"/>
    <w:rsid w:val="003E0319"/>
    <w:rsid w:val="003E0394"/>
    <w:rsid w:val="003E2C7D"/>
    <w:rsid w:val="003E3387"/>
    <w:rsid w:val="003E3F61"/>
    <w:rsid w:val="003E5732"/>
    <w:rsid w:val="003F15D0"/>
    <w:rsid w:val="003F1EEB"/>
    <w:rsid w:val="003F6E6C"/>
    <w:rsid w:val="003F73C0"/>
    <w:rsid w:val="003F75C4"/>
    <w:rsid w:val="00400125"/>
    <w:rsid w:val="00400EE8"/>
    <w:rsid w:val="00402703"/>
    <w:rsid w:val="004105EB"/>
    <w:rsid w:val="004113BB"/>
    <w:rsid w:val="00412536"/>
    <w:rsid w:val="00412779"/>
    <w:rsid w:val="00413926"/>
    <w:rsid w:val="0041622A"/>
    <w:rsid w:val="00416D67"/>
    <w:rsid w:val="00420776"/>
    <w:rsid w:val="004216E7"/>
    <w:rsid w:val="004224E2"/>
    <w:rsid w:val="004231D8"/>
    <w:rsid w:val="004240A1"/>
    <w:rsid w:val="00427467"/>
    <w:rsid w:val="00431707"/>
    <w:rsid w:val="00433C66"/>
    <w:rsid w:val="004370BD"/>
    <w:rsid w:val="00443D89"/>
    <w:rsid w:val="00444282"/>
    <w:rsid w:val="00445F3B"/>
    <w:rsid w:val="00450100"/>
    <w:rsid w:val="0045120B"/>
    <w:rsid w:val="0045120D"/>
    <w:rsid w:val="0045162B"/>
    <w:rsid w:val="004522E1"/>
    <w:rsid w:val="00452992"/>
    <w:rsid w:val="00452E4E"/>
    <w:rsid w:val="004574A3"/>
    <w:rsid w:val="00462189"/>
    <w:rsid w:val="00463294"/>
    <w:rsid w:val="004665AD"/>
    <w:rsid w:val="00466A65"/>
    <w:rsid w:val="00466BCC"/>
    <w:rsid w:val="0046740F"/>
    <w:rsid w:val="00467A9B"/>
    <w:rsid w:val="00467C81"/>
    <w:rsid w:val="00480070"/>
    <w:rsid w:val="00480469"/>
    <w:rsid w:val="00481650"/>
    <w:rsid w:val="00483358"/>
    <w:rsid w:val="00485048"/>
    <w:rsid w:val="0048519E"/>
    <w:rsid w:val="00490AC8"/>
    <w:rsid w:val="00495648"/>
    <w:rsid w:val="00497277"/>
    <w:rsid w:val="0049778D"/>
    <w:rsid w:val="004A1508"/>
    <w:rsid w:val="004A18E6"/>
    <w:rsid w:val="004A1BE9"/>
    <w:rsid w:val="004A2214"/>
    <w:rsid w:val="004A290A"/>
    <w:rsid w:val="004A47AC"/>
    <w:rsid w:val="004A492B"/>
    <w:rsid w:val="004A4D5D"/>
    <w:rsid w:val="004A594C"/>
    <w:rsid w:val="004B0D25"/>
    <w:rsid w:val="004B25B5"/>
    <w:rsid w:val="004B35B0"/>
    <w:rsid w:val="004B36FB"/>
    <w:rsid w:val="004B3890"/>
    <w:rsid w:val="004B7AD4"/>
    <w:rsid w:val="004C1192"/>
    <w:rsid w:val="004C41B1"/>
    <w:rsid w:val="004C513E"/>
    <w:rsid w:val="004C6042"/>
    <w:rsid w:val="004C6B68"/>
    <w:rsid w:val="004D0523"/>
    <w:rsid w:val="004D0FD5"/>
    <w:rsid w:val="004D1202"/>
    <w:rsid w:val="004D1FB8"/>
    <w:rsid w:val="004D2EF3"/>
    <w:rsid w:val="004D7618"/>
    <w:rsid w:val="004D792A"/>
    <w:rsid w:val="004D7DF7"/>
    <w:rsid w:val="004E2C64"/>
    <w:rsid w:val="004E3413"/>
    <w:rsid w:val="004E3BFA"/>
    <w:rsid w:val="004E3D09"/>
    <w:rsid w:val="004E538E"/>
    <w:rsid w:val="004E71BC"/>
    <w:rsid w:val="004F2044"/>
    <w:rsid w:val="004F20BD"/>
    <w:rsid w:val="004F2167"/>
    <w:rsid w:val="004F3446"/>
    <w:rsid w:val="004F44F9"/>
    <w:rsid w:val="004F4666"/>
    <w:rsid w:val="005002E6"/>
    <w:rsid w:val="005009C2"/>
    <w:rsid w:val="0050747F"/>
    <w:rsid w:val="005074B5"/>
    <w:rsid w:val="00512D90"/>
    <w:rsid w:val="00513085"/>
    <w:rsid w:val="0051467C"/>
    <w:rsid w:val="005146C3"/>
    <w:rsid w:val="00517407"/>
    <w:rsid w:val="00517792"/>
    <w:rsid w:val="005268D6"/>
    <w:rsid w:val="005314A0"/>
    <w:rsid w:val="005319A4"/>
    <w:rsid w:val="00534BCE"/>
    <w:rsid w:val="0053782C"/>
    <w:rsid w:val="005379D4"/>
    <w:rsid w:val="00540C79"/>
    <w:rsid w:val="00543AE7"/>
    <w:rsid w:val="00543FC9"/>
    <w:rsid w:val="0054545B"/>
    <w:rsid w:val="00550044"/>
    <w:rsid w:val="0055090C"/>
    <w:rsid w:val="00550BB3"/>
    <w:rsid w:val="00553785"/>
    <w:rsid w:val="0055779E"/>
    <w:rsid w:val="0056241E"/>
    <w:rsid w:val="00565987"/>
    <w:rsid w:val="00571830"/>
    <w:rsid w:val="0057363E"/>
    <w:rsid w:val="00583ABE"/>
    <w:rsid w:val="0058516B"/>
    <w:rsid w:val="00586563"/>
    <w:rsid w:val="00586F0D"/>
    <w:rsid w:val="00587B5F"/>
    <w:rsid w:val="0059056F"/>
    <w:rsid w:val="0059113A"/>
    <w:rsid w:val="0059133B"/>
    <w:rsid w:val="0059171C"/>
    <w:rsid w:val="005923BC"/>
    <w:rsid w:val="0059624C"/>
    <w:rsid w:val="005A308A"/>
    <w:rsid w:val="005A31CC"/>
    <w:rsid w:val="005A491D"/>
    <w:rsid w:val="005A4D84"/>
    <w:rsid w:val="005A5C08"/>
    <w:rsid w:val="005A6912"/>
    <w:rsid w:val="005A7ADB"/>
    <w:rsid w:val="005B06D9"/>
    <w:rsid w:val="005B14C8"/>
    <w:rsid w:val="005B27D2"/>
    <w:rsid w:val="005B32E6"/>
    <w:rsid w:val="005B3460"/>
    <w:rsid w:val="005B3DEF"/>
    <w:rsid w:val="005B57DB"/>
    <w:rsid w:val="005B6786"/>
    <w:rsid w:val="005B708E"/>
    <w:rsid w:val="005C1272"/>
    <w:rsid w:val="005C1810"/>
    <w:rsid w:val="005C2DBA"/>
    <w:rsid w:val="005C415F"/>
    <w:rsid w:val="005C4BD1"/>
    <w:rsid w:val="005C6762"/>
    <w:rsid w:val="005C6845"/>
    <w:rsid w:val="005C6C64"/>
    <w:rsid w:val="005C7A47"/>
    <w:rsid w:val="005D133D"/>
    <w:rsid w:val="005D4472"/>
    <w:rsid w:val="005D697A"/>
    <w:rsid w:val="005D6F67"/>
    <w:rsid w:val="005E3F1A"/>
    <w:rsid w:val="005E5A9C"/>
    <w:rsid w:val="005F18E0"/>
    <w:rsid w:val="005F1A1A"/>
    <w:rsid w:val="005F5B13"/>
    <w:rsid w:val="005F6485"/>
    <w:rsid w:val="005F762D"/>
    <w:rsid w:val="005F7690"/>
    <w:rsid w:val="00600D3E"/>
    <w:rsid w:val="00601908"/>
    <w:rsid w:val="00601F43"/>
    <w:rsid w:val="00603633"/>
    <w:rsid w:val="00605FAC"/>
    <w:rsid w:val="0060661B"/>
    <w:rsid w:val="00613114"/>
    <w:rsid w:val="00614BF4"/>
    <w:rsid w:val="00615338"/>
    <w:rsid w:val="00631F2B"/>
    <w:rsid w:val="006350E8"/>
    <w:rsid w:val="00636534"/>
    <w:rsid w:val="00637DA9"/>
    <w:rsid w:val="00640606"/>
    <w:rsid w:val="006419E4"/>
    <w:rsid w:val="00644A1F"/>
    <w:rsid w:val="00645CE5"/>
    <w:rsid w:val="0065272C"/>
    <w:rsid w:val="006529EA"/>
    <w:rsid w:val="00657AF2"/>
    <w:rsid w:val="00660BB2"/>
    <w:rsid w:val="00660C30"/>
    <w:rsid w:val="00663BBC"/>
    <w:rsid w:val="006649A9"/>
    <w:rsid w:val="00664C5F"/>
    <w:rsid w:val="00667BEE"/>
    <w:rsid w:val="00670781"/>
    <w:rsid w:val="00671378"/>
    <w:rsid w:val="00671B11"/>
    <w:rsid w:val="00671B2F"/>
    <w:rsid w:val="00675133"/>
    <w:rsid w:val="00675297"/>
    <w:rsid w:val="006770E0"/>
    <w:rsid w:val="00681DA0"/>
    <w:rsid w:val="00682820"/>
    <w:rsid w:val="00685011"/>
    <w:rsid w:val="00690504"/>
    <w:rsid w:val="0069602A"/>
    <w:rsid w:val="00697364"/>
    <w:rsid w:val="006A2CD3"/>
    <w:rsid w:val="006A46CF"/>
    <w:rsid w:val="006A4BA2"/>
    <w:rsid w:val="006A731E"/>
    <w:rsid w:val="006A77AF"/>
    <w:rsid w:val="006A7DA5"/>
    <w:rsid w:val="006B1E60"/>
    <w:rsid w:val="006B35AA"/>
    <w:rsid w:val="006B69AF"/>
    <w:rsid w:val="006B79A6"/>
    <w:rsid w:val="006C0AC0"/>
    <w:rsid w:val="006C25C2"/>
    <w:rsid w:val="006C6C05"/>
    <w:rsid w:val="006D2D70"/>
    <w:rsid w:val="006D37C6"/>
    <w:rsid w:val="006D6880"/>
    <w:rsid w:val="006D7552"/>
    <w:rsid w:val="006E556A"/>
    <w:rsid w:val="006E70C8"/>
    <w:rsid w:val="006E79BB"/>
    <w:rsid w:val="006E7B7B"/>
    <w:rsid w:val="006F07A8"/>
    <w:rsid w:val="006F321A"/>
    <w:rsid w:val="006F3A14"/>
    <w:rsid w:val="006F3F76"/>
    <w:rsid w:val="006F5230"/>
    <w:rsid w:val="00700ED9"/>
    <w:rsid w:val="00701803"/>
    <w:rsid w:val="00702E0D"/>
    <w:rsid w:val="00705736"/>
    <w:rsid w:val="00705BAA"/>
    <w:rsid w:val="0070680B"/>
    <w:rsid w:val="0070759E"/>
    <w:rsid w:val="00707ADA"/>
    <w:rsid w:val="0071115A"/>
    <w:rsid w:val="007122F9"/>
    <w:rsid w:val="007129E3"/>
    <w:rsid w:val="00713ADB"/>
    <w:rsid w:val="00714256"/>
    <w:rsid w:val="00714923"/>
    <w:rsid w:val="00714EB0"/>
    <w:rsid w:val="00720B3E"/>
    <w:rsid w:val="00723FEA"/>
    <w:rsid w:val="00730D17"/>
    <w:rsid w:val="00732C77"/>
    <w:rsid w:val="00735769"/>
    <w:rsid w:val="00736739"/>
    <w:rsid w:val="00736A38"/>
    <w:rsid w:val="0074129E"/>
    <w:rsid w:val="007412DE"/>
    <w:rsid w:val="00742FBC"/>
    <w:rsid w:val="0074739B"/>
    <w:rsid w:val="00747749"/>
    <w:rsid w:val="00747A11"/>
    <w:rsid w:val="00747F87"/>
    <w:rsid w:val="00750C2D"/>
    <w:rsid w:val="007546D5"/>
    <w:rsid w:val="0075486C"/>
    <w:rsid w:val="00754D32"/>
    <w:rsid w:val="00760C05"/>
    <w:rsid w:val="00761175"/>
    <w:rsid w:val="00761622"/>
    <w:rsid w:val="007658B4"/>
    <w:rsid w:val="00766141"/>
    <w:rsid w:val="00770167"/>
    <w:rsid w:val="00772B25"/>
    <w:rsid w:val="007737FC"/>
    <w:rsid w:val="00776FE6"/>
    <w:rsid w:val="00777237"/>
    <w:rsid w:val="00780275"/>
    <w:rsid w:val="00783838"/>
    <w:rsid w:val="00786B04"/>
    <w:rsid w:val="00787385"/>
    <w:rsid w:val="00790226"/>
    <w:rsid w:val="00791443"/>
    <w:rsid w:val="00791691"/>
    <w:rsid w:val="007920C6"/>
    <w:rsid w:val="007921B6"/>
    <w:rsid w:val="007930E4"/>
    <w:rsid w:val="0079581E"/>
    <w:rsid w:val="00796181"/>
    <w:rsid w:val="00797273"/>
    <w:rsid w:val="007A1595"/>
    <w:rsid w:val="007A1A09"/>
    <w:rsid w:val="007A359B"/>
    <w:rsid w:val="007A386D"/>
    <w:rsid w:val="007A5549"/>
    <w:rsid w:val="007B00D8"/>
    <w:rsid w:val="007B1705"/>
    <w:rsid w:val="007B2EF7"/>
    <w:rsid w:val="007B3C60"/>
    <w:rsid w:val="007C1767"/>
    <w:rsid w:val="007C1A1A"/>
    <w:rsid w:val="007C3329"/>
    <w:rsid w:val="007C3EC6"/>
    <w:rsid w:val="007C6B24"/>
    <w:rsid w:val="007C7ACB"/>
    <w:rsid w:val="007D1C0A"/>
    <w:rsid w:val="007D1E4B"/>
    <w:rsid w:val="007D31A5"/>
    <w:rsid w:val="007D4332"/>
    <w:rsid w:val="007D48F7"/>
    <w:rsid w:val="007D4B15"/>
    <w:rsid w:val="007D5140"/>
    <w:rsid w:val="007D5E65"/>
    <w:rsid w:val="007D721F"/>
    <w:rsid w:val="007E1F73"/>
    <w:rsid w:val="007E276A"/>
    <w:rsid w:val="007E46CC"/>
    <w:rsid w:val="007F04CB"/>
    <w:rsid w:val="007F315B"/>
    <w:rsid w:val="007F7691"/>
    <w:rsid w:val="007F7A49"/>
    <w:rsid w:val="00800729"/>
    <w:rsid w:val="00801DAA"/>
    <w:rsid w:val="00805582"/>
    <w:rsid w:val="008100B3"/>
    <w:rsid w:val="00812BC5"/>
    <w:rsid w:val="00814F92"/>
    <w:rsid w:val="00821539"/>
    <w:rsid w:val="0082304C"/>
    <w:rsid w:val="008236B1"/>
    <w:rsid w:val="0082644D"/>
    <w:rsid w:val="0083026C"/>
    <w:rsid w:val="00830809"/>
    <w:rsid w:val="008308DE"/>
    <w:rsid w:val="008357A3"/>
    <w:rsid w:val="00835CE8"/>
    <w:rsid w:val="00840152"/>
    <w:rsid w:val="008415CD"/>
    <w:rsid w:val="00842014"/>
    <w:rsid w:val="008454F3"/>
    <w:rsid w:val="0085175E"/>
    <w:rsid w:val="00853588"/>
    <w:rsid w:val="00860196"/>
    <w:rsid w:val="0086161D"/>
    <w:rsid w:val="008618DD"/>
    <w:rsid w:val="00861D83"/>
    <w:rsid w:val="00862C2D"/>
    <w:rsid w:val="00865A95"/>
    <w:rsid w:val="00865BB1"/>
    <w:rsid w:val="0086659A"/>
    <w:rsid w:val="008670BA"/>
    <w:rsid w:val="00870825"/>
    <w:rsid w:val="008726AC"/>
    <w:rsid w:val="00872EAF"/>
    <w:rsid w:val="008732D1"/>
    <w:rsid w:val="008742C6"/>
    <w:rsid w:val="00874B0E"/>
    <w:rsid w:val="00876D78"/>
    <w:rsid w:val="00880D98"/>
    <w:rsid w:val="00883E07"/>
    <w:rsid w:val="00886146"/>
    <w:rsid w:val="008864F0"/>
    <w:rsid w:val="0088740F"/>
    <w:rsid w:val="008901AC"/>
    <w:rsid w:val="008917DB"/>
    <w:rsid w:val="0089420E"/>
    <w:rsid w:val="00894CB3"/>
    <w:rsid w:val="00894DA0"/>
    <w:rsid w:val="00896627"/>
    <w:rsid w:val="00896AA4"/>
    <w:rsid w:val="00897360"/>
    <w:rsid w:val="008A06B2"/>
    <w:rsid w:val="008A3AD3"/>
    <w:rsid w:val="008A4C2A"/>
    <w:rsid w:val="008A5714"/>
    <w:rsid w:val="008B3258"/>
    <w:rsid w:val="008B36B8"/>
    <w:rsid w:val="008B51A3"/>
    <w:rsid w:val="008B5C78"/>
    <w:rsid w:val="008C2483"/>
    <w:rsid w:val="008C4817"/>
    <w:rsid w:val="008C7998"/>
    <w:rsid w:val="008D1D7D"/>
    <w:rsid w:val="008D1F70"/>
    <w:rsid w:val="008D2356"/>
    <w:rsid w:val="008D321D"/>
    <w:rsid w:val="008D3993"/>
    <w:rsid w:val="008D5426"/>
    <w:rsid w:val="008E1A55"/>
    <w:rsid w:val="008E1BEC"/>
    <w:rsid w:val="008E312B"/>
    <w:rsid w:val="008E560E"/>
    <w:rsid w:val="008E6BEC"/>
    <w:rsid w:val="008F37D8"/>
    <w:rsid w:val="008F4024"/>
    <w:rsid w:val="008F544D"/>
    <w:rsid w:val="008F5F18"/>
    <w:rsid w:val="008F7754"/>
    <w:rsid w:val="00901F57"/>
    <w:rsid w:val="00902C63"/>
    <w:rsid w:val="00903F99"/>
    <w:rsid w:val="00907074"/>
    <w:rsid w:val="00907536"/>
    <w:rsid w:val="00914449"/>
    <w:rsid w:val="00915858"/>
    <w:rsid w:val="00915A1B"/>
    <w:rsid w:val="009216C6"/>
    <w:rsid w:val="0092286C"/>
    <w:rsid w:val="0092523D"/>
    <w:rsid w:val="00927BEE"/>
    <w:rsid w:val="009337E5"/>
    <w:rsid w:val="00935672"/>
    <w:rsid w:val="00935FC3"/>
    <w:rsid w:val="009374B4"/>
    <w:rsid w:val="0094104C"/>
    <w:rsid w:val="009419DC"/>
    <w:rsid w:val="00943ED1"/>
    <w:rsid w:val="00944E88"/>
    <w:rsid w:val="00945ACA"/>
    <w:rsid w:val="00946D80"/>
    <w:rsid w:val="00951D5C"/>
    <w:rsid w:val="00952990"/>
    <w:rsid w:val="00955B71"/>
    <w:rsid w:val="00957D5A"/>
    <w:rsid w:val="00961772"/>
    <w:rsid w:val="00961D12"/>
    <w:rsid w:val="00963BD0"/>
    <w:rsid w:val="009718CD"/>
    <w:rsid w:val="00971C1D"/>
    <w:rsid w:val="00972061"/>
    <w:rsid w:val="0097284F"/>
    <w:rsid w:val="00972D39"/>
    <w:rsid w:val="0097316E"/>
    <w:rsid w:val="00973294"/>
    <w:rsid w:val="0097348B"/>
    <w:rsid w:val="00975BEE"/>
    <w:rsid w:val="00982F08"/>
    <w:rsid w:val="00982F5E"/>
    <w:rsid w:val="00982F6F"/>
    <w:rsid w:val="00984555"/>
    <w:rsid w:val="00990E65"/>
    <w:rsid w:val="00991AB8"/>
    <w:rsid w:val="009921BC"/>
    <w:rsid w:val="009A1232"/>
    <w:rsid w:val="009A3996"/>
    <w:rsid w:val="009A43C8"/>
    <w:rsid w:val="009A476B"/>
    <w:rsid w:val="009A49B9"/>
    <w:rsid w:val="009A70EE"/>
    <w:rsid w:val="009B352F"/>
    <w:rsid w:val="009B4485"/>
    <w:rsid w:val="009B5B7C"/>
    <w:rsid w:val="009B6F06"/>
    <w:rsid w:val="009B7DC7"/>
    <w:rsid w:val="009C0A5C"/>
    <w:rsid w:val="009C0BA5"/>
    <w:rsid w:val="009C27FD"/>
    <w:rsid w:val="009C341D"/>
    <w:rsid w:val="009C4147"/>
    <w:rsid w:val="009C5BF2"/>
    <w:rsid w:val="009C7012"/>
    <w:rsid w:val="009D0F8F"/>
    <w:rsid w:val="009D6598"/>
    <w:rsid w:val="009D7353"/>
    <w:rsid w:val="009E1C6E"/>
    <w:rsid w:val="009E1DB1"/>
    <w:rsid w:val="009E31C1"/>
    <w:rsid w:val="009E3799"/>
    <w:rsid w:val="009E4A06"/>
    <w:rsid w:val="009E4FE5"/>
    <w:rsid w:val="009F13D3"/>
    <w:rsid w:val="009F155D"/>
    <w:rsid w:val="009F3F90"/>
    <w:rsid w:val="009F4654"/>
    <w:rsid w:val="009F4CB6"/>
    <w:rsid w:val="009F6C5D"/>
    <w:rsid w:val="009F6C92"/>
    <w:rsid w:val="00A02532"/>
    <w:rsid w:val="00A03FC8"/>
    <w:rsid w:val="00A07392"/>
    <w:rsid w:val="00A10880"/>
    <w:rsid w:val="00A12B6D"/>
    <w:rsid w:val="00A14F0C"/>
    <w:rsid w:val="00A1509D"/>
    <w:rsid w:val="00A16405"/>
    <w:rsid w:val="00A2273D"/>
    <w:rsid w:val="00A23087"/>
    <w:rsid w:val="00A231D5"/>
    <w:rsid w:val="00A331F4"/>
    <w:rsid w:val="00A33D7B"/>
    <w:rsid w:val="00A3550B"/>
    <w:rsid w:val="00A40794"/>
    <w:rsid w:val="00A41C21"/>
    <w:rsid w:val="00A426D3"/>
    <w:rsid w:val="00A4271C"/>
    <w:rsid w:val="00A4385D"/>
    <w:rsid w:val="00A43B35"/>
    <w:rsid w:val="00A44F3D"/>
    <w:rsid w:val="00A4694D"/>
    <w:rsid w:val="00A47826"/>
    <w:rsid w:val="00A47926"/>
    <w:rsid w:val="00A51478"/>
    <w:rsid w:val="00A6076C"/>
    <w:rsid w:val="00A612AE"/>
    <w:rsid w:val="00A6240F"/>
    <w:rsid w:val="00A626F1"/>
    <w:rsid w:val="00A62744"/>
    <w:rsid w:val="00A649F0"/>
    <w:rsid w:val="00A6578A"/>
    <w:rsid w:val="00A659B5"/>
    <w:rsid w:val="00A71F4A"/>
    <w:rsid w:val="00A722AD"/>
    <w:rsid w:val="00A73E15"/>
    <w:rsid w:val="00A74EEB"/>
    <w:rsid w:val="00A75115"/>
    <w:rsid w:val="00A81157"/>
    <w:rsid w:val="00A817D8"/>
    <w:rsid w:val="00A81D7C"/>
    <w:rsid w:val="00A83010"/>
    <w:rsid w:val="00A9290F"/>
    <w:rsid w:val="00A9590F"/>
    <w:rsid w:val="00A96745"/>
    <w:rsid w:val="00AB0EA0"/>
    <w:rsid w:val="00AC08A9"/>
    <w:rsid w:val="00AC0C77"/>
    <w:rsid w:val="00AC23A2"/>
    <w:rsid w:val="00AC5CD7"/>
    <w:rsid w:val="00AC6D78"/>
    <w:rsid w:val="00AC795F"/>
    <w:rsid w:val="00AC7973"/>
    <w:rsid w:val="00AC7FC9"/>
    <w:rsid w:val="00AD034D"/>
    <w:rsid w:val="00AD1D77"/>
    <w:rsid w:val="00AD37F5"/>
    <w:rsid w:val="00AD55A6"/>
    <w:rsid w:val="00AD7FA5"/>
    <w:rsid w:val="00AE7A5C"/>
    <w:rsid w:val="00AF07D7"/>
    <w:rsid w:val="00AF23ED"/>
    <w:rsid w:val="00AF2B5E"/>
    <w:rsid w:val="00AF53C4"/>
    <w:rsid w:val="00AF5E95"/>
    <w:rsid w:val="00AF6C5D"/>
    <w:rsid w:val="00AF7ECD"/>
    <w:rsid w:val="00B002EC"/>
    <w:rsid w:val="00B02B0D"/>
    <w:rsid w:val="00B062BE"/>
    <w:rsid w:val="00B07979"/>
    <w:rsid w:val="00B12B6E"/>
    <w:rsid w:val="00B12F7A"/>
    <w:rsid w:val="00B1381D"/>
    <w:rsid w:val="00B15FB1"/>
    <w:rsid w:val="00B16517"/>
    <w:rsid w:val="00B16EAC"/>
    <w:rsid w:val="00B20123"/>
    <w:rsid w:val="00B21FBD"/>
    <w:rsid w:val="00B22C75"/>
    <w:rsid w:val="00B239B5"/>
    <w:rsid w:val="00B23B27"/>
    <w:rsid w:val="00B23D21"/>
    <w:rsid w:val="00B23D8F"/>
    <w:rsid w:val="00B24C9E"/>
    <w:rsid w:val="00B279F7"/>
    <w:rsid w:val="00B319B5"/>
    <w:rsid w:val="00B32AAF"/>
    <w:rsid w:val="00B34406"/>
    <w:rsid w:val="00B366CF"/>
    <w:rsid w:val="00B37FBE"/>
    <w:rsid w:val="00B37FC9"/>
    <w:rsid w:val="00B40B34"/>
    <w:rsid w:val="00B40C35"/>
    <w:rsid w:val="00B422FC"/>
    <w:rsid w:val="00B447F1"/>
    <w:rsid w:val="00B45DD9"/>
    <w:rsid w:val="00B46E59"/>
    <w:rsid w:val="00B51B4F"/>
    <w:rsid w:val="00B524F7"/>
    <w:rsid w:val="00B53812"/>
    <w:rsid w:val="00B56422"/>
    <w:rsid w:val="00B57813"/>
    <w:rsid w:val="00B6172E"/>
    <w:rsid w:val="00B62D62"/>
    <w:rsid w:val="00B648B7"/>
    <w:rsid w:val="00B6496B"/>
    <w:rsid w:val="00B65E06"/>
    <w:rsid w:val="00B7025A"/>
    <w:rsid w:val="00B7104D"/>
    <w:rsid w:val="00B71198"/>
    <w:rsid w:val="00B712A7"/>
    <w:rsid w:val="00B71BD4"/>
    <w:rsid w:val="00B726F2"/>
    <w:rsid w:val="00B73DF2"/>
    <w:rsid w:val="00B77A81"/>
    <w:rsid w:val="00B77D7F"/>
    <w:rsid w:val="00B80892"/>
    <w:rsid w:val="00B82A3F"/>
    <w:rsid w:val="00B83A35"/>
    <w:rsid w:val="00B85086"/>
    <w:rsid w:val="00B85532"/>
    <w:rsid w:val="00B865DF"/>
    <w:rsid w:val="00B8750C"/>
    <w:rsid w:val="00B87F2B"/>
    <w:rsid w:val="00B9180E"/>
    <w:rsid w:val="00B92EA4"/>
    <w:rsid w:val="00B94822"/>
    <w:rsid w:val="00B94AF3"/>
    <w:rsid w:val="00B9562F"/>
    <w:rsid w:val="00B95DFC"/>
    <w:rsid w:val="00B9740E"/>
    <w:rsid w:val="00BA1811"/>
    <w:rsid w:val="00BA275E"/>
    <w:rsid w:val="00BA7DB5"/>
    <w:rsid w:val="00BB3304"/>
    <w:rsid w:val="00BB396E"/>
    <w:rsid w:val="00BB3D94"/>
    <w:rsid w:val="00BB4AF9"/>
    <w:rsid w:val="00BB7463"/>
    <w:rsid w:val="00BC0982"/>
    <w:rsid w:val="00BC40DA"/>
    <w:rsid w:val="00BC577E"/>
    <w:rsid w:val="00BC6EE4"/>
    <w:rsid w:val="00BD22CF"/>
    <w:rsid w:val="00BD31AE"/>
    <w:rsid w:val="00BD533C"/>
    <w:rsid w:val="00BD68F1"/>
    <w:rsid w:val="00BE0CDA"/>
    <w:rsid w:val="00BE11C1"/>
    <w:rsid w:val="00BE11D4"/>
    <w:rsid w:val="00BE2CA9"/>
    <w:rsid w:val="00BE45B7"/>
    <w:rsid w:val="00BE7A29"/>
    <w:rsid w:val="00BF193E"/>
    <w:rsid w:val="00BF2B63"/>
    <w:rsid w:val="00BF5223"/>
    <w:rsid w:val="00BF576F"/>
    <w:rsid w:val="00BF5A0E"/>
    <w:rsid w:val="00BF5D0B"/>
    <w:rsid w:val="00BF5F73"/>
    <w:rsid w:val="00BF6A38"/>
    <w:rsid w:val="00C019D1"/>
    <w:rsid w:val="00C02655"/>
    <w:rsid w:val="00C05BF1"/>
    <w:rsid w:val="00C07862"/>
    <w:rsid w:val="00C07CA2"/>
    <w:rsid w:val="00C102DE"/>
    <w:rsid w:val="00C13268"/>
    <w:rsid w:val="00C13B4A"/>
    <w:rsid w:val="00C14913"/>
    <w:rsid w:val="00C15B47"/>
    <w:rsid w:val="00C16C0F"/>
    <w:rsid w:val="00C20AA6"/>
    <w:rsid w:val="00C2240A"/>
    <w:rsid w:val="00C23C5A"/>
    <w:rsid w:val="00C2666F"/>
    <w:rsid w:val="00C3738F"/>
    <w:rsid w:val="00C379D1"/>
    <w:rsid w:val="00C41A3E"/>
    <w:rsid w:val="00C47D33"/>
    <w:rsid w:val="00C50D5C"/>
    <w:rsid w:val="00C52F5F"/>
    <w:rsid w:val="00C55378"/>
    <w:rsid w:val="00C57D0D"/>
    <w:rsid w:val="00C61551"/>
    <w:rsid w:val="00C61A3F"/>
    <w:rsid w:val="00C63180"/>
    <w:rsid w:val="00C6435F"/>
    <w:rsid w:val="00C6561A"/>
    <w:rsid w:val="00C65852"/>
    <w:rsid w:val="00C66678"/>
    <w:rsid w:val="00C70164"/>
    <w:rsid w:val="00C70C36"/>
    <w:rsid w:val="00C73920"/>
    <w:rsid w:val="00C73ED2"/>
    <w:rsid w:val="00C82A7D"/>
    <w:rsid w:val="00C84D83"/>
    <w:rsid w:val="00C86F23"/>
    <w:rsid w:val="00C87384"/>
    <w:rsid w:val="00C90C8C"/>
    <w:rsid w:val="00C931D1"/>
    <w:rsid w:val="00C94785"/>
    <w:rsid w:val="00CA1FF0"/>
    <w:rsid w:val="00CA3BDB"/>
    <w:rsid w:val="00CA453C"/>
    <w:rsid w:val="00CA48C4"/>
    <w:rsid w:val="00CA779C"/>
    <w:rsid w:val="00CB1E3E"/>
    <w:rsid w:val="00CB536E"/>
    <w:rsid w:val="00CB66DB"/>
    <w:rsid w:val="00CC1DA9"/>
    <w:rsid w:val="00CC26C8"/>
    <w:rsid w:val="00CD5D2B"/>
    <w:rsid w:val="00CD6D2F"/>
    <w:rsid w:val="00CD7FDA"/>
    <w:rsid w:val="00CE3B30"/>
    <w:rsid w:val="00CE3C42"/>
    <w:rsid w:val="00CE5CEF"/>
    <w:rsid w:val="00CE7AEC"/>
    <w:rsid w:val="00CF1777"/>
    <w:rsid w:val="00CF19DE"/>
    <w:rsid w:val="00CF41B1"/>
    <w:rsid w:val="00D0009C"/>
    <w:rsid w:val="00D02985"/>
    <w:rsid w:val="00D06A7E"/>
    <w:rsid w:val="00D10E67"/>
    <w:rsid w:val="00D11BB4"/>
    <w:rsid w:val="00D129E6"/>
    <w:rsid w:val="00D151B9"/>
    <w:rsid w:val="00D23E43"/>
    <w:rsid w:val="00D24CDA"/>
    <w:rsid w:val="00D251A9"/>
    <w:rsid w:val="00D26AA7"/>
    <w:rsid w:val="00D273C5"/>
    <w:rsid w:val="00D30893"/>
    <w:rsid w:val="00D36259"/>
    <w:rsid w:val="00D369CC"/>
    <w:rsid w:val="00D4002D"/>
    <w:rsid w:val="00D40600"/>
    <w:rsid w:val="00D41473"/>
    <w:rsid w:val="00D4264A"/>
    <w:rsid w:val="00D427C8"/>
    <w:rsid w:val="00D4795B"/>
    <w:rsid w:val="00D575DA"/>
    <w:rsid w:val="00D578E1"/>
    <w:rsid w:val="00D57DFE"/>
    <w:rsid w:val="00D61B4C"/>
    <w:rsid w:val="00D6346B"/>
    <w:rsid w:val="00D64547"/>
    <w:rsid w:val="00D648A3"/>
    <w:rsid w:val="00D64E36"/>
    <w:rsid w:val="00D677F3"/>
    <w:rsid w:val="00D707D8"/>
    <w:rsid w:val="00D70A61"/>
    <w:rsid w:val="00D70BF8"/>
    <w:rsid w:val="00D719E8"/>
    <w:rsid w:val="00D738CD"/>
    <w:rsid w:val="00D75841"/>
    <w:rsid w:val="00D76038"/>
    <w:rsid w:val="00D81EA4"/>
    <w:rsid w:val="00D8397B"/>
    <w:rsid w:val="00D8492C"/>
    <w:rsid w:val="00D84E5A"/>
    <w:rsid w:val="00D85690"/>
    <w:rsid w:val="00D85D94"/>
    <w:rsid w:val="00D86254"/>
    <w:rsid w:val="00D93AA3"/>
    <w:rsid w:val="00D961CD"/>
    <w:rsid w:val="00DA2A58"/>
    <w:rsid w:val="00DA33B2"/>
    <w:rsid w:val="00DA564D"/>
    <w:rsid w:val="00DA7970"/>
    <w:rsid w:val="00DB2B82"/>
    <w:rsid w:val="00DB2F4E"/>
    <w:rsid w:val="00DB48E9"/>
    <w:rsid w:val="00DB5F94"/>
    <w:rsid w:val="00DB7D52"/>
    <w:rsid w:val="00DC23B1"/>
    <w:rsid w:val="00DC7203"/>
    <w:rsid w:val="00DC7F12"/>
    <w:rsid w:val="00DD2001"/>
    <w:rsid w:val="00DE129F"/>
    <w:rsid w:val="00DE12BD"/>
    <w:rsid w:val="00DE14EF"/>
    <w:rsid w:val="00DE1986"/>
    <w:rsid w:val="00DE1B78"/>
    <w:rsid w:val="00DE1C3E"/>
    <w:rsid w:val="00DE255E"/>
    <w:rsid w:val="00DE577F"/>
    <w:rsid w:val="00DE61F1"/>
    <w:rsid w:val="00DE6489"/>
    <w:rsid w:val="00DE72CC"/>
    <w:rsid w:val="00DF1838"/>
    <w:rsid w:val="00DF2A12"/>
    <w:rsid w:val="00DF2DDA"/>
    <w:rsid w:val="00DF5060"/>
    <w:rsid w:val="00DF6037"/>
    <w:rsid w:val="00DF6CF1"/>
    <w:rsid w:val="00E001FD"/>
    <w:rsid w:val="00E00301"/>
    <w:rsid w:val="00E00593"/>
    <w:rsid w:val="00E014FA"/>
    <w:rsid w:val="00E023F5"/>
    <w:rsid w:val="00E02A50"/>
    <w:rsid w:val="00E02D9D"/>
    <w:rsid w:val="00E04EF5"/>
    <w:rsid w:val="00E04F1B"/>
    <w:rsid w:val="00E05126"/>
    <w:rsid w:val="00E13A8F"/>
    <w:rsid w:val="00E13F30"/>
    <w:rsid w:val="00E1428D"/>
    <w:rsid w:val="00E16123"/>
    <w:rsid w:val="00E16CE0"/>
    <w:rsid w:val="00E16EF2"/>
    <w:rsid w:val="00E20EC0"/>
    <w:rsid w:val="00E2149E"/>
    <w:rsid w:val="00E21AE1"/>
    <w:rsid w:val="00E21C3C"/>
    <w:rsid w:val="00E222D3"/>
    <w:rsid w:val="00E24F26"/>
    <w:rsid w:val="00E260CB"/>
    <w:rsid w:val="00E2698D"/>
    <w:rsid w:val="00E27C11"/>
    <w:rsid w:val="00E31B7B"/>
    <w:rsid w:val="00E31FBD"/>
    <w:rsid w:val="00E32289"/>
    <w:rsid w:val="00E34227"/>
    <w:rsid w:val="00E35FD9"/>
    <w:rsid w:val="00E42A99"/>
    <w:rsid w:val="00E439B8"/>
    <w:rsid w:val="00E45829"/>
    <w:rsid w:val="00E50C53"/>
    <w:rsid w:val="00E51020"/>
    <w:rsid w:val="00E51C0F"/>
    <w:rsid w:val="00E5665A"/>
    <w:rsid w:val="00E57F63"/>
    <w:rsid w:val="00E60AA1"/>
    <w:rsid w:val="00E60E34"/>
    <w:rsid w:val="00E64117"/>
    <w:rsid w:val="00E709E8"/>
    <w:rsid w:val="00E716A9"/>
    <w:rsid w:val="00E7225C"/>
    <w:rsid w:val="00E735CE"/>
    <w:rsid w:val="00E73D82"/>
    <w:rsid w:val="00E74DC1"/>
    <w:rsid w:val="00E754C8"/>
    <w:rsid w:val="00E7598F"/>
    <w:rsid w:val="00E7699D"/>
    <w:rsid w:val="00E77656"/>
    <w:rsid w:val="00E778A6"/>
    <w:rsid w:val="00E8165A"/>
    <w:rsid w:val="00E832EE"/>
    <w:rsid w:val="00E839C3"/>
    <w:rsid w:val="00E92C54"/>
    <w:rsid w:val="00E95D4C"/>
    <w:rsid w:val="00E96E1A"/>
    <w:rsid w:val="00E96E8B"/>
    <w:rsid w:val="00E97276"/>
    <w:rsid w:val="00E975DC"/>
    <w:rsid w:val="00EA64D2"/>
    <w:rsid w:val="00EB39D7"/>
    <w:rsid w:val="00EB3E93"/>
    <w:rsid w:val="00EC5ED4"/>
    <w:rsid w:val="00EC76D7"/>
    <w:rsid w:val="00ED01D8"/>
    <w:rsid w:val="00ED17DE"/>
    <w:rsid w:val="00ED5EE7"/>
    <w:rsid w:val="00ED7CCA"/>
    <w:rsid w:val="00EE0458"/>
    <w:rsid w:val="00EE179B"/>
    <w:rsid w:val="00EE17F4"/>
    <w:rsid w:val="00EE3B78"/>
    <w:rsid w:val="00EE7DFA"/>
    <w:rsid w:val="00EF332D"/>
    <w:rsid w:val="00EF3D1A"/>
    <w:rsid w:val="00EF5B9C"/>
    <w:rsid w:val="00EF79DE"/>
    <w:rsid w:val="00F011EC"/>
    <w:rsid w:val="00F065E4"/>
    <w:rsid w:val="00F1288A"/>
    <w:rsid w:val="00F24595"/>
    <w:rsid w:val="00F2716F"/>
    <w:rsid w:val="00F314DA"/>
    <w:rsid w:val="00F32B01"/>
    <w:rsid w:val="00F35638"/>
    <w:rsid w:val="00F414FD"/>
    <w:rsid w:val="00F431BB"/>
    <w:rsid w:val="00F4348C"/>
    <w:rsid w:val="00F435BE"/>
    <w:rsid w:val="00F44014"/>
    <w:rsid w:val="00F44433"/>
    <w:rsid w:val="00F479EE"/>
    <w:rsid w:val="00F51CB4"/>
    <w:rsid w:val="00F52D7E"/>
    <w:rsid w:val="00F53048"/>
    <w:rsid w:val="00F55257"/>
    <w:rsid w:val="00F6177A"/>
    <w:rsid w:val="00F64DFB"/>
    <w:rsid w:val="00F66537"/>
    <w:rsid w:val="00F7261C"/>
    <w:rsid w:val="00F74057"/>
    <w:rsid w:val="00F80556"/>
    <w:rsid w:val="00F811B4"/>
    <w:rsid w:val="00F81E06"/>
    <w:rsid w:val="00F84A73"/>
    <w:rsid w:val="00F8661F"/>
    <w:rsid w:val="00F86633"/>
    <w:rsid w:val="00F9098A"/>
    <w:rsid w:val="00F90EF9"/>
    <w:rsid w:val="00F91A7A"/>
    <w:rsid w:val="00F924DA"/>
    <w:rsid w:val="00F93411"/>
    <w:rsid w:val="00F95B09"/>
    <w:rsid w:val="00F974FA"/>
    <w:rsid w:val="00FA031F"/>
    <w:rsid w:val="00FA4072"/>
    <w:rsid w:val="00FA469A"/>
    <w:rsid w:val="00FA6BFD"/>
    <w:rsid w:val="00FB076A"/>
    <w:rsid w:val="00FB37CD"/>
    <w:rsid w:val="00FB7884"/>
    <w:rsid w:val="00FB7AF5"/>
    <w:rsid w:val="00FC0DF9"/>
    <w:rsid w:val="00FC3681"/>
    <w:rsid w:val="00FD2AC0"/>
    <w:rsid w:val="00FD2B81"/>
    <w:rsid w:val="00FD6C8F"/>
    <w:rsid w:val="00FE134B"/>
    <w:rsid w:val="00FE237F"/>
    <w:rsid w:val="00FE32ED"/>
    <w:rsid w:val="00FE38C8"/>
    <w:rsid w:val="00FE4CE0"/>
    <w:rsid w:val="00FE67D8"/>
    <w:rsid w:val="00FF1974"/>
    <w:rsid w:val="00FF1B49"/>
    <w:rsid w:val="00FF211C"/>
    <w:rsid w:val="00FF2E06"/>
    <w:rsid w:val="00FF3396"/>
    <w:rsid w:val="00FF3CE9"/>
    <w:rsid w:val="00FF61B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896B5"/>
  <w15:chartTrackingRefBased/>
  <w15:docId w15:val="{B82D9377-66D2-A04F-8FB0-AC3D2356E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C77"/>
    <w:pPr>
      <w:spacing w:line="480" w:lineRule="auto"/>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0C108C"/>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F065E4"/>
    <w:pPr>
      <w:keepNext/>
      <w:keepLines/>
      <w:spacing w:after="0"/>
      <w:ind w:left="238"/>
      <w:outlineLvl w:val="1"/>
    </w:pPr>
    <w:rPr>
      <w:rFonts w:eastAsiaTheme="majorEastAsia" w:cstheme="majorBidi"/>
      <w:sz w:val="26"/>
      <w:szCs w:val="32"/>
    </w:rPr>
  </w:style>
  <w:style w:type="paragraph" w:styleId="Heading3">
    <w:name w:val="heading 3"/>
    <w:basedOn w:val="Normal"/>
    <w:next w:val="Normal"/>
    <w:link w:val="Heading3Char"/>
    <w:uiPriority w:val="9"/>
    <w:unhideWhenUsed/>
    <w:qFormat/>
    <w:rsid w:val="00FA4072"/>
    <w:pPr>
      <w:keepNext/>
      <w:keepLines/>
      <w:spacing w:after="0"/>
      <w:ind w:left="482"/>
      <w:outlineLvl w:val="2"/>
    </w:pPr>
    <w:rPr>
      <w:rFonts w:eastAsiaTheme="majorEastAsia" w:cstheme="majorBidi"/>
      <w:szCs w:val="28"/>
    </w:rPr>
  </w:style>
  <w:style w:type="paragraph" w:styleId="Heading4">
    <w:name w:val="heading 4"/>
    <w:basedOn w:val="Normal"/>
    <w:next w:val="Normal"/>
    <w:link w:val="Heading4Char"/>
    <w:uiPriority w:val="9"/>
    <w:semiHidden/>
    <w:unhideWhenUsed/>
    <w:qFormat/>
    <w:rsid w:val="005851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1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1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1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1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1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08C"/>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F065E4"/>
    <w:rPr>
      <w:rFonts w:ascii="Times New Roman" w:eastAsiaTheme="majorEastAsia" w:hAnsi="Times New Roman" w:cstheme="majorBidi"/>
      <w:color w:val="000000" w:themeColor="text1"/>
      <w:sz w:val="26"/>
      <w:szCs w:val="32"/>
    </w:rPr>
  </w:style>
  <w:style w:type="character" w:customStyle="1" w:styleId="Heading3Char">
    <w:name w:val="Heading 3 Char"/>
    <w:basedOn w:val="DefaultParagraphFont"/>
    <w:link w:val="Heading3"/>
    <w:uiPriority w:val="9"/>
    <w:rsid w:val="00FA4072"/>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semiHidden/>
    <w:rsid w:val="005851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1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1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1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1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16B"/>
    <w:rPr>
      <w:rFonts w:eastAsiaTheme="majorEastAsia" w:cstheme="majorBidi"/>
      <w:color w:val="272727" w:themeColor="text1" w:themeTint="D8"/>
    </w:rPr>
  </w:style>
  <w:style w:type="paragraph" w:styleId="Title">
    <w:name w:val="Title"/>
    <w:basedOn w:val="Normal"/>
    <w:next w:val="Normal"/>
    <w:link w:val="TitleChar"/>
    <w:uiPriority w:val="10"/>
    <w:rsid w:val="005851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1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5851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1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58516B"/>
    <w:pPr>
      <w:spacing w:before="160"/>
      <w:jc w:val="center"/>
    </w:pPr>
    <w:rPr>
      <w:i/>
      <w:iCs/>
      <w:color w:val="404040" w:themeColor="text1" w:themeTint="BF"/>
    </w:rPr>
  </w:style>
  <w:style w:type="character" w:customStyle="1" w:styleId="QuoteChar">
    <w:name w:val="Quote Char"/>
    <w:basedOn w:val="DefaultParagraphFont"/>
    <w:link w:val="Quote"/>
    <w:uiPriority w:val="29"/>
    <w:rsid w:val="0058516B"/>
    <w:rPr>
      <w:i/>
      <w:iCs/>
      <w:color w:val="404040" w:themeColor="text1" w:themeTint="BF"/>
    </w:rPr>
  </w:style>
  <w:style w:type="paragraph" w:styleId="ListParagraph">
    <w:name w:val="List Paragraph"/>
    <w:basedOn w:val="Normal"/>
    <w:uiPriority w:val="34"/>
    <w:rsid w:val="0058516B"/>
    <w:pPr>
      <w:ind w:left="720"/>
      <w:contextualSpacing/>
    </w:pPr>
  </w:style>
  <w:style w:type="character" w:styleId="IntenseEmphasis">
    <w:name w:val="Intense Emphasis"/>
    <w:basedOn w:val="DefaultParagraphFont"/>
    <w:uiPriority w:val="21"/>
    <w:rsid w:val="0058516B"/>
    <w:rPr>
      <w:i/>
      <w:iCs/>
      <w:color w:val="0F4761" w:themeColor="accent1" w:themeShade="BF"/>
    </w:rPr>
  </w:style>
  <w:style w:type="paragraph" w:styleId="IntenseQuote">
    <w:name w:val="Intense Quote"/>
    <w:basedOn w:val="Normal"/>
    <w:next w:val="Normal"/>
    <w:link w:val="IntenseQuoteChar"/>
    <w:uiPriority w:val="30"/>
    <w:rsid w:val="005851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16B"/>
    <w:rPr>
      <w:i/>
      <w:iCs/>
      <w:color w:val="0F4761" w:themeColor="accent1" w:themeShade="BF"/>
    </w:rPr>
  </w:style>
  <w:style w:type="character" w:styleId="IntenseReference">
    <w:name w:val="Intense Reference"/>
    <w:basedOn w:val="DefaultParagraphFont"/>
    <w:uiPriority w:val="32"/>
    <w:rsid w:val="0058516B"/>
    <w:rPr>
      <w:b/>
      <w:bCs/>
      <w:smallCaps/>
      <w:color w:val="0F4761" w:themeColor="accent1" w:themeShade="BF"/>
      <w:spacing w:val="5"/>
    </w:rPr>
  </w:style>
  <w:style w:type="paragraph" w:styleId="Header">
    <w:name w:val="header"/>
    <w:basedOn w:val="Normal"/>
    <w:link w:val="HeaderChar"/>
    <w:uiPriority w:val="99"/>
    <w:unhideWhenUsed/>
    <w:rsid w:val="00C61A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1A3F"/>
    <w:rPr>
      <w:rFonts w:ascii="Times New Roman" w:hAnsi="Times New Roman"/>
      <w:color w:val="000000" w:themeColor="text1"/>
    </w:rPr>
  </w:style>
  <w:style w:type="paragraph" w:styleId="Footer">
    <w:name w:val="footer"/>
    <w:basedOn w:val="Normal"/>
    <w:link w:val="FooterChar"/>
    <w:uiPriority w:val="99"/>
    <w:unhideWhenUsed/>
    <w:rsid w:val="00C61A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1A3F"/>
    <w:rPr>
      <w:rFonts w:ascii="Times New Roman" w:hAnsi="Times New Roman"/>
      <w:color w:val="000000" w:themeColor="text1"/>
    </w:rPr>
  </w:style>
  <w:style w:type="character" w:styleId="PageNumber">
    <w:name w:val="page number"/>
    <w:basedOn w:val="DefaultParagraphFont"/>
    <w:uiPriority w:val="99"/>
    <w:semiHidden/>
    <w:unhideWhenUsed/>
    <w:rsid w:val="00C61A3F"/>
  </w:style>
  <w:style w:type="paragraph" w:styleId="TOCHeading">
    <w:name w:val="TOC Heading"/>
    <w:basedOn w:val="Heading1"/>
    <w:next w:val="Normal"/>
    <w:uiPriority w:val="39"/>
    <w:unhideWhenUsed/>
    <w:rsid w:val="00C73920"/>
    <w:pPr>
      <w:spacing w:before="480" w:line="276" w:lineRule="auto"/>
      <w:jc w:val="left"/>
      <w:outlineLvl w:val="9"/>
    </w:pPr>
    <w:rPr>
      <w:rFonts w:asciiTheme="majorHAnsi" w:hAnsiTheme="majorHAnsi"/>
      <w:bCs/>
      <w:color w:val="0F4761" w:themeColor="accent1" w:themeShade="BF"/>
      <w:kern w:val="0"/>
      <w:szCs w:val="28"/>
      <w:lang w:val="en-US" w:eastAsia="en-US"/>
      <w14:ligatures w14:val="none"/>
    </w:rPr>
  </w:style>
  <w:style w:type="paragraph" w:styleId="TOC1">
    <w:name w:val="toc 1"/>
    <w:basedOn w:val="Normal"/>
    <w:next w:val="Normal"/>
    <w:autoRedefine/>
    <w:uiPriority w:val="39"/>
    <w:unhideWhenUsed/>
    <w:rsid w:val="007C3EC6"/>
    <w:pPr>
      <w:tabs>
        <w:tab w:val="right" w:leader="dot" w:pos="9016"/>
      </w:tabs>
      <w:spacing w:after="0"/>
      <w:jc w:val="left"/>
    </w:pPr>
    <w:rPr>
      <w:bCs/>
      <w:iCs/>
      <w:sz w:val="28"/>
    </w:rPr>
  </w:style>
  <w:style w:type="character" w:styleId="Hyperlink">
    <w:name w:val="Hyperlink"/>
    <w:basedOn w:val="DefaultParagraphFont"/>
    <w:uiPriority w:val="99"/>
    <w:unhideWhenUsed/>
    <w:rsid w:val="00C73920"/>
    <w:rPr>
      <w:color w:val="467886" w:themeColor="hyperlink"/>
      <w:u w:val="single"/>
    </w:rPr>
  </w:style>
  <w:style w:type="paragraph" w:styleId="TOC2">
    <w:name w:val="toc 2"/>
    <w:basedOn w:val="Normal"/>
    <w:next w:val="Normal"/>
    <w:autoRedefine/>
    <w:uiPriority w:val="39"/>
    <w:unhideWhenUsed/>
    <w:rsid w:val="0050747F"/>
    <w:pPr>
      <w:spacing w:after="0"/>
      <w:ind w:left="238"/>
      <w:jc w:val="left"/>
    </w:pPr>
    <w:rPr>
      <w:bCs/>
      <w:sz w:val="26"/>
      <w:szCs w:val="22"/>
    </w:rPr>
  </w:style>
  <w:style w:type="paragraph" w:styleId="TOC3">
    <w:name w:val="toc 3"/>
    <w:basedOn w:val="Normal"/>
    <w:next w:val="Normal"/>
    <w:autoRedefine/>
    <w:uiPriority w:val="39"/>
    <w:unhideWhenUsed/>
    <w:rsid w:val="00FA4072"/>
    <w:pPr>
      <w:spacing w:after="0"/>
      <w:ind w:left="482"/>
      <w:jc w:val="left"/>
    </w:pPr>
    <w:rPr>
      <w:szCs w:val="20"/>
    </w:rPr>
  </w:style>
  <w:style w:type="paragraph" w:styleId="TOC4">
    <w:name w:val="toc 4"/>
    <w:basedOn w:val="Normal"/>
    <w:next w:val="Normal"/>
    <w:autoRedefine/>
    <w:uiPriority w:val="39"/>
    <w:semiHidden/>
    <w:unhideWhenUsed/>
    <w:rsid w:val="00C73920"/>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C73920"/>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C73920"/>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C73920"/>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C73920"/>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C73920"/>
    <w:pPr>
      <w:spacing w:after="0"/>
      <w:ind w:left="1920"/>
      <w:jc w:val="left"/>
    </w:pPr>
    <w:rPr>
      <w:rFonts w:asciiTheme="minorHAnsi" w:hAnsiTheme="minorHAnsi"/>
      <w:sz w:val="20"/>
      <w:szCs w:val="20"/>
    </w:rPr>
  </w:style>
  <w:style w:type="paragraph" w:styleId="Date">
    <w:name w:val="Date"/>
    <w:basedOn w:val="Normal"/>
    <w:next w:val="Normal"/>
    <w:link w:val="DateChar"/>
    <w:uiPriority w:val="99"/>
    <w:semiHidden/>
    <w:unhideWhenUsed/>
    <w:rsid w:val="0050747F"/>
  </w:style>
  <w:style w:type="character" w:customStyle="1" w:styleId="DateChar">
    <w:name w:val="Date Char"/>
    <w:basedOn w:val="DefaultParagraphFont"/>
    <w:link w:val="Date"/>
    <w:uiPriority w:val="99"/>
    <w:semiHidden/>
    <w:rsid w:val="0050747F"/>
    <w:rPr>
      <w:rFonts w:ascii="Times New Roman" w:hAnsi="Times New Roman"/>
      <w:color w:val="000000" w:themeColor="text1"/>
    </w:rPr>
  </w:style>
  <w:style w:type="table" w:styleId="TableGrid">
    <w:name w:val="Table Grid"/>
    <w:basedOn w:val="TableNormal"/>
    <w:uiPriority w:val="39"/>
    <w:rsid w:val="00AC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C795F"/>
    <w:rPr>
      <w:sz w:val="16"/>
      <w:szCs w:val="16"/>
    </w:rPr>
  </w:style>
  <w:style w:type="paragraph" w:styleId="CommentText">
    <w:name w:val="annotation text"/>
    <w:basedOn w:val="Normal"/>
    <w:link w:val="CommentTextChar"/>
    <w:uiPriority w:val="99"/>
    <w:unhideWhenUsed/>
    <w:rsid w:val="00AC795F"/>
    <w:pPr>
      <w:spacing w:line="240" w:lineRule="auto"/>
      <w:jc w:val="left"/>
    </w:pPr>
    <w:rPr>
      <w:rFonts w:asciiTheme="minorHAnsi" w:hAnsiTheme="minorHAnsi"/>
      <w:color w:val="auto"/>
      <w:sz w:val="20"/>
      <w:szCs w:val="20"/>
    </w:rPr>
  </w:style>
  <w:style w:type="character" w:customStyle="1" w:styleId="CommentTextChar">
    <w:name w:val="Comment Text Char"/>
    <w:basedOn w:val="DefaultParagraphFont"/>
    <w:link w:val="CommentText"/>
    <w:uiPriority w:val="99"/>
    <w:rsid w:val="00AC795F"/>
    <w:rPr>
      <w:sz w:val="20"/>
      <w:szCs w:val="20"/>
    </w:rPr>
  </w:style>
  <w:style w:type="paragraph" w:styleId="FootnoteText">
    <w:name w:val="footnote text"/>
    <w:basedOn w:val="Normal"/>
    <w:link w:val="FootnoteTextChar"/>
    <w:uiPriority w:val="99"/>
    <w:semiHidden/>
    <w:unhideWhenUsed/>
    <w:rsid w:val="00087A6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87A67"/>
    <w:rPr>
      <w:rFonts w:ascii="Times New Roman" w:hAnsi="Times New Roman"/>
      <w:color w:val="000000" w:themeColor="text1"/>
      <w:sz w:val="20"/>
      <w:szCs w:val="20"/>
    </w:rPr>
  </w:style>
  <w:style w:type="character" w:styleId="FootnoteReference">
    <w:name w:val="footnote reference"/>
    <w:basedOn w:val="DefaultParagraphFont"/>
    <w:uiPriority w:val="99"/>
    <w:semiHidden/>
    <w:unhideWhenUsed/>
    <w:rsid w:val="00087A67"/>
    <w:rPr>
      <w:vertAlign w:val="superscript"/>
    </w:rPr>
  </w:style>
  <w:style w:type="paragraph" w:customStyle="1" w:styleId="p1">
    <w:name w:val="p1"/>
    <w:basedOn w:val="Normal"/>
    <w:rsid w:val="00961772"/>
    <w:pPr>
      <w:spacing w:before="100" w:beforeAutospacing="1" w:after="100" w:afterAutospacing="1" w:line="240" w:lineRule="auto"/>
      <w:jc w:val="left"/>
    </w:pPr>
    <w:rPr>
      <w:rFonts w:eastAsia="Times New Roman" w:cs="Times New Roman"/>
      <w:color w:val="auto"/>
      <w:kern w:val="0"/>
      <w14:ligatures w14:val="none"/>
    </w:rPr>
  </w:style>
  <w:style w:type="paragraph" w:styleId="CommentSubject">
    <w:name w:val="annotation subject"/>
    <w:basedOn w:val="CommentText"/>
    <w:next w:val="CommentText"/>
    <w:link w:val="CommentSubjectChar"/>
    <w:uiPriority w:val="99"/>
    <w:semiHidden/>
    <w:unhideWhenUsed/>
    <w:rsid w:val="003006CA"/>
    <w:pPr>
      <w:jc w:val="both"/>
    </w:pPr>
    <w:rPr>
      <w:rFonts w:ascii="Times New Roman" w:hAnsi="Times New Roman"/>
      <w:b/>
      <w:bCs/>
      <w:color w:val="000000" w:themeColor="text1"/>
    </w:rPr>
  </w:style>
  <w:style w:type="character" w:customStyle="1" w:styleId="CommentSubjectChar">
    <w:name w:val="Comment Subject Char"/>
    <w:basedOn w:val="CommentTextChar"/>
    <w:link w:val="CommentSubject"/>
    <w:uiPriority w:val="99"/>
    <w:semiHidden/>
    <w:rsid w:val="003006CA"/>
    <w:rPr>
      <w:rFonts w:ascii="Times New Roman" w:hAnsi="Times New Roman"/>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5.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header" Target="header9.xml"/><Relationship Id="rId7" Type="http://schemas.openxmlformats.org/officeDocument/2006/relationships/header" Target="header1.xml"/><Relationship Id="rId12" Type="http://schemas.openxmlformats.org/officeDocument/2006/relationships/header" Target="header4.xml"/><Relationship Id="rId17" Type="http://schemas.microsoft.com/office/2018/08/relationships/commentsExtensible" Target="commentsExtensible.xml"/><Relationship Id="rId25" Type="http://schemas.openxmlformats.org/officeDocument/2006/relationships/theme" Target="theme/theme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omments" Target="comments.xml"/><Relationship Id="rId22" Type="http://schemas.openxmlformats.org/officeDocument/2006/relationships/header" Target="head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B88B24-2356-E746-AD9C-9433E754A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23</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Tianshi Li (student)</dc:creator>
  <cp:keywords/>
  <dc:description/>
  <cp:lastModifiedBy>Liana Japaridze</cp:lastModifiedBy>
  <cp:revision>2</cp:revision>
  <dcterms:created xsi:type="dcterms:W3CDTF">2026-06-29T13:42:00Z</dcterms:created>
  <dcterms:modified xsi:type="dcterms:W3CDTF">2026-06-29T13:42:00Z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bf48a9fc-8f2c-4132-ba43-e44a8b3ddf85</vt:lpwstr>
  </property>
</Properties>
</file>