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87C49" w14:textId="77777777" w:rsidR="00B82825" w:rsidRPr="003911EF" w:rsidRDefault="00B82825" w:rsidP="00B82825">
      <w:pPr>
        <w:ind w:right="567"/>
        <w:jc w:val="center"/>
        <w:rPr>
          <w:rFonts w:ascii="Calibri" w:eastAsia="TTE65D52E0t00" w:hAnsi="Calibri" w:cs="Calibri"/>
          <w:smallCaps/>
        </w:rPr>
      </w:pPr>
      <w:r w:rsidRPr="003911EF">
        <w:rPr>
          <w:rFonts w:ascii="Calibri" w:hAnsi="Calibri" w:cs="Calibri"/>
          <w:b/>
          <w:smallCaps/>
        </w:rPr>
        <w:t>Seminar 2 – ‘Investment’ and ‘investor’ Defined</w:t>
      </w:r>
    </w:p>
    <w:p w14:paraId="5C34E232" w14:textId="77777777" w:rsidR="00B82825" w:rsidRPr="003911EF" w:rsidRDefault="00B82825" w:rsidP="00B82825">
      <w:pPr>
        <w:pStyle w:val="BodyTextIndent"/>
        <w:jc w:val="left"/>
        <w:rPr>
          <w:rFonts w:ascii="Calibri" w:hAnsi="Calibri" w:cs="Calibri"/>
          <w:lang w:val="en-US"/>
        </w:rPr>
      </w:pPr>
    </w:p>
    <w:p w14:paraId="73D684BB" w14:textId="77777777" w:rsidR="00B82825" w:rsidRPr="003911EF" w:rsidRDefault="00B82825" w:rsidP="00B82825">
      <w:pPr>
        <w:pStyle w:val="BodyTextIndent"/>
        <w:jc w:val="left"/>
        <w:rPr>
          <w:rFonts w:ascii="Calibri" w:hAnsi="Calibri" w:cs="Calibri"/>
          <w:b/>
          <w:lang w:val="en-US"/>
        </w:rPr>
      </w:pPr>
      <w:r w:rsidRPr="003911EF">
        <w:rPr>
          <w:rFonts w:ascii="Calibri" w:hAnsi="Calibri" w:cs="Calibri"/>
          <w:b/>
          <w:lang w:val="en-US"/>
        </w:rPr>
        <w:t xml:space="preserve">I. </w:t>
      </w:r>
      <w:r w:rsidRPr="003911EF">
        <w:rPr>
          <w:rFonts w:ascii="Calibri" w:hAnsi="Calibri" w:cs="Calibri"/>
          <w:b/>
          <w:smallCaps/>
          <w:lang w:val="en-US"/>
        </w:rPr>
        <w:t>Essential Reading</w:t>
      </w:r>
    </w:p>
    <w:p w14:paraId="07AF01B5" w14:textId="77777777" w:rsidR="00B82825" w:rsidRPr="003911EF" w:rsidRDefault="00B82825" w:rsidP="00B82825">
      <w:pPr>
        <w:pStyle w:val="BodyTextIndent"/>
        <w:jc w:val="left"/>
        <w:rPr>
          <w:rFonts w:ascii="Calibri" w:hAnsi="Calibri" w:cs="Calibri"/>
          <w:lang w:val="en-US"/>
        </w:rPr>
      </w:pPr>
    </w:p>
    <w:p w14:paraId="5FE13553" w14:textId="77777777" w:rsidR="00B82825" w:rsidRPr="003911EF" w:rsidRDefault="00B82825" w:rsidP="00B82825">
      <w:pPr>
        <w:pStyle w:val="BodyTextIndent"/>
        <w:numPr>
          <w:ilvl w:val="0"/>
          <w:numId w:val="1"/>
        </w:numPr>
        <w:jc w:val="left"/>
        <w:rPr>
          <w:rFonts w:ascii="Calibri" w:hAnsi="Calibri" w:cs="Calibri"/>
          <w:b/>
          <w:lang w:val="en-US"/>
        </w:rPr>
      </w:pPr>
      <w:r w:rsidRPr="003911EF">
        <w:rPr>
          <w:rFonts w:ascii="Calibri" w:hAnsi="Calibri" w:cs="Calibri"/>
          <w:lang w:val="en-US"/>
        </w:rPr>
        <w:t xml:space="preserve">Lim, Ho &amp; </w:t>
      </w:r>
      <w:proofErr w:type="spellStart"/>
      <w:r w:rsidRPr="003911EF">
        <w:rPr>
          <w:rFonts w:ascii="Calibri" w:hAnsi="Calibri" w:cs="Calibri"/>
          <w:lang w:val="en-US"/>
        </w:rPr>
        <w:t>Paparinskis</w:t>
      </w:r>
      <w:proofErr w:type="spellEnd"/>
      <w:r w:rsidRPr="003911EF">
        <w:rPr>
          <w:rFonts w:ascii="Calibri" w:hAnsi="Calibri" w:cs="Calibri"/>
          <w:lang w:val="en-US"/>
        </w:rPr>
        <w:t>, pp. 276-329</w:t>
      </w:r>
    </w:p>
    <w:p w14:paraId="5DC7904F" w14:textId="77777777" w:rsidR="00B82825" w:rsidRPr="003911EF" w:rsidRDefault="00B82825" w:rsidP="00B82825">
      <w:pPr>
        <w:pStyle w:val="BodyTextIndent"/>
        <w:ind w:left="0" w:firstLine="0"/>
        <w:jc w:val="left"/>
        <w:rPr>
          <w:rFonts w:ascii="Calibri" w:hAnsi="Calibri" w:cs="Calibri"/>
          <w:lang w:val="en-US"/>
        </w:rPr>
      </w:pPr>
    </w:p>
    <w:p w14:paraId="4BF81AC3" w14:textId="77777777" w:rsidR="00B82825" w:rsidRPr="003911EF" w:rsidRDefault="00B82825" w:rsidP="00B82825">
      <w:pPr>
        <w:pStyle w:val="BodyTextIndent"/>
        <w:jc w:val="left"/>
        <w:rPr>
          <w:rFonts w:ascii="Calibri" w:hAnsi="Calibri" w:cs="Calibri"/>
          <w:b/>
          <w:lang w:val="en-US"/>
        </w:rPr>
      </w:pPr>
      <w:r w:rsidRPr="003911EF">
        <w:rPr>
          <w:rFonts w:ascii="Calibri" w:hAnsi="Calibri" w:cs="Calibri"/>
          <w:b/>
          <w:lang w:val="en-US"/>
        </w:rPr>
        <w:t xml:space="preserve">II. </w:t>
      </w:r>
      <w:r w:rsidRPr="003911EF">
        <w:rPr>
          <w:rFonts w:ascii="Calibri" w:hAnsi="Calibri" w:cs="Calibri"/>
          <w:b/>
          <w:smallCaps/>
          <w:lang w:val="en-US"/>
        </w:rPr>
        <w:t>Optional Reading</w:t>
      </w:r>
    </w:p>
    <w:p w14:paraId="0827928B" w14:textId="77777777" w:rsidR="00B82825" w:rsidRPr="003911EF" w:rsidRDefault="00B82825" w:rsidP="00B82825">
      <w:pPr>
        <w:pStyle w:val="BodyTextIndent"/>
        <w:jc w:val="left"/>
        <w:rPr>
          <w:rFonts w:ascii="Calibri" w:hAnsi="Calibri" w:cs="Calibri"/>
          <w:lang w:val="en-US"/>
        </w:rPr>
      </w:pPr>
    </w:p>
    <w:p w14:paraId="712DA0F4" w14:textId="1BE1B5CC" w:rsidR="00B82825" w:rsidRPr="00D27C55" w:rsidRDefault="00D27C55" w:rsidP="00B82825">
      <w:pPr>
        <w:pStyle w:val="BodyTextIndent"/>
        <w:numPr>
          <w:ilvl w:val="0"/>
          <w:numId w:val="1"/>
        </w:numPr>
        <w:jc w:val="left"/>
        <w:rPr>
          <w:rFonts w:ascii="Calibri" w:hAnsi="Calibri" w:cs="Calibri"/>
          <w:lang w:val="de-DE"/>
        </w:rPr>
      </w:pPr>
      <w:hyperlink r:id="rId5" w:history="1">
        <w:proofErr w:type="spellStart"/>
        <w:r w:rsidR="00B82825" w:rsidRPr="00D27C55">
          <w:rPr>
            <w:rStyle w:val="Hyperlink"/>
            <w:rFonts w:ascii="Calibri" w:hAnsi="Calibri" w:cs="Calibri"/>
            <w:lang w:val="de-DE"/>
          </w:rPr>
          <w:t>Dolzer</w:t>
        </w:r>
        <w:proofErr w:type="spellEnd"/>
        <w:r w:rsidR="00B82825" w:rsidRPr="00D27C55">
          <w:rPr>
            <w:rStyle w:val="Hyperlink"/>
            <w:rFonts w:ascii="Calibri" w:hAnsi="Calibri" w:cs="Calibri"/>
            <w:lang w:val="de-DE"/>
          </w:rPr>
          <w:t>/</w:t>
        </w:r>
        <w:proofErr w:type="spellStart"/>
        <w:r w:rsidR="00B82825" w:rsidRPr="00D27C55">
          <w:rPr>
            <w:rStyle w:val="Hyperlink"/>
            <w:rFonts w:ascii="Calibri" w:hAnsi="Calibri" w:cs="Calibri"/>
            <w:lang w:val="de-DE"/>
          </w:rPr>
          <w:t>Schreuer</w:t>
        </w:r>
        <w:proofErr w:type="spellEnd"/>
        <w:r w:rsidRPr="00D27C55">
          <w:rPr>
            <w:rStyle w:val="Hyperlink"/>
            <w:rFonts w:ascii="Calibri" w:hAnsi="Calibri" w:cs="Calibri"/>
            <w:lang w:val="de-DE"/>
          </w:rPr>
          <w:t>/Kriebaum</w:t>
        </w:r>
      </w:hyperlink>
      <w:r w:rsidR="00B82825" w:rsidRPr="00D27C55">
        <w:rPr>
          <w:rFonts w:ascii="Calibri" w:hAnsi="Calibri" w:cs="Calibri"/>
          <w:lang w:val="de-DE"/>
        </w:rPr>
        <w:t xml:space="preserve">, </w:t>
      </w:r>
      <w:proofErr w:type="spellStart"/>
      <w:r w:rsidR="00B82825" w:rsidRPr="00D27C55">
        <w:rPr>
          <w:rFonts w:ascii="Calibri" w:hAnsi="Calibri" w:cs="Calibri"/>
          <w:lang w:val="de-DE"/>
        </w:rPr>
        <w:t>Chapter</w:t>
      </w:r>
      <w:r>
        <w:rPr>
          <w:rFonts w:ascii="Calibri" w:hAnsi="Calibri" w:cs="Calibri"/>
          <w:lang w:val="de-DE"/>
        </w:rPr>
        <w:t>s</w:t>
      </w:r>
      <w:proofErr w:type="spellEnd"/>
      <w:r w:rsidR="00B82825" w:rsidRPr="00D27C55">
        <w:rPr>
          <w:rFonts w:ascii="Calibri" w:hAnsi="Calibri" w:cs="Calibri"/>
          <w:lang w:val="de-DE"/>
        </w:rPr>
        <w:t xml:space="preserve"> III</w:t>
      </w:r>
      <w:r>
        <w:rPr>
          <w:rFonts w:ascii="Calibri" w:hAnsi="Calibri" w:cs="Calibri"/>
          <w:lang w:val="de-DE"/>
        </w:rPr>
        <w:t xml:space="preserve"> and IV</w:t>
      </w:r>
    </w:p>
    <w:p w14:paraId="7E84B543" w14:textId="3D081652" w:rsidR="00B82825" w:rsidRDefault="00D27C55" w:rsidP="00B82825">
      <w:pPr>
        <w:pStyle w:val="BodyTextIndent"/>
        <w:numPr>
          <w:ilvl w:val="0"/>
          <w:numId w:val="1"/>
        </w:numPr>
        <w:jc w:val="left"/>
        <w:rPr>
          <w:rFonts w:ascii="Calibri" w:hAnsi="Calibri" w:cs="Calibri"/>
          <w:lang w:val="fr-FR"/>
        </w:rPr>
      </w:pPr>
      <w:hyperlink r:id="rId6" w:history="1">
        <w:r w:rsidR="00B82825" w:rsidRPr="00D27C55">
          <w:rPr>
            <w:rStyle w:val="Hyperlink"/>
            <w:rFonts w:ascii="Calibri" w:hAnsi="Calibri" w:cs="Calibri"/>
            <w:lang w:val="fr-FR"/>
          </w:rPr>
          <w:t>Douglas</w:t>
        </w:r>
      </w:hyperlink>
      <w:r w:rsidR="00B82825" w:rsidRPr="003911EF">
        <w:rPr>
          <w:rFonts w:ascii="Calibri" w:hAnsi="Calibri" w:cs="Calibri"/>
          <w:lang w:val="fr-FR"/>
        </w:rPr>
        <w:t xml:space="preserve">, </w:t>
      </w:r>
      <w:proofErr w:type="spellStart"/>
      <w:r w:rsidR="00B82825" w:rsidRPr="003911EF">
        <w:rPr>
          <w:rFonts w:ascii="Calibri" w:hAnsi="Calibri" w:cs="Calibri"/>
          <w:lang w:val="fr-FR"/>
        </w:rPr>
        <w:t>Chapter</w:t>
      </w:r>
      <w:proofErr w:type="spellEnd"/>
      <w:r w:rsidR="00B82825" w:rsidRPr="003911EF">
        <w:rPr>
          <w:rFonts w:ascii="Calibri" w:hAnsi="Calibri" w:cs="Calibri"/>
          <w:lang w:val="fr-FR"/>
        </w:rPr>
        <w:t xml:space="preserve"> 5 (pp. 161 et </w:t>
      </w:r>
      <w:proofErr w:type="spellStart"/>
      <w:r w:rsidR="00B82825" w:rsidRPr="003911EF">
        <w:rPr>
          <w:rFonts w:ascii="Calibri" w:hAnsi="Calibri" w:cs="Calibri"/>
          <w:lang w:val="fr-FR"/>
        </w:rPr>
        <w:t>seq</w:t>
      </w:r>
      <w:proofErr w:type="spellEnd"/>
      <w:r w:rsidR="00B82825" w:rsidRPr="003911EF">
        <w:rPr>
          <w:rFonts w:ascii="Calibri" w:hAnsi="Calibri" w:cs="Calibri"/>
          <w:lang w:val="fr-FR"/>
        </w:rPr>
        <w:t>)</w:t>
      </w:r>
    </w:p>
    <w:p w14:paraId="7A4D1F01" w14:textId="06223D83" w:rsidR="00D27C55" w:rsidRPr="00D27C55" w:rsidRDefault="00D27C55" w:rsidP="00B82825">
      <w:pPr>
        <w:pStyle w:val="BodyTextIndent"/>
        <w:numPr>
          <w:ilvl w:val="0"/>
          <w:numId w:val="1"/>
        </w:numPr>
        <w:jc w:val="left"/>
        <w:rPr>
          <w:rFonts w:ascii="Calibri" w:hAnsi="Calibri" w:cs="Calibri"/>
        </w:rPr>
      </w:pPr>
      <w:hyperlink r:id="rId7" w:history="1">
        <w:r w:rsidRPr="00D27C55">
          <w:rPr>
            <w:rStyle w:val="Hyperlink"/>
            <w:rFonts w:ascii="Calibri" w:hAnsi="Calibri" w:cs="Calibri"/>
          </w:rPr>
          <w:t>McLachlan/Shore/</w:t>
        </w:r>
        <w:proofErr w:type="spellStart"/>
        <w:r w:rsidRPr="00D27C55">
          <w:rPr>
            <w:rStyle w:val="Hyperlink"/>
            <w:rFonts w:ascii="Calibri" w:hAnsi="Calibri" w:cs="Calibri"/>
          </w:rPr>
          <w:t>Weininger</w:t>
        </w:r>
        <w:proofErr w:type="spellEnd"/>
      </w:hyperlink>
      <w:r w:rsidRPr="00D27C55">
        <w:rPr>
          <w:rFonts w:ascii="Calibri" w:hAnsi="Calibri" w:cs="Calibri"/>
        </w:rPr>
        <w:t xml:space="preserve">, Chapters </w:t>
      </w:r>
      <w:r>
        <w:rPr>
          <w:rFonts w:ascii="Calibri" w:hAnsi="Calibri" w:cs="Calibri"/>
        </w:rPr>
        <w:t>5 and 6</w:t>
      </w:r>
    </w:p>
    <w:p w14:paraId="442AB8A9" w14:textId="77777777" w:rsidR="00B82825" w:rsidRPr="00D27C55" w:rsidRDefault="00B82825" w:rsidP="00B82825">
      <w:pPr>
        <w:pStyle w:val="BodyTextIndent"/>
        <w:ind w:left="0" w:firstLine="0"/>
        <w:jc w:val="left"/>
        <w:rPr>
          <w:rFonts w:ascii="Calibri" w:hAnsi="Calibri" w:cs="Calibri"/>
        </w:rPr>
      </w:pPr>
    </w:p>
    <w:p w14:paraId="35FB05D5" w14:textId="77777777" w:rsidR="00B82825" w:rsidRPr="003911EF" w:rsidRDefault="00B82825" w:rsidP="00B82825">
      <w:pPr>
        <w:pStyle w:val="BodyTextIndent"/>
        <w:jc w:val="left"/>
        <w:rPr>
          <w:rFonts w:ascii="Calibri" w:hAnsi="Calibri" w:cs="Calibri"/>
          <w:b/>
          <w:caps/>
          <w:lang w:val="en-US"/>
        </w:rPr>
      </w:pPr>
      <w:r w:rsidRPr="003911EF">
        <w:rPr>
          <w:rFonts w:ascii="Calibri" w:hAnsi="Calibri" w:cs="Calibri"/>
          <w:b/>
          <w:caps/>
          <w:lang w:val="en-US"/>
        </w:rPr>
        <w:t xml:space="preserve">III. </w:t>
      </w:r>
      <w:r w:rsidRPr="003911EF">
        <w:rPr>
          <w:rFonts w:ascii="Calibri" w:hAnsi="Calibri" w:cs="Calibri"/>
          <w:b/>
          <w:smallCaps/>
          <w:lang w:val="en-US"/>
        </w:rPr>
        <w:t>Materials (optional)</w:t>
      </w:r>
    </w:p>
    <w:p w14:paraId="7A1B9F6E" w14:textId="77777777" w:rsidR="00B82825" w:rsidRPr="003911EF" w:rsidRDefault="00B82825" w:rsidP="00B82825">
      <w:pPr>
        <w:pStyle w:val="BodyTextIndent"/>
        <w:jc w:val="left"/>
        <w:rPr>
          <w:rFonts w:ascii="Calibri" w:hAnsi="Calibri" w:cs="Calibri"/>
          <w:caps/>
          <w:lang w:val="en-US"/>
        </w:rPr>
      </w:pPr>
    </w:p>
    <w:p w14:paraId="10C0441D" w14:textId="77777777" w:rsidR="00B82825" w:rsidRPr="003911EF" w:rsidRDefault="00B82825" w:rsidP="00B82825">
      <w:pPr>
        <w:pStyle w:val="BodyTextIndent"/>
        <w:numPr>
          <w:ilvl w:val="0"/>
          <w:numId w:val="1"/>
        </w:numPr>
        <w:jc w:val="left"/>
        <w:rPr>
          <w:rFonts w:ascii="Calibri" w:hAnsi="Calibri" w:cs="Calibri"/>
          <w:lang w:val="en-US"/>
        </w:rPr>
      </w:pPr>
      <w:r w:rsidRPr="003911EF">
        <w:rPr>
          <w:rFonts w:ascii="Calibri" w:hAnsi="Calibri" w:cs="Calibri"/>
        </w:rPr>
        <w:t xml:space="preserve">Model BITs of selected countries, reproduced at </w:t>
      </w:r>
      <w:hyperlink r:id="rId8" w:history="1">
        <w:r w:rsidRPr="003911EF">
          <w:rPr>
            <w:rStyle w:val="Hyperlink"/>
            <w:rFonts w:ascii="Calibri" w:hAnsi="Calibri" w:cs="Calibri"/>
          </w:rPr>
          <w:t>https://www.italaw.com/investment-treaties</w:t>
        </w:r>
      </w:hyperlink>
    </w:p>
    <w:p w14:paraId="3B01B778" w14:textId="77777777" w:rsidR="00B82825" w:rsidRPr="003911EF" w:rsidRDefault="00B82825" w:rsidP="00B82825">
      <w:pPr>
        <w:pStyle w:val="BodyTextIndent"/>
        <w:ind w:left="0" w:firstLine="0"/>
        <w:jc w:val="left"/>
        <w:rPr>
          <w:rFonts w:ascii="Calibri" w:hAnsi="Calibri" w:cs="Calibri"/>
        </w:rPr>
      </w:pPr>
    </w:p>
    <w:p w14:paraId="4BE85381" w14:textId="77777777" w:rsidR="00B82825" w:rsidRPr="003911EF" w:rsidRDefault="00B82825" w:rsidP="00B82825">
      <w:pPr>
        <w:pStyle w:val="BodyTextIndent"/>
        <w:jc w:val="left"/>
        <w:rPr>
          <w:rFonts w:ascii="Calibri" w:hAnsi="Calibri" w:cs="Calibri"/>
          <w:b/>
          <w:lang w:val="en-US"/>
        </w:rPr>
      </w:pPr>
      <w:r w:rsidRPr="003911EF">
        <w:rPr>
          <w:rFonts w:ascii="Calibri" w:hAnsi="Calibri" w:cs="Calibri"/>
          <w:b/>
          <w:lang w:val="en-US"/>
        </w:rPr>
        <w:t xml:space="preserve">IV. </w:t>
      </w:r>
      <w:r w:rsidRPr="003911EF">
        <w:rPr>
          <w:rFonts w:ascii="Calibri" w:hAnsi="Calibri" w:cs="Calibri"/>
          <w:b/>
          <w:smallCaps/>
          <w:lang w:val="en-US"/>
        </w:rPr>
        <w:t>Discussion Prompts</w:t>
      </w:r>
    </w:p>
    <w:p w14:paraId="2AD85EB2" w14:textId="77777777" w:rsidR="00B82825" w:rsidRPr="003911EF" w:rsidRDefault="00B82825" w:rsidP="00B82825">
      <w:pPr>
        <w:pStyle w:val="BodyTextIndent"/>
        <w:jc w:val="left"/>
        <w:rPr>
          <w:rFonts w:ascii="Calibri" w:hAnsi="Calibri" w:cs="Calibri"/>
          <w:lang w:val="en-US"/>
        </w:rPr>
      </w:pPr>
    </w:p>
    <w:p w14:paraId="49B59C8B" w14:textId="77777777" w:rsidR="00B82825" w:rsidRPr="003911EF" w:rsidRDefault="00B82825" w:rsidP="00B82825">
      <w:pPr>
        <w:numPr>
          <w:ilvl w:val="0"/>
          <w:numId w:val="1"/>
        </w:numPr>
        <w:autoSpaceDE w:val="0"/>
        <w:autoSpaceDN w:val="0"/>
        <w:adjustRightInd w:val="0"/>
        <w:rPr>
          <w:rFonts w:ascii="Calibri" w:eastAsia="TTE65D52E0t00" w:hAnsi="Calibri" w:cs="Calibri"/>
        </w:rPr>
      </w:pPr>
      <w:r w:rsidRPr="003911EF">
        <w:rPr>
          <w:rFonts w:ascii="Calibri" w:eastAsia="TTE65D52E0t00" w:hAnsi="Calibri" w:cs="Calibri"/>
        </w:rPr>
        <w:t>Pick one of the Model BITs referred to in the ‘Materials section’ and check how it defines the term ‘investment’. Identify 5 types of economic activity that meet the conditions set out in this definition.</w:t>
      </w:r>
    </w:p>
    <w:p w14:paraId="57435E15" w14:textId="77777777" w:rsidR="00B82825" w:rsidRPr="003911EF" w:rsidRDefault="00B82825" w:rsidP="00B82825">
      <w:pPr>
        <w:numPr>
          <w:ilvl w:val="0"/>
          <w:numId w:val="1"/>
        </w:numPr>
        <w:autoSpaceDE w:val="0"/>
        <w:autoSpaceDN w:val="0"/>
        <w:adjustRightInd w:val="0"/>
        <w:rPr>
          <w:rFonts w:ascii="Calibri" w:eastAsia="TTE65D52E0t00" w:hAnsi="Calibri" w:cs="Calibri"/>
        </w:rPr>
      </w:pPr>
      <w:r w:rsidRPr="003911EF">
        <w:rPr>
          <w:rFonts w:ascii="Calibri" w:eastAsia="TTE65D52E0t00" w:hAnsi="Calibri" w:cs="Calibri"/>
        </w:rPr>
        <w:t xml:space="preserve">In SG v Dominican Republic, the Tribunal noted (with respect to a standard, asset-based definition): </w:t>
      </w:r>
      <w:r w:rsidRPr="003911EF">
        <w:rPr>
          <w:rFonts w:ascii="Calibri" w:hAnsi="Calibri" w:cs="Calibri"/>
        </w:rPr>
        <w:t>"Article 1 of the [applicable BIT] defines the term investment in a detailed manner and therefore unequivocally expresses the intent of the parties. If any restrictions had been intended, they would have been embodied in that article."  Do you agree? Can you think of types of economic activity that would meet the definition of an investment – but were presumably not meant to be included?</w:t>
      </w:r>
    </w:p>
    <w:p w14:paraId="4E7D2072" w14:textId="77777777" w:rsidR="00B82825" w:rsidRPr="003911EF" w:rsidRDefault="00B82825" w:rsidP="00B82825">
      <w:pPr>
        <w:numPr>
          <w:ilvl w:val="0"/>
          <w:numId w:val="1"/>
        </w:numPr>
        <w:autoSpaceDE w:val="0"/>
        <w:autoSpaceDN w:val="0"/>
        <w:adjustRightInd w:val="0"/>
        <w:rPr>
          <w:rFonts w:ascii="Calibri" w:eastAsia="TTE65D52E0t00" w:hAnsi="Calibri" w:cs="Calibri"/>
        </w:rPr>
      </w:pPr>
      <w:r w:rsidRPr="003911EF">
        <w:rPr>
          <w:rFonts w:ascii="Calibri" w:eastAsia="TTE65D52E0t00" w:hAnsi="Calibri" w:cs="Calibri"/>
        </w:rPr>
        <w:t>Pick one of the Model BITs referred to in the ‘Materials section’ and check how it defines the term ‘investor/national’. Would this definition cover the case of a shall company, established purely to permit the pursuit of a BIT claim?</w:t>
      </w:r>
    </w:p>
    <w:p w14:paraId="27456D4B" w14:textId="77777777" w:rsidR="00B82825" w:rsidRDefault="00B82825" w:rsidP="00B82825">
      <w:pPr>
        <w:numPr>
          <w:ilvl w:val="0"/>
          <w:numId w:val="1"/>
        </w:numPr>
        <w:autoSpaceDE w:val="0"/>
        <w:autoSpaceDN w:val="0"/>
        <w:adjustRightInd w:val="0"/>
        <w:rPr>
          <w:rFonts w:ascii="Calibri" w:eastAsia="TTE65D52E0t00" w:hAnsi="Calibri" w:cs="Calibri"/>
        </w:rPr>
      </w:pPr>
      <w:r w:rsidRPr="003911EF">
        <w:rPr>
          <w:rFonts w:ascii="Calibri" w:eastAsia="TTE65D52E0t00" w:hAnsi="Calibri" w:cs="Calibri"/>
        </w:rPr>
        <w:t>How do BITs define the notion of corporate nationality? What different approaches can you distinguish?</w:t>
      </w:r>
    </w:p>
    <w:p w14:paraId="60AD5E56" w14:textId="4CAD1683" w:rsidR="00F07AB1" w:rsidRPr="00B82825" w:rsidRDefault="00B82825" w:rsidP="00B82825">
      <w:pPr>
        <w:numPr>
          <w:ilvl w:val="0"/>
          <w:numId w:val="1"/>
        </w:numPr>
        <w:autoSpaceDE w:val="0"/>
        <w:autoSpaceDN w:val="0"/>
        <w:adjustRightInd w:val="0"/>
        <w:rPr>
          <w:rFonts w:ascii="Calibri" w:eastAsia="TTE65D52E0t00" w:hAnsi="Calibri" w:cs="Calibri"/>
        </w:rPr>
      </w:pPr>
      <w:r w:rsidRPr="00B82825">
        <w:rPr>
          <w:rFonts w:ascii="Calibri" w:eastAsia="TTE65D52E0t00" w:hAnsi="Calibri" w:cs="Calibri"/>
        </w:rPr>
        <w:t>How have investment tribunals sought to deal with claims by investors that on the face of it met the definitions of the respective BITs, but still seemed frivolous (or not deserving of protection)?</w:t>
      </w:r>
    </w:p>
    <w:sectPr w:rsidR="00F07AB1" w:rsidRPr="00B82825" w:rsidSect="0031449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TE65D52E0t00">
    <w:altName w:val="Arial Unicode MS"/>
    <w:panose1 w:val="020B0604020202020204"/>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E76717"/>
    <w:multiLevelType w:val="hybridMultilevel"/>
    <w:tmpl w:val="03BE09CC"/>
    <w:lvl w:ilvl="0" w:tplc="294474DE">
      <w:start w:val="1"/>
      <w:numFmt w:val="bullet"/>
      <w:lvlText w:val="-"/>
      <w:lvlJc w:val="left"/>
      <w:pPr>
        <w:tabs>
          <w:tab w:val="num" w:pos="644"/>
        </w:tabs>
        <w:ind w:left="644" w:hanging="360"/>
      </w:pPr>
      <w:rPr>
        <w:rFonts w:ascii="Arial" w:eastAsia="Times New Roman" w:hAnsi="Arial" w:cs="Symbol" w:hint="default"/>
        <w:color w:val="auto"/>
      </w:rPr>
    </w:lvl>
    <w:lvl w:ilvl="1" w:tplc="04070003">
      <w:start w:val="1"/>
      <w:numFmt w:val="bullet"/>
      <w:lvlText w:val="o"/>
      <w:lvlJc w:val="left"/>
      <w:pPr>
        <w:tabs>
          <w:tab w:val="num" w:pos="1440"/>
        </w:tabs>
        <w:ind w:left="1440" w:hanging="360"/>
      </w:pPr>
      <w:rPr>
        <w:rFonts w:ascii="Courier New" w:hAnsi="Courier New" w:cs="Wingdings"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Wingdings"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Wingdings"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486750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825"/>
    <w:rsid w:val="00314493"/>
    <w:rsid w:val="00814379"/>
    <w:rsid w:val="008904DD"/>
    <w:rsid w:val="00B82825"/>
    <w:rsid w:val="00D27C55"/>
    <w:rsid w:val="00D27EBA"/>
    <w:rsid w:val="00E024CA"/>
    <w:rsid w:val="00F8794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1F040C7"/>
  <w15:chartTrackingRefBased/>
  <w15:docId w15:val="{AC2F2396-D5B2-9A41-A433-984FDFFE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825"/>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82825"/>
    <w:rPr>
      <w:color w:val="0000FF"/>
      <w:u w:val="single"/>
    </w:rPr>
  </w:style>
  <w:style w:type="paragraph" w:styleId="BodyTextIndent">
    <w:name w:val="Body Text Indent"/>
    <w:basedOn w:val="Normal"/>
    <w:link w:val="BodyTextIndentChar"/>
    <w:rsid w:val="00B82825"/>
    <w:pPr>
      <w:ind w:left="540" w:hanging="540"/>
      <w:jc w:val="both"/>
    </w:pPr>
    <w:rPr>
      <w:lang w:eastAsia="it-IT"/>
    </w:rPr>
  </w:style>
  <w:style w:type="character" w:customStyle="1" w:styleId="BodyTextIndentChar">
    <w:name w:val="Body Text Indent Char"/>
    <w:basedOn w:val="DefaultParagraphFont"/>
    <w:link w:val="BodyTextIndent"/>
    <w:rsid w:val="00B82825"/>
    <w:rPr>
      <w:rFonts w:ascii="Times New Roman" w:eastAsia="Times New Roman" w:hAnsi="Times New Roman" w:cs="Times New Roman"/>
      <w:lang w:eastAsia="it-IT"/>
    </w:rPr>
  </w:style>
  <w:style w:type="character" w:styleId="FollowedHyperlink">
    <w:name w:val="FollowedHyperlink"/>
    <w:basedOn w:val="DefaultParagraphFont"/>
    <w:uiPriority w:val="99"/>
    <w:semiHidden/>
    <w:unhideWhenUsed/>
    <w:rsid w:val="00D27C55"/>
    <w:rPr>
      <w:color w:val="954F72" w:themeColor="followedHyperlink"/>
      <w:u w:val="single"/>
    </w:rPr>
  </w:style>
  <w:style w:type="character" w:styleId="UnresolvedMention">
    <w:name w:val="Unresolved Mention"/>
    <w:basedOn w:val="DefaultParagraphFont"/>
    <w:uiPriority w:val="99"/>
    <w:semiHidden/>
    <w:unhideWhenUsed/>
    <w:rsid w:val="00D27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alaw.com/investment-treaties" TargetMode="External"/><Relationship Id="rId3" Type="http://schemas.openxmlformats.org/officeDocument/2006/relationships/settings" Target="settings.xml"/><Relationship Id="rId7" Type="http://schemas.openxmlformats.org/officeDocument/2006/relationships/hyperlink" Target="https://oxia.ouplaw.com/display/10.1093/law/9780199676798.001.0001/law-97801996767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mbridge.org/core/books/international-law-of-investment-claims/622CA15D7D6C73063E60CBE7794EB71A" TargetMode="External"/><Relationship Id="rId5" Type="http://schemas.openxmlformats.org/officeDocument/2006/relationships/hyperlink" Target="https://opil.ouplaw.com/display/10.1093/law/9780192857804.001.0001/law-978019285780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Devaney</dc:creator>
  <cp:keywords/>
  <dc:description/>
  <cp:lastModifiedBy>Crampin, Joseph</cp:lastModifiedBy>
  <cp:revision>3</cp:revision>
  <dcterms:created xsi:type="dcterms:W3CDTF">2023-01-03T14:37:00Z</dcterms:created>
  <dcterms:modified xsi:type="dcterms:W3CDTF">2023-01-03T14:41:00Z</dcterms:modified>
</cp:coreProperties>
</file>