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0385" w14:textId="59A9F9B4" w:rsidR="00337839" w:rsidRDefault="00337839" w:rsidP="00305B50">
      <w:pPr>
        <w:rPr>
          <w:rFonts w:asciiTheme="majorBidi" w:hAnsiTheme="majorBidi" w:cstheme="majorBidi"/>
          <w:b/>
          <w:bCs/>
          <w:sz w:val="28"/>
          <w:szCs w:val="28"/>
        </w:rPr>
      </w:pPr>
      <w:r w:rsidRPr="00732358">
        <w:rPr>
          <w:rFonts w:ascii="Arial" w:hAnsi="Arial" w:cs="Arial"/>
          <w:b/>
          <w:noProof/>
          <w:lang w:eastAsia="en-GB"/>
        </w:rPr>
        <w:drawing>
          <wp:inline distT="0" distB="0" distL="0" distR="0" wp14:anchorId="68DD5ABC" wp14:editId="0EEED12A">
            <wp:extent cx="2924175" cy="981075"/>
            <wp:effectExtent l="0" t="0" r="0" b="9525"/>
            <wp:docPr id="2" name="Picture 2" descr="http://www.gla.ac.uk/visualidentity/downloads/files/School of Law/BMP/Law_mon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la.ac.uk/visualidentity/downloads/files/School of Law/BMP/Law_mono.bmp"/>
                    <pic:cNvPicPr>
                      <a:picLocks noChangeAspect="1" noChangeArrowheads="1"/>
                    </pic:cNvPicPr>
                  </pic:nvPicPr>
                  <pic:blipFill rotWithShape="1">
                    <a:blip r:embed="rId8" r:link="rId9" cstate="print">
                      <a:extLst>
                        <a:ext uri="{28A0092B-C50C-407E-A947-70E740481C1C}">
                          <a14:useLocalDpi xmlns:a14="http://schemas.microsoft.com/office/drawing/2010/main" val="0"/>
                        </a:ext>
                      </a:extLst>
                    </a:blip>
                    <a:srcRect l="6116" b="-52"/>
                    <a:stretch/>
                  </pic:blipFill>
                  <pic:spPr bwMode="auto">
                    <a:xfrm>
                      <a:off x="0" y="0"/>
                      <a:ext cx="2922254" cy="980431"/>
                    </a:xfrm>
                    <a:prstGeom prst="rect">
                      <a:avLst/>
                    </a:prstGeom>
                    <a:noFill/>
                    <a:ln>
                      <a:noFill/>
                    </a:ln>
                    <a:extLst>
                      <a:ext uri="{53640926-AAD7-44D8-BBD7-CCE9431645EC}">
                        <a14:shadowObscured xmlns:a14="http://schemas.microsoft.com/office/drawing/2010/main"/>
                      </a:ext>
                    </a:extLst>
                  </pic:spPr>
                </pic:pic>
              </a:graphicData>
            </a:graphic>
          </wp:inline>
        </w:drawing>
      </w:r>
    </w:p>
    <w:p w14:paraId="1F7153D6" w14:textId="77777777" w:rsidR="00337839" w:rsidRDefault="00337839" w:rsidP="00AB4A76">
      <w:pPr>
        <w:jc w:val="center"/>
        <w:rPr>
          <w:rFonts w:asciiTheme="majorBidi" w:hAnsiTheme="majorBidi" w:cstheme="majorBidi"/>
          <w:b/>
          <w:bCs/>
          <w:sz w:val="28"/>
          <w:szCs w:val="28"/>
        </w:rPr>
      </w:pPr>
    </w:p>
    <w:p w14:paraId="3623EF5F" w14:textId="01D62CB2" w:rsidR="00D701DF" w:rsidRDefault="00B733FE" w:rsidP="00574A13">
      <w:pPr>
        <w:jc w:val="center"/>
        <w:rPr>
          <w:rFonts w:cs="Times New Roman"/>
          <w:sz w:val="28"/>
          <w:szCs w:val="28"/>
        </w:rPr>
      </w:pPr>
      <w:r w:rsidRPr="00AB4A76">
        <w:rPr>
          <w:rFonts w:asciiTheme="majorBidi" w:hAnsiTheme="majorBidi" w:cstheme="majorBidi"/>
          <w:b/>
          <w:bCs/>
          <w:noProof/>
          <w:sz w:val="28"/>
          <w:szCs w:val="28"/>
        </w:rPr>
        <mc:AlternateContent>
          <mc:Choice Requires="wps">
            <w:drawing>
              <wp:anchor distT="0" distB="0" distL="114300" distR="114300" simplePos="0" relativeHeight="251658240" behindDoc="0" locked="0" layoutInCell="1" allowOverlap="1" wp14:anchorId="339AAC52" wp14:editId="356E6D40">
                <wp:simplePos x="0" y="0"/>
                <wp:positionH relativeFrom="column">
                  <wp:posOffset>1176655</wp:posOffset>
                </wp:positionH>
                <wp:positionV relativeFrom="paragraph">
                  <wp:posOffset>247015</wp:posOffset>
                </wp:positionV>
                <wp:extent cx="3551702" cy="661182"/>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3551702" cy="661182"/>
                        </a:xfrm>
                        <a:prstGeom prst="rect">
                          <a:avLst/>
                        </a:prstGeom>
                        <a:solidFill>
                          <a:schemeClr val="lt1"/>
                        </a:solidFill>
                        <a:ln w="6350">
                          <a:noFill/>
                        </a:ln>
                      </wps:spPr>
                      <wps:txbx>
                        <w:txbxContent>
                          <w:p w14:paraId="3450D852" w14:textId="1F24DFE0" w:rsidR="00D701DF" w:rsidRPr="00AB45DD" w:rsidRDefault="000B1540" w:rsidP="00C30070">
                            <w:pPr>
                              <w:jc w:val="center"/>
                            </w:pPr>
                            <w:r w:rsidRPr="00C30070">
                              <w:rPr>
                                <w:i/>
                                <w:iCs/>
                              </w:rPr>
                              <w:t xml:space="preserve">Students: </w:t>
                            </w:r>
                            <w:r w:rsidR="00F91B44" w:rsidRPr="00C30070">
                              <w:rPr>
                                <w:i/>
                                <w:iCs/>
                              </w:rPr>
                              <w:t>In preparing and</w:t>
                            </w:r>
                            <w:r w:rsidR="002F3AC1" w:rsidRPr="00C30070">
                              <w:rPr>
                                <w:i/>
                                <w:iCs/>
                              </w:rPr>
                              <w:t xml:space="preserve"> </w:t>
                            </w:r>
                            <w:r w:rsidR="00D701DF" w:rsidRPr="00C30070">
                              <w:rPr>
                                <w:i/>
                                <w:iCs/>
                              </w:rPr>
                              <w:t xml:space="preserve">submitting this assessment, please ensure you </w:t>
                            </w:r>
                            <w:r w:rsidR="0002230D" w:rsidRPr="00C30070">
                              <w:rPr>
                                <w:i/>
                                <w:iCs/>
                              </w:rPr>
                              <w:t xml:space="preserve">adhere to the </w:t>
                            </w:r>
                            <w:r w:rsidR="009F3740" w:rsidRPr="00C30070">
                              <w:rPr>
                                <w:i/>
                                <w:iCs/>
                              </w:rPr>
                              <w:t>Coursework</w:t>
                            </w:r>
                            <w:r w:rsidR="009F3740">
                              <w:t xml:space="preserve"> Submission</w:t>
                            </w:r>
                            <w:r w:rsidR="0002230D">
                              <w:t xml:space="preserve"> Instructions</w:t>
                            </w:r>
                            <w:r w:rsidR="00D701DF" w:rsidRPr="00AB45DD">
                              <w:t>.</w:t>
                            </w:r>
                            <w:r w:rsidRPr="00AB45DD">
                              <w:t xml:space="preserve"> </w:t>
                            </w:r>
                            <w:r w:rsidR="00F3700A" w:rsidRPr="00AB45DD">
                              <w:rPr>
                                <w:color w:val="FF0000"/>
                              </w:rPr>
                              <w:t>Add the relevant details where indicated</w:t>
                            </w:r>
                            <w:r w:rsidR="004651EB" w:rsidRPr="00AB45DD">
                              <w:rPr>
                                <w:color w:val="FF0000"/>
                              </w:rPr>
                              <w:t xml:space="preserve"> in 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AAC52" id="_x0000_t202" coordsize="21600,21600" o:spt="202" path="m,l,21600r21600,l21600,xe">
                <v:stroke joinstyle="miter"/>
                <v:path gradientshapeok="t" o:connecttype="rect"/>
              </v:shapetype>
              <v:shape id="Text Box 1" o:spid="_x0000_s1026" type="#_x0000_t202" style="position:absolute;left:0;text-align:left;margin-left:92.65pt;margin-top:19.45pt;width:279.65pt;height:5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XdFLAIAAFQEAAAOAAAAZHJzL2Uyb0RvYy54bWysVEtv2zAMvg/YfxB0X2ynSdoZcYosRYYB&#13;&#10;RVsgHXpWZCk2IIuapMTOfv0o2Xms22nYRSZF6uPro+f3XaPIQVhXgy5oNkopEZpDWetdQb+/rj/d&#13;&#10;UeI80yVToEVBj8LR+8XHD/PW5GIMFahSWIIg2uWtKWjlvcmTxPFKNMyNwAiNRgm2YR5Vu0tKy1pE&#13;&#10;b1QyTtNZ0oItjQUunMPbh95IFxFfSsH9s5ROeKIKirn5eNp4bsOZLOYs31lmqpoPabB/yKJhtcag&#13;&#10;Z6gH5hnZ2/oPqKbmFhxIP+LQJCBlzUWsAavJ0nfVbCpmRKwFm+PMuU3u/8Hyp8PGvFjiuy/Q4QBD&#13;&#10;Q1rjcoeXoZ5O2iZ8MVOCdmzh8dw20XnC8fJmOs1u0zElHG2zWZbdjQNMcnltrPNfBTQkCAW1OJbY&#13;&#10;LXZ4dL53PbmEYA5UXa5rpaISqCBWypIDwyEqH3NE8N+8lCYtBr+ZphFYQ3jeIyuNuVxqCpLvtt1Q&#13;&#10;6BbKI9ZvoaeGM3xdY5KPzPkXZpELWDLy2z/jIRVgEBgkSiqwP/92H/xxRGilpEVuFdT92DMrKFHf&#13;&#10;NA7vczaZBDJGZTK9HaNiry3ba4veNyvAyjPcJMOjGPy9OonSQvOGa7AMUdHENMfYBfUnceV7xuMa&#13;&#10;cbFcRiekn2H+UW8MD9Ch02EEr90bs2aYk8cJP8GJhSx/N67eN7zUsNx7kHWcZWhw39Wh70jdyIZh&#13;&#10;zcJuXOvR6/IzWPwCAAD//wMAUEsDBBQABgAIAAAAIQBl3plq4wAAAA8BAAAPAAAAZHJzL2Rvd25y&#13;&#10;ZXYueG1sTE/LTsMwELwj8Q/WInFB1IGkbUjjVIinxI2Gh7i58ZJExOsodpPw9ywnuKw0msfO5NvZ&#13;&#10;dmLEwbeOFFwsIhBIlTMt1QpeyvvzFIQPmozuHKGCb/SwLY6Pcp0ZN9EzjrtQCw4hn2kFTQh9JqWv&#13;&#10;GrTaL1yPxNynG6wODIdamkFPHG47eRlFK2l1S/yh0T3eNFh97Q5WwcdZ/f7k54fXKV7G/d3jWK7f&#13;&#10;TKnU6cl8u+FzvQERcA5/DvjdwP2h4GJ7dyDjRcc4XcYsVRCnVyBYsE6SFYg9M0kcgSxy+X9H8QMA&#13;&#10;AP//AwBQSwECLQAUAAYACAAAACEAtoM4kv4AAADhAQAAEwAAAAAAAAAAAAAAAAAAAAAAW0NvbnRl&#13;&#10;bnRfVHlwZXNdLnhtbFBLAQItABQABgAIAAAAIQA4/SH/1gAAAJQBAAALAAAAAAAAAAAAAAAAAC8B&#13;&#10;AABfcmVscy8ucmVsc1BLAQItABQABgAIAAAAIQBDmXdFLAIAAFQEAAAOAAAAAAAAAAAAAAAAAC4C&#13;&#10;AABkcnMvZTJvRG9jLnhtbFBLAQItABQABgAIAAAAIQBl3plq4wAAAA8BAAAPAAAAAAAAAAAAAAAA&#13;&#10;AIYEAABkcnMvZG93bnJldi54bWxQSwUGAAAAAAQABADzAAAAlgUAAAAA&#13;&#10;" fillcolor="white [3201]" stroked="f" strokeweight=".5pt">
                <v:textbox>
                  <w:txbxContent>
                    <w:p w14:paraId="3450D852" w14:textId="1F24DFE0" w:rsidR="00D701DF" w:rsidRPr="00AB45DD" w:rsidRDefault="000B1540" w:rsidP="00C30070">
                      <w:pPr>
                        <w:jc w:val="center"/>
                      </w:pPr>
                      <w:r w:rsidRPr="00C30070">
                        <w:rPr>
                          <w:i/>
                          <w:iCs/>
                        </w:rPr>
                        <w:t xml:space="preserve">Students: </w:t>
                      </w:r>
                      <w:r w:rsidR="00F91B44" w:rsidRPr="00C30070">
                        <w:rPr>
                          <w:i/>
                          <w:iCs/>
                        </w:rPr>
                        <w:t>In preparing and</w:t>
                      </w:r>
                      <w:r w:rsidR="002F3AC1" w:rsidRPr="00C30070">
                        <w:rPr>
                          <w:i/>
                          <w:iCs/>
                        </w:rPr>
                        <w:t xml:space="preserve"> </w:t>
                      </w:r>
                      <w:r w:rsidR="00D701DF" w:rsidRPr="00C30070">
                        <w:rPr>
                          <w:i/>
                          <w:iCs/>
                        </w:rPr>
                        <w:t xml:space="preserve">submitting this assessment, please ensure you </w:t>
                      </w:r>
                      <w:r w:rsidR="0002230D" w:rsidRPr="00C30070">
                        <w:rPr>
                          <w:i/>
                          <w:iCs/>
                        </w:rPr>
                        <w:t xml:space="preserve">adhere to the </w:t>
                      </w:r>
                      <w:r w:rsidR="009F3740" w:rsidRPr="00C30070">
                        <w:rPr>
                          <w:i/>
                          <w:iCs/>
                        </w:rPr>
                        <w:t>Coursework</w:t>
                      </w:r>
                      <w:r w:rsidR="009F3740">
                        <w:t xml:space="preserve"> Submission</w:t>
                      </w:r>
                      <w:r w:rsidR="0002230D">
                        <w:t xml:space="preserve"> Instructions</w:t>
                      </w:r>
                      <w:r w:rsidR="00D701DF" w:rsidRPr="00AB45DD">
                        <w:t>.</w:t>
                      </w:r>
                      <w:r w:rsidRPr="00AB45DD">
                        <w:t xml:space="preserve"> </w:t>
                      </w:r>
                      <w:r w:rsidR="00F3700A" w:rsidRPr="00AB45DD">
                        <w:rPr>
                          <w:color w:val="FF0000"/>
                        </w:rPr>
                        <w:t>Add the relevant details where indicated</w:t>
                      </w:r>
                      <w:r w:rsidR="004651EB" w:rsidRPr="00AB45DD">
                        <w:rPr>
                          <w:color w:val="FF0000"/>
                        </w:rPr>
                        <w:t xml:space="preserve"> in red</w:t>
                      </w:r>
                    </w:p>
                  </w:txbxContent>
                </v:textbox>
              </v:shape>
            </w:pict>
          </mc:Fallback>
        </mc:AlternateContent>
      </w:r>
      <w:r w:rsidR="009F3740">
        <w:rPr>
          <w:rFonts w:asciiTheme="majorBidi" w:hAnsiTheme="majorBidi" w:cstheme="majorBidi"/>
          <w:b/>
          <w:bCs/>
          <w:sz w:val="28"/>
          <w:szCs w:val="28"/>
        </w:rPr>
        <w:t xml:space="preserve">COURSEWORK </w:t>
      </w:r>
      <w:r w:rsidR="00574A13">
        <w:rPr>
          <w:rFonts w:asciiTheme="majorBidi" w:hAnsiTheme="majorBidi" w:cstheme="majorBidi"/>
          <w:b/>
          <w:bCs/>
          <w:sz w:val="28"/>
          <w:szCs w:val="28"/>
        </w:rPr>
        <w:t>SUBMISSION TEMPLATE</w:t>
      </w:r>
    </w:p>
    <w:p w14:paraId="6A823A12" w14:textId="414EA9D5" w:rsidR="00AB4A76" w:rsidRDefault="00AB4A76" w:rsidP="00D701DF">
      <w:pPr>
        <w:rPr>
          <w:rFonts w:cs="Times New Roman"/>
          <w:sz w:val="28"/>
          <w:szCs w:val="28"/>
        </w:rPr>
      </w:pPr>
    </w:p>
    <w:p w14:paraId="74EC8410" w14:textId="77777777" w:rsidR="00AB4A76" w:rsidRPr="00833800" w:rsidRDefault="00AB4A76" w:rsidP="00D701DF">
      <w:pPr>
        <w:rPr>
          <w:rFonts w:cs="Times New Roman"/>
          <w:sz w:val="28"/>
          <w:szCs w:val="28"/>
        </w:rPr>
      </w:pPr>
    </w:p>
    <w:tbl>
      <w:tblPr>
        <w:tblStyle w:val="TableGrid"/>
        <w:tblpPr w:leftFromText="180" w:rightFromText="180" w:vertAnchor="page" w:horzAnchor="margin" w:tblpY="5196"/>
        <w:tblW w:w="0" w:type="auto"/>
        <w:tblLook w:val="04A0" w:firstRow="1" w:lastRow="0" w:firstColumn="1" w:lastColumn="0" w:noHBand="0" w:noVBand="1"/>
      </w:tblPr>
      <w:tblGrid>
        <w:gridCol w:w="2185"/>
        <w:gridCol w:w="6831"/>
      </w:tblGrid>
      <w:tr w:rsidR="00AB45DD" w:rsidRPr="00370BD2" w14:paraId="693BF44B" w14:textId="77777777" w:rsidTr="00CC28B1">
        <w:tc>
          <w:tcPr>
            <w:tcW w:w="2263" w:type="dxa"/>
          </w:tcPr>
          <w:p w14:paraId="63F6617E" w14:textId="77777777" w:rsidR="00AB45DD" w:rsidRPr="007A2018" w:rsidRDefault="00AB45DD" w:rsidP="007A2018">
            <w:pPr>
              <w:rPr>
                <w:color w:val="EE0000"/>
              </w:rPr>
            </w:pPr>
            <w:r w:rsidRPr="007A2018">
              <w:rPr>
                <w:color w:val="EE0000"/>
              </w:rPr>
              <w:t>Student number:</w:t>
            </w:r>
          </w:p>
          <w:p w14:paraId="7986EDF5" w14:textId="26934477" w:rsidR="004E207B" w:rsidRPr="007A2018" w:rsidRDefault="004E207B" w:rsidP="007A2018">
            <w:pPr>
              <w:rPr>
                <w:color w:val="EE0000"/>
              </w:rPr>
            </w:pPr>
            <w:r w:rsidRPr="007A2018">
              <w:rPr>
                <w:color w:val="EE0000"/>
              </w:rPr>
              <w:t>(for group work</w:t>
            </w:r>
            <w:r w:rsidR="00BA4396" w:rsidRPr="007A2018">
              <w:rPr>
                <w:color w:val="EE0000"/>
              </w:rPr>
              <w:t xml:space="preserve"> please include </w:t>
            </w:r>
            <w:r w:rsidR="0008157D" w:rsidRPr="007A2018">
              <w:rPr>
                <w:color w:val="EE0000"/>
              </w:rPr>
              <w:t>the numbers of all participating</w:t>
            </w:r>
            <w:r w:rsidR="00BA4396" w:rsidRPr="007A2018">
              <w:rPr>
                <w:color w:val="EE0000"/>
              </w:rPr>
              <w:t xml:space="preserve"> student</w:t>
            </w:r>
            <w:r w:rsidR="0008157D" w:rsidRPr="007A2018">
              <w:rPr>
                <w:color w:val="EE0000"/>
              </w:rPr>
              <w:t>s)</w:t>
            </w:r>
          </w:p>
          <w:p w14:paraId="75FEE786" w14:textId="2AA0E53C" w:rsidR="00370BD2" w:rsidRPr="00370BD2" w:rsidRDefault="00370BD2" w:rsidP="007A2018"/>
        </w:tc>
        <w:tc>
          <w:tcPr>
            <w:tcW w:w="7365" w:type="dxa"/>
          </w:tcPr>
          <w:p w14:paraId="4F050068" w14:textId="2D3706A3" w:rsidR="00AB45DD" w:rsidRPr="00370BD2" w:rsidRDefault="007A2018" w:rsidP="007A2018">
            <w:r>
              <w:t>3103914</w:t>
            </w:r>
          </w:p>
          <w:p w14:paraId="0DED7205" w14:textId="77777777" w:rsidR="00AB45DD" w:rsidRPr="00370BD2" w:rsidRDefault="00AB45DD" w:rsidP="007A2018"/>
        </w:tc>
      </w:tr>
      <w:tr w:rsidR="00AB45DD" w:rsidRPr="00370BD2" w14:paraId="69FF6C48" w14:textId="77777777" w:rsidTr="00CC28B1">
        <w:tc>
          <w:tcPr>
            <w:tcW w:w="2263" w:type="dxa"/>
          </w:tcPr>
          <w:p w14:paraId="45698923" w14:textId="77777777" w:rsidR="00CC28B1" w:rsidRPr="007A2018" w:rsidRDefault="00AB45DD" w:rsidP="007A2018">
            <w:pPr>
              <w:rPr>
                <w:color w:val="EE0000"/>
              </w:rPr>
            </w:pPr>
            <w:r w:rsidRPr="007A2018">
              <w:rPr>
                <w:color w:val="EE0000"/>
              </w:rPr>
              <w:t xml:space="preserve">Word count </w:t>
            </w:r>
          </w:p>
          <w:p w14:paraId="38EC6AEE" w14:textId="77777777" w:rsidR="00AB45DD" w:rsidRPr="007A2018" w:rsidRDefault="00AB45DD" w:rsidP="007A2018">
            <w:pPr>
              <w:rPr>
                <w:color w:val="EE0000"/>
              </w:rPr>
            </w:pPr>
            <w:r w:rsidRPr="007A2018">
              <w:rPr>
                <w:color w:val="EE0000"/>
              </w:rPr>
              <w:t>(including footnotes):</w:t>
            </w:r>
          </w:p>
          <w:p w14:paraId="3C17D037" w14:textId="4863D4ED" w:rsidR="00370BD2" w:rsidRPr="00370BD2" w:rsidRDefault="00370BD2" w:rsidP="007A2018"/>
        </w:tc>
        <w:tc>
          <w:tcPr>
            <w:tcW w:w="7365" w:type="dxa"/>
          </w:tcPr>
          <w:p w14:paraId="015D7FBC" w14:textId="238642BB" w:rsidR="00AB45DD" w:rsidRDefault="000D4D4C" w:rsidP="00E32A41">
            <w:pPr>
              <w:rPr>
                <w:rFonts w:hint="eastAsia"/>
                <w:lang w:eastAsia="zh-CN"/>
              </w:rPr>
            </w:pPr>
            <w:r>
              <w:t>44</w:t>
            </w:r>
            <w:r w:rsidR="00E27E7B">
              <w:rPr>
                <w:rFonts w:hint="eastAsia"/>
                <w:lang w:eastAsia="zh-CN"/>
              </w:rPr>
              <w:t>7</w:t>
            </w:r>
            <w:r w:rsidR="002B60A9">
              <w:rPr>
                <w:rFonts w:hint="eastAsia"/>
                <w:lang w:eastAsia="zh-CN"/>
              </w:rPr>
              <w:t>7</w:t>
            </w:r>
          </w:p>
          <w:p w14:paraId="06905451" w14:textId="77777777" w:rsidR="00B006B2" w:rsidRPr="00370BD2" w:rsidRDefault="00B006B2" w:rsidP="00E32A41"/>
        </w:tc>
      </w:tr>
    </w:tbl>
    <w:p w14:paraId="09F2B987" w14:textId="77777777" w:rsidR="0002230D" w:rsidRPr="00370BD2" w:rsidRDefault="0002230D" w:rsidP="007A2018"/>
    <w:p w14:paraId="51D6C04F" w14:textId="21B5EA8D" w:rsidR="0020243B" w:rsidRPr="007B672B" w:rsidRDefault="0020243B" w:rsidP="007B672B">
      <w:pPr>
        <w:rPr>
          <w:color w:val="EE0000"/>
        </w:rPr>
      </w:pPr>
      <w:r w:rsidRPr="007B672B">
        <w:rPr>
          <w:color w:val="EE0000"/>
        </w:rPr>
        <w:t>Question</w:t>
      </w:r>
      <w:r w:rsidR="009F3740" w:rsidRPr="007B672B">
        <w:rPr>
          <w:color w:val="EE0000"/>
        </w:rPr>
        <w:t xml:space="preserve">(s)/Assignment to be </w:t>
      </w:r>
      <w:r w:rsidR="034386F9" w:rsidRPr="007B672B">
        <w:rPr>
          <w:color w:val="EE0000"/>
        </w:rPr>
        <w:t>answere</w:t>
      </w:r>
      <w:r w:rsidR="00AB4A76" w:rsidRPr="007B672B">
        <w:rPr>
          <w:color w:val="EE0000"/>
        </w:rPr>
        <w:t>d</w:t>
      </w:r>
      <w:r w:rsidR="009F3740" w:rsidRPr="007B672B">
        <w:rPr>
          <w:color w:val="EE0000"/>
        </w:rPr>
        <w:t xml:space="preserve"> (e.g. Essay title)</w:t>
      </w:r>
      <w:r w:rsidR="00AB4A76" w:rsidRPr="007B672B">
        <w:rPr>
          <w:color w:val="EE0000"/>
        </w:rPr>
        <w:t>:</w:t>
      </w:r>
    </w:p>
    <w:p w14:paraId="7EA7F624" w14:textId="369C71F6" w:rsidR="00D701DF" w:rsidRPr="00B63E2C" w:rsidRDefault="00D701DF" w:rsidP="00B63E2C">
      <w:pPr>
        <w:rPr>
          <w:rFonts w:cs="Times New Roman"/>
        </w:rPr>
      </w:pPr>
    </w:p>
    <w:tbl>
      <w:tblPr>
        <w:tblStyle w:val="TableGrid"/>
        <w:tblW w:w="0" w:type="auto"/>
        <w:tblLook w:val="04A0" w:firstRow="1" w:lastRow="0" w:firstColumn="1" w:lastColumn="0" w:noHBand="0" w:noVBand="1"/>
      </w:tblPr>
      <w:tblGrid>
        <w:gridCol w:w="9016"/>
      </w:tblGrid>
      <w:tr w:rsidR="009F3740" w:rsidRPr="00B63E2C" w14:paraId="436591D9" w14:textId="77777777" w:rsidTr="009F3740">
        <w:trPr>
          <w:trHeight w:val="3010"/>
        </w:trPr>
        <w:tc>
          <w:tcPr>
            <w:tcW w:w="9628" w:type="dxa"/>
          </w:tcPr>
          <w:p w14:paraId="47565583" w14:textId="14F7AAE1" w:rsidR="00622CEC" w:rsidRDefault="00622CEC" w:rsidP="00AE40A0">
            <w:r>
              <w:t xml:space="preserve">Due to the ease of sharing and virality of content online, moral rights </w:t>
            </w:r>
            <w:r w:rsidR="00771ED0" w:rsidRPr="00771ED0">
              <w:t>—</w:t>
            </w:r>
            <w:r>
              <w:t xml:space="preserve"> like the right of integrity and the right of attribution </w:t>
            </w:r>
            <w:r w:rsidR="00771ED0" w:rsidRPr="00771ED0">
              <w:t>—</w:t>
            </w:r>
            <w:r>
              <w:t xml:space="preserve"> are more important in the digital environment than any economic rights. </w:t>
            </w:r>
          </w:p>
          <w:p w14:paraId="718AC714" w14:textId="77777777" w:rsidR="00622CEC" w:rsidRDefault="00622CEC" w:rsidP="00AE40A0"/>
          <w:p w14:paraId="6DC2D5AA" w14:textId="561B54A3" w:rsidR="00370BD2" w:rsidRDefault="00622CEC" w:rsidP="00AE40A0">
            <w:pPr>
              <w:rPr>
                <w:rFonts w:cs="Times New Roman"/>
                <w:color w:val="1D2125"/>
                <w:sz w:val="24"/>
                <w:szCs w:val="24"/>
              </w:rPr>
            </w:pPr>
            <w:r>
              <w:t>Critically discuss the statement with reference to relevant literature and legal authority. Whilst comparative analysis is permitted, the UK must be one of the jurisdictions considered, in line with the School of Law marking criteria.</w:t>
            </w:r>
          </w:p>
          <w:p w14:paraId="312A6B5D" w14:textId="60CEF657" w:rsidR="00AE40A0" w:rsidRPr="00B63E2C" w:rsidRDefault="00AE40A0" w:rsidP="00AE40A0">
            <w:pPr>
              <w:rPr>
                <w:sz w:val="24"/>
                <w:szCs w:val="24"/>
              </w:rPr>
            </w:pPr>
          </w:p>
        </w:tc>
      </w:tr>
    </w:tbl>
    <w:p w14:paraId="4A05FA4A" w14:textId="77777777" w:rsidR="00961C22" w:rsidRDefault="00961C22" w:rsidP="00961C22"/>
    <w:p w14:paraId="3C803526" w14:textId="35C46290" w:rsidR="001059E6" w:rsidRDefault="00B17897" w:rsidP="007B672B">
      <w:pPr>
        <w:rPr>
          <w:i/>
          <w:iCs/>
          <w:color w:val="EE0000"/>
        </w:rPr>
        <w:sectPr w:rsidR="001059E6" w:rsidSect="005403ED">
          <w:headerReference w:type="even" r:id="rId10"/>
          <w:headerReference w:type="default" r:id="rId11"/>
          <w:footerReference w:type="even" r:id="rId12"/>
          <w:headerReference w:type="first" r:id="rId13"/>
          <w:type w:val="continuous"/>
          <w:pgSz w:w="11906" w:h="16838"/>
          <w:pgMar w:top="1440" w:right="1440" w:bottom="1440" w:left="1440" w:header="708" w:footer="708" w:gutter="0"/>
          <w:pgNumType w:start="1"/>
          <w:cols w:space="708"/>
          <w:docGrid w:linePitch="360"/>
        </w:sectPr>
      </w:pPr>
      <w:r w:rsidRPr="007B672B">
        <w:rPr>
          <w:i/>
          <w:iCs/>
          <w:color w:val="EE0000"/>
        </w:rPr>
        <w:t>Students</w:t>
      </w:r>
      <w:r w:rsidR="002D35DC" w:rsidRPr="007B672B">
        <w:rPr>
          <w:i/>
          <w:iCs/>
          <w:color w:val="EE0000"/>
        </w:rPr>
        <w:t>:</w:t>
      </w:r>
      <w:r w:rsidRPr="007B672B">
        <w:rPr>
          <w:i/>
          <w:iCs/>
          <w:color w:val="EE0000"/>
        </w:rPr>
        <w:t xml:space="preserve"> your </w:t>
      </w:r>
      <w:r w:rsidR="009F3740" w:rsidRPr="007B672B">
        <w:rPr>
          <w:i/>
          <w:iCs/>
          <w:color w:val="EE0000"/>
        </w:rPr>
        <w:t xml:space="preserve">coursework </w:t>
      </w:r>
      <w:r w:rsidRPr="007B672B">
        <w:rPr>
          <w:i/>
          <w:iCs/>
          <w:color w:val="EE0000"/>
        </w:rPr>
        <w:t>submission should be in</w:t>
      </w:r>
      <w:r w:rsidR="00E51A04" w:rsidRPr="007B672B">
        <w:rPr>
          <w:i/>
          <w:iCs/>
          <w:color w:val="EE0000"/>
        </w:rPr>
        <w:t>serted</w:t>
      </w:r>
      <w:r w:rsidRPr="007B672B">
        <w:rPr>
          <w:i/>
          <w:iCs/>
          <w:color w:val="EE0000"/>
        </w:rPr>
        <w:t xml:space="preserve"> </w:t>
      </w:r>
      <w:r w:rsidR="0068673B" w:rsidRPr="007B672B">
        <w:rPr>
          <w:i/>
          <w:iCs/>
          <w:color w:val="EE0000"/>
        </w:rPr>
        <w:t>below</w:t>
      </w:r>
      <w:r w:rsidR="002F3AC1" w:rsidRPr="007B672B">
        <w:rPr>
          <w:i/>
          <w:iCs/>
          <w:color w:val="EE0000"/>
        </w:rPr>
        <w:t xml:space="preserve">, indicating question numbers (where </w:t>
      </w:r>
      <w:r w:rsidR="009F3740" w:rsidRPr="007B672B">
        <w:rPr>
          <w:i/>
          <w:iCs/>
          <w:color w:val="EE0000"/>
        </w:rPr>
        <w:t>there are multiple elements):</w:t>
      </w:r>
    </w:p>
    <w:p w14:paraId="59288F7C" w14:textId="3629368E" w:rsidR="00740C07" w:rsidRDefault="00740C07" w:rsidP="00740C07">
      <w:pPr>
        <w:pStyle w:val="Heading1"/>
        <w:jc w:val="center"/>
      </w:pPr>
      <w:bookmarkStart w:id="0" w:name="_Toc225453986"/>
      <w:r>
        <w:lastRenderedPageBreak/>
        <w:t>Contents</w:t>
      </w:r>
      <w:bookmarkEnd w:id="0"/>
    </w:p>
    <w:sdt>
      <w:sdtPr>
        <w:id w:val="1622501145"/>
        <w:docPartObj>
          <w:docPartGallery w:val="Table of Contents"/>
          <w:docPartUnique/>
        </w:docPartObj>
      </w:sdtPr>
      <w:sdtEndPr>
        <w:rPr>
          <w:b w:val="0"/>
          <w:bCs w:val="0"/>
          <w:noProof/>
        </w:rPr>
      </w:sdtEndPr>
      <w:sdtContent>
        <w:p w14:paraId="7B3C3DDC" w14:textId="23A8A32B" w:rsidR="00C93595" w:rsidRDefault="00314C1A">
          <w:pPr>
            <w:pStyle w:val="TOC1"/>
            <w:tabs>
              <w:tab w:val="right" w:leader="dot" w:pos="9016"/>
            </w:tabs>
            <w:rPr>
              <w:rFonts w:asciiTheme="minorHAnsi" w:eastAsiaTheme="minorEastAsia" w:hAnsiTheme="minorHAnsi" w:cstheme="minorBidi"/>
              <w:b w:val="0"/>
              <w:bCs w:val="0"/>
              <w:iCs w:val="0"/>
              <w:noProof/>
              <w:kern w:val="2"/>
              <w:sz w:val="24"/>
              <w:lang w:eastAsia="zh-CN"/>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5453986" w:history="1">
            <w:r w:rsidR="00C93595" w:rsidRPr="002238EE">
              <w:rPr>
                <w:rStyle w:val="Hyperlink"/>
                <w:noProof/>
              </w:rPr>
              <w:t>Contents</w:t>
            </w:r>
            <w:r w:rsidR="00C93595">
              <w:rPr>
                <w:noProof/>
                <w:webHidden/>
              </w:rPr>
              <w:tab/>
            </w:r>
            <w:r w:rsidR="00C93595">
              <w:rPr>
                <w:noProof/>
                <w:webHidden/>
              </w:rPr>
              <w:fldChar w:fldCharType="begin"/>
            </w:r>
            <w:r w:rsidR="00C93595">
              <w:rPr>
                <w:noProof/>
                <w:webHidden/>
              </w:rPr>
              <w:instrText xml:space="preserve"> PAGEREF _Toc225453986 \h </w:instrText>
            </w:r>
            <w:r w:rsidR="00C93595">
              <w:rPr>
                <w:noProof/>
                <w:webHidden/>
              </w:rPr>
            </w:r>
            <w:r w:rsidR="00C93595">
              <w:rPr>
                <w:noProof/>
                <w:webHidden/>
              </w:rPr>
              <w:fldChar w:fldCharType="separate"/>
            </w:r>
            <w:r w:rsidR="00C93595">
              <w:rPr>
                <w:noProof/>
                <w:webHidden/>
              </w:rPr>
              <w:t>I</w:t>
            </w:r>
            <w:r w:rsidR="00C93595">
              <w:rPr>
                <w:noProof/>
                <w:webHidden/>
              </w:rPr>
              <w:fldChar w:fldCharType="end"/>
            </w:r>
          </w:hyperlink>
        </w:p>
        <w:p w14:paraId="511E131D" w14:textId="6A947F73" w:rsidR="00C93595" w:rsidRDefault="00C93595">
          <w:pPr>
            <w:pStyle w:val="TOC1"/>
            <w:tabs>
              <w:tab w:val="right" w:leader="dot" w:pos="9016"/>
            </w:tabs>
            <w:rPr>
              <w:rFonts w:asciiTheme="minorHAnsi" w:eastAsiaTheme="minorEastAsia" w:hAnsiTheme="minorHAnsi" w:cstheme="minorBidi"/>
              <w:b w:val="0"/>
              <w:bCs w:val="0"/>
              <w:iCs w:val="0"/>
              <w:noProof/>
              <w:kern w:val="2"/>
              <w:sz w:val="24"/>
              <w:lang w:eastAsia="zh-CN"/>
              <w14:ligatures w14:val="standardContextual"/>
            </w:rPr>
          </w:pPr>
          <w:hyperlink w:anchor="_Toc225453987" w:history="1">
            <w:r w:rsidRPr="002238EE">
              <w:rPr>
                <w:rStyle w:val="Hyperlink"/>
                <w:noProof/>
              </w:rPr>
              <w:t>1. Introduction</w:t>
            </w:r>
            <w:r>
              <w:rPr>
                <w:noProof/>
                <w:webHidden/>
              </w:rPr>
              <w:tab/>
            </w:r>
            <w:r>
              <w:rPr>
                <w:noProof/>
                <w:webHidden/>
              </w:rPr>
              <w:fldChar w:fldCharType="begin"/>
            </w:r>
            <w:r>
              <w:rPr>
                <w:noProof/>
                <w:webHidden/>
              </w:rPr>
              <w:instrText xml:space="preserve"> PAGEREF _Toc225453987 \h </w:instrText>
            </w:r>
            <w:r>
              <w:rPr>
                <w:noProof/>
                <w:webHidden/>
              </w:rPr>
            </w:r>
            <w:r>
              <w:rPr>
                <w:noProof/>
                <w:webHidden/>
              </w:rPr>
              <w:fldChar w:fldCharType="separate"/>
            </w:r>
            <w:r>
              <w:rPr>
                <w:noProof/>
                <w:webHidden/>
              </w:rPr>
              <w:t>1</w:t>
            </w:r>
            <w:r>
              <w:rPr>
                <w:noProof/>
                <w:webHidden/>
              </w:rPr>
              <w:fldChar w:fldCharType="end"/>
            </w:r>
          </w:hyperlink>
        </w:p>
        <w:p w14:paraId="09D0127C" w14:textId="03B21034" w:rsidR="00C93595" w:rsidRDefault="00C93595">
          <w:pPr>
            <w:pStyle w:val="TOC1"/>
            <w:tabs>
              <w:tab w:val="right" w:leader="dot" w:pos="9016"/>
            </w:tabs>
            <w:rPr>
              <w:rFonts w:asciiTheme="minorHAnsi" w:eastAsiaTheme="minorEastAsia" w:hAnsiTheme="minorHAnsi" w:cstheme="minorBidi"/>
              <w:b w:val="0"/>
              <w:bCs w:val="0"/>
              <w:iCs w:val="0"/>
              <w:noProof/>
              <w:kern w:val="2"/>
              <w:sz w:val="24"/>
              <w:lang w:eastAsia="zh-CN"/>
              <w14:ligatures w14:val="standardContextual"/>
            </w:rPr>
          </w:pPr>
          <w:hyperlink w:anchor="_Toc225453988" w:history="1">
            <w:r w:rsidRPr="002238EE">
              <w:rPr>
                <w:rStyle w:val="Hyperlink"/>
                <w:noProof/>
              </w:rPr>
              <w:t>2. Definitions</w:t>
            </w:r>
            <w:r>
              <w:rPr>
                <w:noProof/>
                <w:webHidden/>
              </w:rPr>
              <w:tab/>
            </w:r>
            <w:r>
              <w:rPr>
                <w:noProof/>
                <w:webHidden/>
              </w:rPr>
              <w:fldChar w:fldCharType="begin"/>
            </w:r>
            <w:r>
              <w:rPr>
                <w:noProof/>
                <w:webHidden/>
              </w:rPr>
              <w:instrText xml:space="preserve"> PAGEREF _Toc225453988 \h </w:instrText>
            </w:r>
            <w:r>
              <w:rPr>
                <w:noProof/>
                <w:webHidden/>
              </w:rPr>
            </w:r>
            <w:r>
              <w:rPr>
                <w:noProof/>
                <w:webHidden/>
              </w:rPr>
              <w:fldChar w:fldCharType="separate"/>
            </w:r>
            <w:r>
              <w:rPr>
                <w:noProof/>
                <w:webHidden/>
              </w:rPr>
              <w:t>2</w:t>
            </w:r>
            <w:r>
              <w:rPr>
                <w:noProof/>
                <w:webHidden/>
              </w:rPr>
              <w:fldChar w:fldCharType="end"/>
            </w:r>
          </w:hyperlink>
        </w:p>
        <w:p w14:paraId="0E61D573" w14:textId="499175CD"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3989" w:history="1">
            <w:r w:rsidRPr="002238EE">
              <w:rPr>
                <w:rStyle w:val="Hyperlink"/>
                <w:noProof/>
              </w:rPr>
              <w:t>2.1</w:t>
            </w:r>
            <w:r w:rsidRPr="002238EE">
              <w:rPr>
                <w:rStyle w:val="Hyperlink"/>
                <w:noProof/>
                <w:lang w:eastAsia="zh-CN"/>
              </w:rPr>
              <w:t xml:space="preserve"> Moral Rights</w:t>
            </w:r>
            <w:r>
              <w:rPr>
                <w:noProof/>
                <w:webHidden/>
              </w:rPr>
              <w:tab/>
            </w:r>
            <w:r>
              <w:rPr>
                <w:noProof/>
                <w:webHidden/>
              </w:rPr>
              <w:fldChar w:fldCharType="begin"/>
            </w:r>
            <w:r>
              <w:rPr>
                <w:noProof/>
                <w:webHidden/>
              </w:rPr>
              <w:instrText xml:space="preserve"> PAGEREF _Toc225453989 \h </w:instrText>
            </w:r>
            <w:r>
              <w:rPr>
                <w:noProof/>
                <w:webHidden/>
              </w:rPr>
            </w:r>
            <w:r>
              <w:rPr>
                <w:noProof/>
                <w:webHidden/>
              </w:rPr>
              <w:fldChar w:fldCharType="separate"/>
            </w:r>
            <w:r>
              <w:rPr>
                <w:noProof/>
                <w:webHidden/>
              </w:rPr>
              <w:t>2</w:t>
            </w:r>
            <w:r>
              <w:rPr>
                <w:noProof/>
                <w:webHidden/>
              </w:rPr>
              <w:fldChar w:fldCharType="end"/>
            </w:r>
          </w:hyperlink>
        </w:p>
        <w:p w14:paraId="5A464B4E" w14:textId="6511A001"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3990" w:history="1">
            <w:r w:rsidRPr="002238EE">
              <w:rPr>
                <w:rStyle w:val="Hyperlink"/>
                <w:noProof/>
              </w:rPr>
              <w:t>2.2 Economic Rights</w:t>
            </w:r>
            <w:r>
              <w:rPr>
                <w:noProof/>
                <w:webHidden/>
              </w:rPr>
              <w:tab/>
            </w:r>
            <w:r>
              <w:rPr>
                <w:noProof/>
                <w:webHidden/>
              </w:rPr>
              <w:fldChar w:fldCharType="begin"/>
            </w:r>
            <w:r>
              <w:rPr>
                <w:noProof/>
                <w:webHidden/>
              </w:rPr>
              <w:instrText xml:space="preserve"> PAGEREF _Toc225453990 \h </w:instrText>
            </w:r>
            <w:r>
              <w:rPr>
                <w:noProof/>
                <w:webHidden/>
              </w:rPr>
            </w:r>
            <w:r>
              <w:rPr>
                <w:noProof/>
                <w:webHidden/>
              </w:rPr>
              <w:fldChar w:fldCharType="separate"/>
            </w:r>
            <w:r>
              <w:rPr>
                <w:noProof/>
                <w:webHidden/>
              </w:rPr>
              <w:t>2</w:t>
            </w:r>
            <w:r>
              <w:rPr>
                <w:noProof/>
                <w:webHidden/>
              </w:rPr>
              <w:fldChar w:fldCharType="end"/>
            </w:r>
          </w:hyperlink>
        </w:p>
        <w:p w14:paraId="55C3E7D2" w14:textId="202DBE3B" w:rsidR="00C93595" w:rsidRDefault="00C93595">
          <w:pPr>
            <w:pStyle w:val="TOC1"/>
            <w:tabs>
              <w:tab w:val="right" w:leader="dot" w:pos="9016"/>
            </w:tabs>
            <w:rPr>
              <w:rFonts w:asciiTheme="minorHAnsi" w:eastAsiaTheme="minorEastAsia" w:hAnsiTheme="minorHAnsi" w:cstheme="minorBidi"/>
              <w:b w:val="0"/>
              <w:bCs w:val="0"/>
              <w:iCs w:val="0"/>
              <w:noProof/>
              <w:kern w:val="2"/>
              <w:sz w:val="24"/>
              <w:lang w:eastAsia="zh-CN"/>
              <w14:ligatures w14:val="standardContextual"/>
            </w:rPr>
          </w:pPr>
          <w:hyperlink w:anchor="_Toc225453991" w:history="1">
            <w:r w:rsidRPr="002238EE">
              <w:rPr>
                <w:rStyle w:val="Hyperlink"/>
                <w:noProof/>
                <w:lang w:eastAsia="zh-CN"/>
              </w:rPr>
              <w:t xml:space="preserve">3. </w:t>
            </w:r>
            <w:r w:rsidRPr="002238EE">
              <w:rPr>
                <w:rStyle w:val="Hyperlink"/>
                <w:noProof/>
              </w:rPr>
              <w:t>Moral Rights in the Digital Environment</w:t>
            </w:r>
            <w:r>
              <w:rPr>
                <w:noProof/>
                <w:webHidden/>
              </w:rPr>
              <w:tab/>
            </w:r>
            <w:r>
              <w:rPr>
                <w:noProof/>
                <w:webHidden/>
              </w:rPr>
              <w:fldChar w:fldCharType="begin"/>
            </w:r>
            <w:r>
              <w:rPr>
                <w:noProof/>
                <w:webHidden/>
              </w:rPr>
              <w:instrText xml:space="preserve"> PAGEREF _Toc225453991 \h </w:instrText>
            </w:r>
            <w:r>
              <w:rPr>
                <w:noProof/>
                <w:webHidden/>
              </w:rPr>
            </w:r>
            <w:r>
              <w:rPr>
                <w:noProof/>
                <w:webHidden/>
              </w:rPr>
              <w:fldChar w:fldCharType="separate"/>
            </w:r>
            <w:r>
              <w:rPr>
                <w:noProof/>
                <w:webHidden/>
              </w:rPr>
              <w:t>3</w:t>
            </w:r>
            <w:r>
              <w:rPr>
                <w:noProof/>
                <w:webHidden/>
              </w:rPr>
              <w:fldChar w:fldCharType="end"/>
            </w:r>
          </w:hyperlink>
        </w:p>
        <w:p w14:paraId="57A14020" w14:textId="70E57E59"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3992" w:history="1">
            <w:r w:rsidRPr="002238EE">
              <w:rPr>
                <w:rStyle w:val="Hyperlink"/>
                <w:noProof/>
              </w:rPr>
              <w:t>3.1 The Right of Attribution and Digital Dissemination</w:t>
            </w:r>
            <w:r>
              <w:rPr>
                <w:noProof/>
                <w:webHidden/>
              </w:rPr>
              <w:tab/>
            </w:r>
            <w:r>
              <w:rPr>
                <w:noProof/>
                <w:webHidden/>
              </w:rPr>
              <w:fldChar w:fldCharType="begin"/>
            </w:r>
            <w:r>
              <w:rPr>
                <w:noProof/>
                <w:webHidden/>
              </w:rPr>
              <w:instrText xml:space="preserve"> PAGEREF _Toc225453992 \h </w:instrText>
            </w:r>
            <w:r>
              <w:rPr>
                <w:noProof/>
                <w:webHidden/>
              </w:rPr>
            </w:r>
            <w:r>
              <w:rPr>
                <w:noProof/>
                <w:webHidden/>
              </w:rPr>
              <w:fldChar w:fldCharType="separate"/>
            </w:r>
            <w:r>
              <w:rPr>
                <w:noProof/>
                <w:webHidden/>
              </w:rPr>
              <w:t>3</w:t>
            </w:r>
            <w:r>
              <w:rPr>
                <w:noProof/>
                <w:webHidden/>
              </w:rPr>
              <w:fldChar w:fldCharType="end"/>
            </w:r>
          </w:hyperlink>
        </w:p>
        <w:p w14:paraId="6025E77C" w14:textId="6D25EE1F"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3993" w:history="1">
            <w:r w:rsidRPr="002238EE">
              <w:rPr>
                <w:rStyle w:val="Hyperlink"/>
                <w:noProof/>
              </w:rPr>
              <w:t>3.2 The Right of Integrity and Online Transformative Uses</w:t>
            </w:r>
            <w:r>
              <w:rPr>
                <w:noProof/>
                <w:webHidden/>
              </w:rPr>
              <w:tab/>
            </w:r>
            <w:r>
              <w:rPr>
                <w:noProof/>
                <w:webHidden/>
              </w:rPr>
              <w:fldChar w:fldCharType="begin"/>
            </w:r>
            <w:r>
              <w:rPr>
                <w:noProof/>
                <w:webHidden/>
              </w:rPr>
              <w:instrText xml:space="preserve"> PAGEREF _Toc225453993 \h </w:instrText>
            </w:r>
            <w:r>
              <w:rPr>
                <w:noProof/>
                <w:webHidden/>
              </w:rPr>
            </w:r>
            <w:r>
              <w:rPr>
                <w:noProof/>
                <w:webHidden/>
              </w:rPr>
              <w:fldChar w:fldCharType="separate"/>
            </w:r>
            <w:r>
              <w:rPr>
                <w:noProof/>
                <w:webHidden/>
              </w:rPr>
              <w:t>4</w:t>
            </w:r>
            <w:r>
              <w:rPr>
                <w:noProof/>
                <w:webHidden/>
              </w:rPr>
              <w:fldChar w:fldCharType="end"/>
            </w:r>
          </w:hyperlink>
        </w:p>
        <w:p w14:paraId="292E746A" w14:textId="53F0DC7F"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3994" w:history="1">
            <w:r w:rsidRPr="002238EE">
              <w:rPr>
                <w:rStyle w:val="Hyperlink"/>
                <w:noProof/>
              </w:rPr>
              <w:t>3.3 Remedies and Practical Effectiveness in Platform Contexts</w:t>
            </w:r>
            <w:r>
              <w:rPr>
                <w:noProof/>
                <w:webHidden/>
              </w:rPr>
              <w:tab/>
            </w:r>
            <w:r>
              <w:rPr>
                <w:noProof/>
                <w:webHidden/>
              </w:rPr>
              <w:fldChar w:fldCharType="begin"/>
            </w:r>
            <w:r>
              <w:rPr>
                <w:noProof/>
                <w:webHidden/>
              </w:rPr>
              <w:instrText xml:space="preserve"> PAGEREF _Toc225453994 \h </w:instrText>
            </w:r>
            <w:r>
              <w:rPr>
                <w:noProof/>
                <w:webHidden/>
              </w:rPr>
            </w:r>
            <w:r>
              <w:rPr>
                <w:noProof/>
                <w:webHidden/>
              </w:rPr>
              <w:fldChar w:fldCharType="separate"/>
            </w:r>
            <w:r>
              <w:rPr>
                <w:noProof/>
                <w:webHidden/>
              </w:rPr>
              <w:t>6</w:t>
            </w:r>
            <w:r>
              <w:rPr>
                <w:noProof/>
                <w:webHidden/>
              </w:rPr>
              <w:fldChar w:fldCharType="end"/>
            </w:r>
          </w:hyperlink>
        </w:p>
        <w:p w14:paraId="7634BD5A" w14:textId="1264C296" w:rsidR="00C93595" w:rsidRDefault="00C93595">
          <w:pPr>
            <w:pStyle w:val="TOC1"/>
            <w:tabs>
              <w:tab w:val="right" w:leader="dot" w:pos="9016"/>
            </w:tabs>
            <w:rPr>
              <w:rFonts w:asciiTheme="minorHAnsi" w:eastAsiaTheme="minorEastAsia" w:hAnsiTheme="minorHAnsi" w:cstheme="minorBidi"/>
              <w:b w:val="0"/>
              <w:bCs w:val="0"/>
              <w:iCs w:val="0"/>
              <w:noProof/>
              <w:kern w:val="2"/>
              <w:sz w:val="24"/>
              <w:lang w:eastAsia="zh-CN"/>
              <w14:ligatures w14:val="standardContextual"/>
            </w:rPr>
          </w:pPr>
          <w:hyperlink w:anchor="_Toc225453995" w:history="1">
            <w:r w:rsidRPr="002238EE">
              <w:rPr>
                <w:rStyle w:val="Hyperlink"/>
                <w:noProof/>
              </w:rPr>
              <w:t xml:space="preserve">4. Economic Rights </w:t>
            </w:r>
            <w:r w:rsidRPr="002238EE">
              <w:rPr>
                <w:rStyle w:val="Hyperlink"/>
                <w:noProof/>
                <w:lang w:eastAsia="zh-CN"/>
              </w:rPr>
              <w:t xml:space="preserve">in the Digital </w:t>
            </w:r>
            <w:r w:rsidRPr="002238EE">
              <w:rPr>
                <w:rStyle w:val="Hyperlink"/>
                <w:noProof/>
              </w:rPr>
              <w:t>Environment</w:t>
            </w:r>
            <w:r>
              <w:rPr>
                <w:noProof/>
                <w:webHidden/>
              </w:rPr>
              <w:tab/>
            </w:r>
            <w:r>
              <w:rPr>
                <w:noProof/>
                <w:webHidden/>
              </w:rPr>
              <w:fldChar w:fldCharType="begin"/>
            </w:r>
            <w:r>
              <w:rPr>
                <w:noProof/>
                <w:webHidden/>
              </w:rPr>
              <w:instrText xml:space="preserve"> PAGEREF _Toc225453995 \h </w:instrText>
            </w:r>
            <w:r>
              <w:rPr>
                <w:noProof/>
                <w:webHidden/>
              </w:rPr>
            </w:r>
            <w:r>
              <w:rPr>
                <w:noProof/>
                <w:webHidden/>
              </w:rPr>
              <w:fldChar w:fldCharType="separate"/>
            </w:r>
            <w:r>
              <w:rPr>
                <w:noProof/>
                <w:webHidden/>
              </w:rPr>
              <w:t>8</w:t>
            </w:r>
            <w:r>
              <w:rPr>
                <w:noProof/>
                <w:webHidden/>
              </w:rPr>
              <w:fldChar w:fldCharType="end"/>
            </w:r>
          </w:hyperlink>
        </w:p>
        <w:p w14:paraId="60512466" w14:textId="43CC71F2"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3996" w:history="1">
            <w:r w:rsidRPr="002238EE">
              <w:rPr>
                <w:rStyle w:val="Hyperlink"/>
                <w:noProof/>
                <w:lang w:eastAsia="zh-CN"/>
              </w:rPr>
              <w:t>4.1 Exclusive Rights Licensing and Digital Exploitation</w:t>
            </w:r>
            <w:r>
              <w:rPr>
                <w:noProof/>
                <w:webHidden/>
              </w:rPr>
              <w:tab/>
            </w:r>
            <w:r>
              <w:rPr>
                <w:noProof/>
                <w:webHidden/>
              </w:rPr>
              <w:fldChar w:fldCharType="begin"/>
            </w:r>
            <w:r>
              <w:rPr>
                <w:noProof/>
                <w:webHidden/>
              </w:rPr>
              <w:instrText xml:space="preserve"> PAGEREF _Toc225453996 \h </w:instrText>
            </w:r>
            <w:r>
              <w:rPr>
                <w:noProof/>
                <w:webHidden/>
              </w:rPr>
            </w:r>
            <w:r>
              <w:rPr>
                <w:noProof/>
                <w:webHidden/>
              </w:rPr>
              <w:fldChar w:fldCharType="separate"/>
            </w:r>
            <w:r>
              <w:rPr>
                <w:noProof/>
                <w:webHidden/>
              </w:rPr>
              <w:t>8</w:t>
            </w:r>
            <w:r>
              <w:rPr>
                <w:noProof/>
                <w:webHidden/>
              </w:rPr>
              <w:fldChar w:fldCharType="end"/>
            </w:r>
          </w:hyperlink>
        </w:p>
        <w:p w14:paraId="23EE3CE4" w14:textId="3E7DB417"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3997" w:history="1">
            <w:r w:rsidRPr="002238EE">
              <w:rPr>
                <w:rStyle w:val="Hyperlink"/>
                <w:noProof/>
              </w:rPr>
              <w:t>4.2 Enforcement Architecture and the Relative Strength of Remedies</w:t>
            </w:r>
            <w:r>
              <w:rPr>
                <w:noProof/>
                <w:webHidden/>
              </w:rPr>
              <w:tab/>
            </w:r>
            <w:r>
              <w:rPr>
                <w:noProof/>
                <w:webHidden/>
              </w:rPr>
              <w:fldChar w:fldCharType="begin"/>
            </w:r>
            <w:r>
              <w:rPr>
                <w:noProof/>
                <w:webHidden/>
              </w:rPr>
              <w:instrText xml:space="preserve"> PAGEREF _Toc225453997 \h </w:instrText>
            </w:r>
            <w:r>
              <w:rPr>
                <w:noProof/>
                <w:webHidden/>
              </w:rPr>
            </w:r>
            <w:r>
              <w:rPr>
                <w:noProof/>
                <w:webHidden/>
              </w:rPr>
              <w:fldChar w:fldCharType="separate"/>
            </w:r>
            <w:r>
              <w:rPr>
                <w:noProof/>
                <w:webHidden/>
              </w:rPr>
              <w:t>9</w:t>
            </w:r>
            <w:r>
              <w:rPr>
                <w:noProof/>
                <w:webHidden/>
              </w:rPr>
              <w:fldChar w:fldCharType="end"/>
            </w:r>
          </w:hyperlink>
        </w:p>
        <w:p w14:paraId="05A2B685" w14:textId="0506A98A"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3998" w:history="1">
            <w:r w:rsidRPr="002238EE">
              <w:rPr>
                <w:rStyle w:val="Hyperlink"/>
                <w:noProof/>
              </w:rPr>
              <w:t>4.3 Contractual Governance and the Role of Intermediaries in Digital Uses</w:t>
            </w:r>
            <w:r>
              <w:rPr>
                <w:noProof/>
                <w:webHidden/>
              </w:rPr>
              <w:tab/>
            </w:r>
            <w:r>
              <w:rPr>
                <w:noProof/>
                <w:webHidden/>
              </w:rPr>
              <w:fldChar w:fldCharType="begin"/>
            </w:r>
            <w:r>
              <w:rPr>
                <w:noProof/>
                <w:webHidden/>
              </w:rPr>
              <w:instrText xml:space="preserve"> PAGEREF _Toc225453998 \h </w:instrText>
            </w:r>
            <w:r>
              <w:rPr>
                <w:noProof/>
                <w:webHidden/>
              </w:rPr>
            </w:r>
            <w:r>
              <w:rPr>
                <w:noProof/>
                <w:webHidden/>
              </w:rPr>
              <w:fldChar w:fldCharType="separate"/>
            </w:r>
            <w:r>
              <w:rPr>
                <w:noProof/>
                <w:webHidden/>
              </w:rPr>
              <w:t>10</w:t>
            </w:r>
            <w:r>
              <w:rPr>
                <w:noProof/>
                <w:webHidden/>
              </w:rPr>
              <w:fldChar w:fldCharType="end"/>
            </w:r>
          </w:hyperlink>
        </w:p>
        <w:p w14:paraId="4E40CEED" w14:textId="5EEF1D3D" w:rsidR="00C93595" w:rsidRDefault="00C93595">
          <w:pPr>
            <w:pStyle w:val="TOC1"/>
            <w:tabs>
              <w:tab w:val="right" w:leader="dot" w:pos="9016"/>
            </w:tabs>
            <w:rPr>
              <w:rFonts w:asciiTheme="minorHAnsi" w:eastAsiaTheme="minorEastAsia" w:hAnsiTheme="minorHAnsi" w:cstheme="minorBidi"/>
              <w:b w:val="0"/>
              <w:bCs w:val="0"/>
              <w:iCs w:val="0"/>
              <w:noProof/>
              <w:kern w:val="2"/>
              <w:sz w:val="24"/>
              <w:lang w:eastAsia="zh-CN"/>
              <w14:ligatures w14:val="standardContextual"/>
            </w:rPr>
          </w:pPr>
          <w:hyperlink w:anchor="_Toc225453999" w:history="1">
            <w:r w:rsidRPr="002238EE">
              <w:rPr>
                <w:rStyle w:val="Hyperlink"/>
                <w:noProof/>
                <w:lang w:eastAsia="zh-CN"/>
              </w:rPr>
              <w:t>5. Viral Culture and Copyright Priorities</w:t>
            </w:r>
            <w:r>
              <w:rPr>
                <w:noProof/>
                <w:webHidden/>
              </w:rPr>
              <w:tab/>
            </w:r>
            <w:r>
              <w:rPr>
                <w:noProof/>
                <w:webHidden/>
              </w:rPr>
              <w:fldChar w:fldCharType="begin"/>
            </w:r>
            <w:r>
              <w:rPr>
                <w:noProof/>
                <w:webHidden/>
              </w:rPr>
              <w:instrText xml:space="preserve"> PAGEREF _Toc225453999 \h </w:instrText>
            </w:r>
            <w:r>
              <w:rPr>
                <w:noProof/>
                <w:webHidden/>
              </w:rPr>
            </w:r>
            <w:r>
              <w:rPr>
                <w:noProof/>
                <w:webHidden/>
              </w:rPr>
              <w:fldChar w:fldCharType="separate"/>
            </w:r>
            <w:r>
              <w:rPr>
                <w:noProof/>
                <w:webHidden/>
              </w:rPr>
              <w:t>12</w:t>
            </w:r>
            <w:r>
              <w:rPr>
                <w:noProof/>
                <w:webHidden/>
              </w:rPr>
              <w:fldChar w:fldCharType="end"/>
            </w:r>
          </w:hyperlink>
        </w:p>
        <w:p w14:paraId="274F464C" w14:textId="6D408183"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4000" w:history="1">
            <w:r w:rsidRPr="002238EE">
              <w:rPr>
                <w:rStyle w:val="Hyperlink"/>
                <w:noProof/>
                <w:lang w:eastAsia="zh-CN"/>
              </w:rPr>
              <w:t>5.1 Moral Rights Under Viral Pressure</w:t>
            </w:r>
            <w:r>
              <w:rPr>
                <w:noProof/>
                <w:webHidden/>
              </w:rPr>
              <w:tab/>
            </w:r>
            <w:r>
              <w:rPr>
                <w:noProof/>
                <w:webHidden/>
              </w:rPr>
              <w:fldChar w:fldCharType="begin"/>
            </w:r>
            <w:r>
              <w:rPr>
                <w:noProof/>
                <w:webHidden/>
              </w:rPr>
              <w:instrText xml:space="preserve"> PAGEREF _Toc225454000 \h </w:instrText>
            </w:r>
            <w:r>
              <w:rPr>
                <w:noProof/>
                <w:webHidden/>
              </w:rPr>
            </w:r>
            <w:r>
              <w:rPr>
                <w:noProof/>
                <w:webHidden/>
              </w:rPr>
              <w:fldChar w:fldCharType="separate"/>
            </w:r>
            <w:r>
              <w:rPr>
                <w:noProof/>
                <w:webHidden/>
              </w:rPr>
              <w:t>12</w:t>
            </w:r>
            <w:r>
              <w:rPr>
                <w:noProof/>
                <w:webHidden/>
              </w:rPr>
              <w:fldChar w:fldCharType="end"/>
            </w:r>
          </w:hyperlink>
        </w:p>
        <w:p w14:paraId="2748902D" w14:textId="7086A941"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4001" w:history="1">
            <w:r w:rsidRPr="002238EE">
              <w:rPr>
                <w:rStyle w:val="Hyperlink"/>
                <w:noProof/>
                <w:lang w:eastAsia="zh-CN"/>
              </w:rPr>
              <w:t>5.2 Economic Rights as Structural Governance</w:t>
            </w:r>
            <w:r>
              <w:rPr>
                <w:noProof/>
                <w:webHidden/>
              </w:rPr>
              <w:tab/>
            </w:r>
            <w:r>
              <w:rPr>
                <w:noProof/>
                <w:webHidden/>
              </w:rPr>
              <w:fldChar w:fldCharType="begin"/>
            </w:r>
            <w:r>
              <w:rPr>
                <w:noProof/>
                <w:webHidden/>
              </w:rPr>
              <w:instrText xml:space="preserve"> PAGEREF _Toc225454001 \h </w:instrText>
            </w:r>
            <w:r>
              <w:rPr>
                <w:noProof/>
                <w:webHidden/>
              </w:rPr>
            </w:r>
            <w:r>
              <w:rPr>
                <w:noProof/>
                <w:webHidden/>
              </w:rPr>
              <w:fldChar w:fldCharType="separate"/>
            </w:r>
            <w:r>
              <w:rPr>
                <w:noProof/>
                <w:webHidden/>
              </w:rPr>
              <w:t>12</w:t>
            </w:r>
            <w:r>
              <w:rPr>
                <w:noProof/>
                <w:webHidden/>
              </w:rPr>
              <w:fldChar w:fldCharType="end"/>
            </w:r>
          </w:hyperlink>
        </w:p>
        <w:p w14:paraId="25CFDB87" w14:textId="2B533C40" w:rsidR="00C93595" w:rsidRDefault="00C93595">
          <w:pPr>
            <w:pStyle w:val="TOC1"/>
            <w:tabs>
              <w:tab w:val="right" w:leader="dot" w:pos="9016"/>
            </w:tabs>
            <w:rPr>
              <w:rFonts w:asciiTheme="minorHAnsi" w:eastAsiaTheme="minorEastAsia" w:hAnsiTheme="minorHAnsi" w:cstheme="minorBidi"/>
              <w:b w:val="0"/>
              <w:bCs w:val="0"/>
              <w:iCs w:val="0"/>
              <w:noProof/>
              <w:kern w:val="2"/>
              <w:sz w:val="24"/>
              <w:lang w:eastAsia="zh-CN"/>
              <w14:ligatures w14:val="standardContextual"/>
            </w:rPr>
          </w:pPr>
          <w:hyperlink w:anchor="_Toc225454002" w:history="1">
            <w:r w:rsidRPr="002238EE">
              <w:rPr>
                <w:rStyle w:val="Hyperlink"/>
                <w:noProof/>
                <w:lang w:eastAsia="zh-CN"/>
              </w:rPr>
              <w:t>6</w:t>
            </w:r>
            <w:r w:rsidRPr="002238EE">
              <w:rPr>
                <w:rStyle w:val="Hyperlink"/>
                <w:noProof/>
              </w:rPr>
              <w:t>. Conclusion</w:t>
            </w:r>
            <w:r>
              <w:rPr>
                <w:noProof/>
                <w:webHidden/>
              </w:rPr>
              <w:tab/>
            </w:r>
            <w:r>
              <w:rPr>
                <w:noProof/>
                <w:webHidden/>
              </w:rPr>
              <w:fldChar w:fldCharType="begin"/>
            </w:r>
            <w:r>
              <w:rPr>
                <w:noProof/>
                <w:webHidden/>
              </w:rPr>
              <w:instrText xml:space="preserve"> PAGEREF _Toc225454002 \h </w:instrText>
            </w:r>
            <w:r>
              <w:rPr>
                <w:noProof/>
                <w:webHidden/>
              </w:rPr>
            </w:r>
            <w:r>
              <w:rPr>
                <w:noProof/>
                <w:webHidden/>
              </w:rPr>
              <w:fldChar w:fldCharType="separate"/>
            </w:r>
            <w:r>
              <w:rPr>
                <w:noProof/>
                <w:webHidden/>
              </w:rPr>
              <w:t>13</w:t>
            </w:r>
            <w:r>
              <w:rPr>
                <w:noProof/>
                <w:webHidden/>
              </w:rPr>
              <w:fldChar w:fldCharType="end"/>
            </w:r>
          </w:hyperlink>
        </w:p>
        <w:p w14:paraId="322580F7" w14:textId="7F78D17E" w:rsidR="00C93595" w:rsidRDefault="00C93595">
          <w:pPr>
            <w:pStyle w:val="TOC1"/>
            <w:tabs>
              <w:tab w:val="right" w:leader="dot" w:pos="9016"/>
            </w:tabs>
            <w:rPr>
              <w:rFonts w:asciiTheme="minorHAnsi" w:eastAsiaTheme="minorEastAsia" w:hAnsiTheme="minorHAnsi" w:cstheme="minorBidi"/>
              <w:b w:val="0"/>
              <w:bCs w:val="0"/>
              <w:iCs w:val="0"/>
              <w:noProof/>
              <w:kern w:val="2"/>
              <w:sz w:val="24"/>
              <w:lang w:eastAsia="zh-CN"/>
              <w14:ligatures w14:val="standardContextual"/>
            </w:rPr>
          </w:pPr>
          <w:hyperlink w:anchor="_Toc225454003" w:history="1">
            <w:r w:rsidRPr="002238EE">
              <w:rPr>
                <w:rStyle w:val="Hyperlink"/>
                <w:noProof/>
                <w:lang w:eastAsia="zh-CN"/>
              </w:rPr>
              <w:t>Bibliography</w:t>
            </w:r>
            <w:r>
              <w:rPr>
                <w:noProof/>
                <w:webHidden/>
              </w:rPr>
              <w:tab/>
            </w:r>
            <w:r>
              <w:rPr>
                <w:noProof/>
                <w:webHidden/>
              </w:rPr>
              <w:fldChar w:fldCharType="begin"/>
            </w:r>
            <w:r>
              <w:rPr>
                <w:noProof/>
                <w:webHidden/>
              </w:rPr>
              <w:instrText xml:space="preserve"> PAGEREF _Toc225454003 \h </w:instrText>
            </w:r>
            <w:r>
              <w:rPr>
                <w:noProof/>
                <w:webHidden/>
              </w:rPr>
            </w:r>
            <w:r>
              <w:rPr>
                <w:noProof/>
                <w:webHidden/>
              </w:rPr>
              <w:fldChar w:fldCharType="separate"/>
            </w:r>
            <w:r>
              <w:rPr>
                <w:noProof/>
                <w:webHidden/>
              </w:rPr>
              <w:t>14</w:t>
            </w:r>
            <w:r>
              <w:rPr>
                <w:noProof/>
                <w:webHidden/>
              </w:rPr>
              <w:fldChar w:fldCharType="end"/>
            </w:r>
          </w:hyperlink>
        </w:p>
        <w:p w14:paraId="63D1630A" w14:textId="69F40BF1"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4004" w:history="1">
            <w:r w:rsidRPr="002238EE">
              <w:rPr>
                <w:rStyle w:val="Hyperlink"/>
                <w:noProof/>
                <w:lang w:eastAsia="zh-CN"/>
              </w:rPr>
              <w:t>Primary Sources</w:t>
            </w:r>
            <w:r>
              <w:rPr>
                <w:noProof/>
                <w:webHidden/>
              </w:rPr>
              <w:tab/>
            </w:r>
            <w:r>
              <w:rPr>
                <w:noProof/>
                <w:webHidden/>
              </w:rPr>
              <w:fldChar w:fldCharType="begin"/>
            </w:r>
            <w:r>
              <w:rPr>
                <w:noProof/>
                <w:webHidden/>
              </w:rPr>
              <w:instrText xml:space="preserve"> PAGEREF _Toc225454004 \h </w:instrText>
            </w:r>
            <w:r>
              <w:rPr>
                <w:noProof/>
                <w:webHidden/>
              </w:rPr>
            </w:r>
            <w:r>
              <w:rPr>
                <w:noProof/>
                <w:webHidden/>
              </w:rPr>
              <w:fldChar w:fldCharType="separate"/>
            </w:r>
            <w:r>
              <w:rPr>
                <w:noProof/>
                <w:webHidden/>
              </w:rPr>
              <w:t>14</w:t>
            </w:r>
            <w:r>
              <w:rPr>
                <w:noProof/>
                <w:webHidden/>
              </w:rPr>
              <w:fldChar w:fldCharType="end"/>
            </w:r>
          </w:hyperlink>
        </w:p>
        <w:p w14:paraId="72D15244" w14:textId="56531D92" w:rsidR="00C93595" w:rsidRDefault="00C93595">
          <w:pPr>
            <w:pStyle w:val="TOC2"/>
            <w:tabs>
              <w:tab w:val="right" w:leader="dot" w:pos="9016"/>
            </w:tabs>
            <w:rPr>
              <w:rFonts w:asciiTheme="minorHAnsi" w:eastAsiaTheme="minorEastAsia" w:hAnsiTheme="minorHAnsi" w:cstheme="minorBidi"/>
              <w:bCs w:val="0"/>
              <w:noProof/>
              <w:kern w:val="2"/>
              <w:sz w:val="24"/>
              <w:szCs w:val="24"/>
              <w:lang w:eastAsia="zh-CN"/>
              <w14:ligatures w14:val="standardContextual"/>
            </w:rPr>
          </w:pPr>
          <w:hyperlink w:anchor="_Toc225454005" w:history="1">
            <w:r w:rsidRPr="002238EE">
              <w:rPr>
                <w:rStyle w:val="Hyperlink"/>
                <w:noProof/>
                <w:lang w:eastAsia="zh-CN"/>
              </w:rPr>
              <w:t>Secondary Sources</w:t>
            </w:r>
            <w:r>
              <w:rPr>
                <w:noProof/>
                <w:webHidden/>
              </w:rPr>
              <w:tab/>
            </w:r>
            <w:r>
              <w:rPr>
                <w:noProof/>
                <w:webHidden/>
              </w:rPr>
              <w:fldChar w:fldCharType="begin"/>
            </w:r>
            <w:r>
              <w:rPr>
                <w:noProof/>
                <w:webHidden/>
              </w:rPr>
              <w:instrText xml:space="preserve"> PAGEREF _Toc225454005 \h </w:instrText>
            </w:r>
            <w:r>
              <w:rPr>
                <w:noProof/>
                <w:webHidden/>
              </w:rPr>
            </w:r>
            <w:r>
              <w:rPr>
                <w:noProof/>
                <w:webHidden/>
              </w:rPr>
              <w:fldChar w:fldCharType="separate"/>
            </w:r>
            <w:r>
              <w:rPr>
                <w:noProof/>
                <w:webHidden/>
              </w:rPr>
              <w:t>14</w:t>
            </w:r>
            <w:r>
              <w:rPr>
                <w:noProof/>
                <w:webHidden/>
              </w:rPr>
              <w:fldChar w:fldCharType="end"/>
            </w:r>
          </w:hyperlink>
        </w:p>
        <w:p w14:paraId="74EBCC7A" w14:textId="634E0086" w:rsidR="00740C07" w:rsidRPr="00740C07" w:rsidRDefault="00314C1A" w:rsidP="00D57E60">
          <w:pPr>
            <w:pStyle w:val="TOC1"/>
            <w:tabs>
              <w:tab w:val="right" w:leader="dot" w:pos="9016"/>
            </w:tabs>
          </w:pPr>
          <w:r>
            <w:rPr>
              <w:b w:val="0"/>
              <w:bCs w:val="0"/>
            </w:rPr>
            <w:fldChar w:fldCharType="end"/>
          </w:r>
        </w:p>
      </w:sdtContent>
    </w:sdt>
    <w:p w14:paraId="45F9B4E0" w14:textId="77777777" w:rsidR="00740C07" w:rsidRDefault="00740C07" w:rsidP="00740C07"/>
    <w:p w14:paraId="2ACF366B" w14:textId="77777777" w:rsidR="00740C07" w:rsidRPr="00740C07" w:rsidRDefault="00740C07" w:rsidP="00740C07">
      <w:pPr>
        <w:sectPr w:rsidR="00740C07" w:rsidRPr="00740C07" w:rsidSect="00027B3B">
          <w:headerReference w:type="default" r:id="rId14"/>
          <w:footerReference w:type="default" r:id="rId15"/>
          <w:pgSz w:w="11906" w:h="16838"/>
          <w:pgMar w:top="1440" w:right="1440" w:bottom="1440" w:left="1440" w:header="708" w:footer="708" w:gutter="0"/>
          <w:pgNumType w:fmt="upperRoman" w:start="1"/>
          <w:cols w:space="708"/>
          <w:docGrid w:linePitch="360"/>
        </w:sectPr>
      </w:pPr>
    </w:p>
    <w:p w14:paraId="19157FCE" w14:textId="0A99B23B" w:rsidR="00A41B5F" w:rsidRDefault="007A4273" w:rsidP="00204B51">
      <w:pPr>
        <w:pStyle w:val="Heading1"/>
      </w:pPr>
      <w:bookmarkStart w:id="1" w:name="_Toc225453987"/>
      <w:r>
        <w:lastRenderedPageBreak/>
        <w:t>1. Introduction</w:t>
      </w:r>
      <w:bookmarkEnd w:id="1"/>
    </w:p>
    <w:p w14:paraId="20E0778B" w14:textId="3412F2B0" w:rsidR="0063217B" w:rsidRDefault="00E46201" w:rsidP="00E856BE">
      <w:pPr>
        <w:rPr>
          <w:lang w:eastAsia="zh-CN"/>
        </w:rPr>
      </w:pPr>
      <w:r w:rsidRPr="00E46201">
        <w:rPr>
          <w:lang w:eastAsia="zh-CN"/>
        </w:rPr>
        <w:t>Digital technologies have transformed the creation, circulation, and reception of creative works. Online platforms now enable material to be copied, reposted, altered, and disseminated to vast audiences within moments. This essay argues that, under UK law, moral rights are not more important than any economic rights. Rather, although digital virality strengthens the case for protecting attribution and integrity, economic rights remain structurally central because they govern copying, communication to the public, licensing, and platform-based enforcement. The absolutist claim in the question should therefore be rejected. The essay begins by defining moral rights and economic rights within the UK copyright framework. It then examines how the digital environment amplifies the relevance of attribution and integrity, while also exposing the doctrinal and practical limits of their protection. It next analyses how economic rights continue to organise digital exploitation, licensing, and intermediary enforcement. Finally, it assesses whether virality alters that balance in practice.</w:t>
      </w:r>
    </w:p>
    <w:p w14:paraId="24E1E9E6" w14:textId="77777777" w:rsidR="00E46201" w:rsidRDefault="00E46201" w:rsidP="00E856BE">
      <w:pPr>
        <w:rPr>
          <w:rFonts w:cs="Times New Roman" w:hint="eastAsia"/>
          <w:lang w:eastAsia="zh-CN"/>
        </w:rPr>
      </w:pPr>
    </w:p>
    <w:p w14:paraId="4DE3B03C" w14:textId="77777777" w:rsidR="00ED6012" w:rsidRDefault="00ED6012" w:rsidP="00806599">
      <w:pPr>
        <w:pStyle w:val="Heading1"/>
        <w:sectPr w:rsidR="00ED6012" w:rsidSect="001059E6">
          <w:headerReference w:type="default" r:id="rId16"/>
          <w:footerReference w:type="default" r:id="rId17"/>
          <w:pgSz w:w="11906" w:h="16838"/>
          <w:pgMar w:top="1440" w:right="1440" w:bottom="1440" w:left="1440" w:header="708" w:footer="708" w:gutter="0"/>
          <w:pgNumType w:start="1"/>
          <w:cols w:space="708"/>
          <w:docGrid w:linePitch="360"/>
        </w:sectPr>
      </w:pPr>
    </w:p>
    <w:p w14:paraId="5E1FA8FF" w14:textId="09FE5B43" w:rsidR="001D3F03" w:rsidRPr="004C2262" w:rsidRDefault="007A4273" w:rsidP="00806599">
      <w:pPr>
        <w:pStyle w:val="Heading1"/>
      </w:pPr>
      <w:bookmarkStart w:id="2" w:name="_Toc225453988"/>
      <w:r>
        <w:lastRenderedPageBreak/>
        <w:t xml:space="preserve">2. </w:t>
      </w:r>
      <w:r w:rsidR="00FD0041">
        <w:t>Definitions</w:t>
      </w:r>
      <w:bookmarkEnd w:id="2"/>
    </w:p>
    <w:p w14:paraId="43D60B3A" w14:textId="0A7D0DC4" w:rsidR="00F345FE" w:rsidRDefault="009A5FA7" w:rsidP="004B11DC">
      <w:pPr>
        <w:pStyle w:val="Heading2"/>
        <w:rPr>
          <w:lang w:eastAsia="zh-CN"/>
        </w:rPr>
      </w:pPr>
      <w:bookmarkStart w:id="3" w:name="_Toc225453989"/>
      <w:r>
        <w:t>2.1</w:t>
      </w:r>
      <w:r w:rsidR="00EE2A07">
        <w:rPr>
          <w:rFonts w:hint="eastAsia"/>
          <w:lang w:eastAsia="zh-CN"/>
        </w:rPr>
        <w:t xml:space="preserve"> </w:t>
      </w:r>
      <w:r w:rsidR="00EE2A07">
        <w:rPr>
          <w:lang w:eastAsia="zh-CN"/>
        </w:rPr>
        <w:t>Moral Rights</w:t>
      </w:r>
      <w:bookmarkEnd w:id="3"/>
    </w:p>
    <w:p w14:paraId="09C53327" w14:textId="13CC8582" w:rsidR="009E344A" w:rsidRDefault="00BB5B47" w:rsidP="00E856BE">
      <w:pPr>
        <w:rPr>
          <w:lang w:eastAsia="zh-CN"/>
        </w:rPr>
      </w:pPr>
      <w:r>
        <w:t xml:space="preserve">Moral rights protect the personal link between an author and a </w:t>
      </w:r>
      <w:r w:rsidR="00842C11">
        <w:rPr>
          <w:lang w:eastAsia="zh-CN"/>
        </w:rPr>
        <w:t xml:space="preserve">copyrighted </w:t>
      </w:r>
      <w:r>
        <w:rPr>
          <w:rFonts w:hint="eastAsia"/>
          <w:lang w:eastAsia="zh-CN"/>
        </w:rPr>
        <w:t>w</w:t>
      </w:r>
      <w:r>
        <w:t>ork.</w:t>
      </w:r>
      <w:r w:rsidR="00374027">
        <w:rPr>
          <w:rStyle w:val="FootnoteReference"/>
        </w:rPr>
        <w:footnoteReference w:id="2"/>
      </w:r>
      <w:r>
        <w:t xml:space="preserve"> In UK copyright law they commonly include the right to be identified as author, the right to object to derogatory treatment, the right not to have a work falsely attributed, and a limited privacy right for certain commissioned photographs and films.</w:t>
      </w:r>
      <w:r w:rsidR="00112493">
        <w:rPr>
          <w:rStyle w:val="FootnoteReference"/>
        </w:rPr>
        <w:footnoteReference w:id="3"/>
      </w:r>
      <w:r>
        <w:t xml:space="preserve"> These rights </w:t>
      </w:r>
      <w:r w:rsidR="00AC71B1">
        <w:t>protect</w:t>
      </w:r>
      <w:r>
        <w:t xml:space="preserve"> </w:t>
      </w:r>
      <w:r w:rsidR="00EE452F">
        <w:t>reputation</w:t>
      </w:r>
      <w:r w:rsidR="00EE452F">
        <w:rPr>
          <w:rStyle w:val="FootnoteReference"/>
        </w:rPr>
        <w:footnoteReference w:id="4"/>
      </w:r>
      <w:r w:rsidR="00EE452F">
        <w:t xml:space="preserve"> and </w:t>
      </w:r>
      <w:r>
        <w:t>dignity</w:t>
      </w:r>
      <w:r w:rsidR="00C54B46">
        <w:rPr>
          <w:rStyle w:val="FootnoteReference"/>
        </w:rPr>
        <w:footnoteReference w:id="5"/>
      </w:r>
      <w:r w:rsidR="00C54B46">
        <w:t xml:space="preserve"> and</w:t>
      </w:r>
      <w:r>
        <w:t xml:space="preserve"> rather than market value. They are generally non-transferable,</w:t>
      </w:r>
      <w:r w:rsidR="00704141">
        <w:rPr>
          <w:rStyle w:val="FootnoteReference"/>
        </w:rPr>
        <w:footnoteReference w:id="6"/>
      </w:r>
      <w:r>
        <w:t xml:space="preserve"> although they may be waived,</w:t>
      </w:r>
      <w:r w:rsidR="00704141">
        <w:rPr>
          <w:rStyle w:val="FootnoteReference"/>
        </w:rPr>
        <w:footnoteReference w:id="7"/>
      </w:r>
      <w:r>
        <w:t xml:space="preserve"> and some require prior assertion to be enforceable.</w:t>
      </w:r>
      <w:r w:rsidR="00704141">
        <w:rPr>
          <w:rStyle w:val="FootnoteReference"/>
        </w:rPr>
        <w:footnoteReference w:id="8"/>
      </w:r>
      <w:r>
        <w:t xml:space="preserve"> Their remedies </w:t>
      </w:r>
      <w:r w:rsidR="009871BF">
        <w:t>are</w:t>
      </w:r>
      <w:r>
        <w:t xml:space="preserve"> </w:t>
      </w:r>
      <w:r w:rsidR="009871BF">
        <w:t xml:space="preserve">directed at </w:t>
      </w:r>
      <w:r>
        <w:t>reputational harm and misrepresentation.</w:t>
      </w:r>
      <w:r w:rsidR="000D3A6F">
        <w:rPr>
          <w:rStyle w:val="FootnoteReference"/>
        </w:rPr>
        <w:footnoteReference w:id="9"/>
      </w:r>
    </w:p>
    <w:p w14:paraId="360C7F35" w14:textId="77777777" w:rsidR="009E344A" w:rsidRDefault="009E344A" w:rsidP="00E856BE">
      <w:pPr>
        <w:rPr>
          <w:lang w:eastAsia="zh-CN"/>
        </w:rPr>
      </w:pPr>
    </w:p>
    <w:p w14:paraId="02EB6604" w14:textId="2E11B707" w:rsidR="009E344A" w:rsidRDefault="009E344A" w:rsidP="004B11DC">
      <w:pPr>
        <w:pStyle w:val="Heading2"/>
      </w:pPr>
      <w:bookmarkStart w:id="4" w:name="_Toc225453990"/>
      <w:r>
        <w:t xml:space="preserve">2.2 </w:t>
      </w:r>
      <w:r w:rsidR="00EE2A07">
        <w:t>Economic Rights</w:t>
      </w:r>
      <w:bookmarkEnd w:id="4"/>
    </w:p>
    <w:p w14:paraId="533011CC" w14:textId="42E5B9EF" w:rsidR="0012006E" w:rsidRPr="00ED6012" w:rsidRDefault="008F7DBD" w:rsidP="00ED6012">
      <w:pPr>
        <w:rPr>
          <w:lang w:eastAsia="zh-CN"/>
        </w:rPr>
      </w:pPr>
      <w:r>
        <w:t>Economic rights are the exclusive rights that allow the copyright owner to control and monetise exploitation of a protected work.</w:t>
      </w:r>
      <w:r w:rsidR="00EB06F4">
        <w:rPr>
          <w:rStyle w:val="FootnoteReference"/>
        </w:rPr>
        <w:footnoteReference w:id="10"/>
      </w:r>
      <w:r>
        <w:t xml:space="preserve"> In UK law they include rights of copying, issuing copies to the public, rental and lending, public performance, communication to the public, and making adaptations.</w:t>
      </w:r>
      <w:r w:rsidR="002951A2">
        <w:rPr>
          <w:rStyle w:val="FootnoteReference"/>
        </w:rPr>
        <w:footnoteReference w:id="11"/>
      </w:r>
      <w:r>
        <w:t xml:space="preserve"> These rights are proprietary</w:t>
      </w:r>
      <w:r w:rsidR="00F604E5">
        <w:t xml:space="preserve">, </w:t>
      </w:r>
      <w:r w:rsidR="001A0071">
        <w:t>commercially significant,</w:t>
      </w:r>
      <w:r>
        <w:t xml:space="preserve"> and transferable, so they can be assigned or licensed to </w:t>
      </w:r>
      <w:r w:rsidR="00E22CA9">
        <w:t>other people</w:t>
      </w:r>
      <w:r>
        <w:t>.</w:t>
      </w:r>
      <w:r w:rsidR="007D3ECF">
        <w:rPr>
          <w:rStyle w:val="FootnoteReference"/>
        </w:rPr>
        <w:footnoteReference w:id="12"/>
      </w:r>
      <w:r>
        <w:t xml:space="preserve"> Their function is to </w:t>
      </w:r>
      <w:r w:rsidR="00163006">
        <w:t>enable the functioning of markets for creative</w:t>
      </w:r>
      <w:r w:rsidR="00D376AF">
        <w:t xml:space="preserve"> works </w:t>
      </w:r>
      <w:r w:rsidR="00056A1B">
        <w:rPr>
          <w:rFonts w:hint="eastAsia"/>
          <w:lang w:eastAsia="zh-CN"/>
        </w:rPr>
        <w:t>a</w:t>
      </w:r>
      <w:r w:rsidR="00056A1B">
        <w:t xml:space="preserve">nd </w:t>
      </w:r>
      <w:r w:rsidR="00D610DE">
        <w:t>support</w:t>
      </w:r>
      <w:r w:rsidR="00F3083E">
        <w:t xml:space="preserve"> the creation of </w:t>
      </w:r>
      <w:r w:rsidR="00AB29F6">
        <w:rPr>
          <w:lang w:eastAsia="zh-CN"/>
        </w:rPr>
        <w:t xml:space="preserve">valuable </w:t>
      </w:r>
      <w:r w:rsidR="002F1821">
        <w:rPr>
          <w:lang w:eastAsia="zh-CN"/>
        </w:rPr>
        <w:t xml:space="preserve">creative </w:t>
      </w:r>
      <w:r w:rsidR="00AB29F6">
        <w:rPr>
          <w:rFonts w:eastAsia="Microsoft YaHei" w:cs="Times New Roman"/>
          <w:lang w:eastAsia="zh-CN"/>
        </w:rPr>
        <w:t>outputs</w:t>
      </w:r>
      <w:r>
        <w:rPr>
          <w:rFonts w:hint="eastAsia"/>
          <w:lang w:eastAsia="zh-CN"/>
        </w:rPr>
        <w:t>.</w:t>
      </w:r>
      <w:r w:rsidR="00991C7F">
        <w:rPr>
          <w:rStyle w:val="FootnoteReference"/>
        </w:rPr>
        <w:footnoteReference w:id="13"/>
      </w:r>
      <w:r>
        <w:t xml:space="preserve"> Remedies focus on stopping unauthorised use and recovering financial losses.</w:t>
      </w:r>
      <w:r w:rsidR="008F53D9">
        <w:rPr>
          <w:rStyle w:val="FootnoteReference"/>
        </w:rPr>
        <w:footnoteReference w:id="14"/>
      </w:r>
    </w:p>
    <w:p w14:paraId="4804CCF7" w14:textId="77777777" w:rsidR="00D13316" w:rsidRDefault="00D13316" w:rsidP="00E856BE">
      <w:pPr>
        <w:rPr>
          <w:rFonts w:cs="Times New Roman"/>
          <w:lang w:eastAsia="zh-CN"/>
        </w:rPr>
      </w:pPr>
    </w:p>
    <w:p w14:paraId="32ECC53D" w14:textId="77777777" w:rsidR="00ED6012" w:rsidRDefault="00ED6012" w:rsidP="00A306BF">
      <w:pPr>
        <w:pStyle w:val="Heading1"/>
        <w:rPr>
          <w:lang w:eastAsia="zh-CN"/>
        </w:rPr>
        <w:sectPr w:rsidR="00ED6012" w:rsidSect="00027B3B">
          <w:headerReference w:type="default" r:id="rId18"/>
          <w:pgSz w:w="11906" w:h="16838"/>
          <w:pgMar w:top="1440" w:right="1440" w:bottom="1440" w:left="1440" w:header="708" w:footer="708" w:gutter="0"/>
          <w:cols w:space="708"/>
          <w:docGrid w:linePitch="360"/>
        </w:sectPr>
      </w:pPr>
    </w:p>
    <w:p w14:paraId="7F402D2B" w14:textId="3415F0F8" w:rsidR="00A306BF" w:rsidRPr="00A306BF" w:rsidRDefault="00A306BF" w:rsidP="00A306BF">
      <w:pPr>
        <w:pStyle w:val="Heading1"/>
        <w:rPr>
          <w:lang w:eastAsia="zh-CN"/>
        </w:rPr>
      </w:pPr>
      <w:bookmarkStart w:id="5" w:name="_Toc225453991"/>
      <w:r w:rsidRPr="00A306BF">
        <w:rPr>
          <w:lang w:eastAsia="zh-CN"/>
        </w:rPr>
        <w:lastRenderedPageBreak/>
        <w:t xml:space="preserve">3. </w:t>
      </w:r>
      <w:r w:rsidR="003D03B1">
        <w:t>Moral Rights in the Digital Environment</w:t>
      </w:r>
      <w:bookmarkEnd w:id="5"/>
    </w:p>
    <w:p w14:paraId="7E4F40FE" w14:textId="1024C482" w:rsidR="00A306BF" w:rsidRPr="004B11DC" w:rsidRDefault="00277C01" w:rsidP="000B4661">
      <w:pPr>
        <w:pStyle w:val="Heading2"/>
      </w:pPr>
      <w:bookmarkStart w:id="6" w:name="_Toc225453992"/>
      <w:r w:rsidRPr="004B11DC">
        <w:t>3.1 The Right of Attribution and Digital Dissemination</w:t>
      </w:r>
      <w:bookmarkEnd w:id="6"/>
    </w:p>
    <w:p w14:paraId="4ED88033" w14:textId="2106E2E2" w:rsidR="00BD4A9B" w:rsidRPr="00552FD8" w:rsidRDefault="00A8775F" w:rsidP="00BD4A9B">
      <w:pPr>
        <w:rPr>
          <w:rFonts w:cs="Times New Roman"/>
          <w:lang w:eastAsia="zh-CN"/>
        </w:rPr>
      </w:pPr>
      <w:r w:rsidRPr="00F13AC7">
        <w:rPr>
          <w:rFonts w:cs="Times New Roman"/>
          <w:lang w:eastAsia="zh-CN"/>
        </w:rPr>
        <w:t xml:space="preserve">Digital dissemination heightens the importance of attribution because online sharing is frictionless while </w:t>
      </w:r>
      <w:r w:rsidRPr="000936B3">
        <w:rPr>
          <w:rFonts w:cs="Times New Roman"/>
          <w:lang w:eastAsia="zh-CN"/>
        </w:rPr>
        <w:t>authorship is easily obscured</w:t>
      </w:r>
      <w:r w:rsidR="00BD4A9B" w:rsidRPr="000936B3">
        <w:rPr>
          <w:rFonts w:cs="Times New Roman"/>
          <w:lang w:eastAsia="zh-CN"/>
        </w:rPr>
        <w:t xml:space="preserve">. </w:t>
      </w:r>
      <w:r w:rsidR="000936B3" w:rsidRPr="000936B3">
        <w:t>Works often circulate beyond their original setting, so audiences may encounter them without clear indication of who created them or where the work first appeared.</w:t>
      </w:r>
      <w:r w:rsidR="00BD4A9B" w:rsidRPr="00BD4A9B">
        <w:rPr>
          <w:rFonts w:cs="Times New Roman"/>
          <w:lang w:eastAsia="zh-CN"/>
        </w:rPr>
        <w:t xml:space="preserve"> The right of attribution</w:t>
      </w:r>
      <w:r w:rsidR="006E3CE4" w:rsidRPr="00375511">
        <w:rPr>
          <w:rFonts w:cs="Times New Roman" w:hint="eastAsia"/>
          <w:lang w:eastAsia="zh-CN"/>
        </w:rPr>
        <w:t xml:space="preserve"> </w:t>
      </w:r>
      <w:r w:rsidR="006E3CE4" w:rsidRPr="00375511">
        <w:rPr>
          <w:rFonts w:cs="Times New Roman"/>
          <w:lang w:eastAsia="zh-CN"/>
        </w:rPr>
        <w:t>help</w:t>
      </w:r>
      <w:r w:rsidR="00F83D48">
        <w:rPr>
          <w:rFonts w:cs="Times New Roman"/>
          <w:lang w:eastAsia="zh-CN"/>
        </w:rPr>
        <w:t>s</w:t>
      </w:r>
      <w:r w:rsidR="0014112E" w:rsidRPr="00375511">
        <w:rPr>
          <w:rFonts w:cs="Times New Roman" w:hint="eastAsia"/>
          <w:lang w:eastAsia="zh-CN"/>
        </w:rPr>
        <w:t xml:space="preserve"> </w:t>
      </w:r>
      <w:r w:rsidR="0014112E" w:rsidRPr="00375511">
        <w:rPr>
          <w:rFonts w:cs="Times New Roman"/>
          <w:lang w:eastAsia="zh-CN"/>
        </w:rPr>
        <w:t xml:space="preserve">preserve </w:t>
      </w:r>
      <w:r w:rsidR="00A87B35" w:rsidRPr="00375511">
        <w:rPr>
          <w:rFonts w:cs="Times New Roman"/>
          <w:lang w:eastAsia="zh-CN"/>
        </w:rPr>
        <w:t>‘</w:t>
      </w:r>
      <w:r w:rsidR="00116253" w:rsidRPr="00375511">
        <w:rPr>
          <w:rFonts w:cs="Times New Roman"/>
          <w:lang w:eastAsia="zh-CN"/>
        </w:rPr>
        <w:t>author recognition</w:t>
      </w:r>
      <w:r w:rsidR="00A87B35" w:rsidRPr="00375511">
        <w:rPr>
          <w:rFonts w:cs="Times New Roman"/>
          <w:lang w:eastAsia="zh-CN"/>
        </w:rPr>
        <w:t>’</w:t>
      </w:r>
      <w:r w:rsidR="002718D3">
        <w:rPr>
          <w:rFonts w:cs="Times New Roman"/>
          <w:lang w:eastAsia="zh-CN"/>
        </w:rPr>
        <w:t xml:space="preserve"> </w:t>
      </w:r>
      <w:r w:rsidR="002718D3" w:rsidRPr="002718D3">
        <w:rPr>
          <w:rFonts w:cs="Times New Roman"/>
          <w:lang w:eastAsia="zh-CN"/>
        </w:rPr>
        <w:t>in those conditions</w:t>
      </w:r>
      <w:r w:rsidR="00BD4A9B" w:rsidRPr="00BD4A9B">
        <w:rPr>
          <w:rFonts w:cs="Times New Roman"/>
          <w:lang w:eastAsia="zh-CN"/>
        </w:rPr>
        <w:t>.</w:t>
      </w:r>
      <w:r w:rsidR="002718D3">
        <w:rPr>
          <w:rStyle w:val="FootnoteReference"/>
          <w:rFonts w:cs="Times New Roman"/>
          <w:lang w:eastAsia="zh-CN"/>
        </w:rPr>
        <w:footnoteReference w:id="15"/>
      </w:r>
      <w:r w:rsidR="00BD4A9B" w:rsidRPr="00BD4A9B">
        <w:rPr>
          <w:rFonts w:cs="Times New Roman"/>
          <w:lang w:eastAsia="zh-CN"/>
        </w:rPr>
        <w:t xml:space="preserve"> </w:t>
      </w:r>
      <w:r w:rsidR="00B96B07" w:rsidRPr="00B96B07">
        <w:rPr>
          <w:rFonts w:cs="Times New Roman"/>
          <w:lang w:eastAsia="zh-CN"/>
        </w:rPr>
        <w:t>In the UK, however, the right often depends on assertion</w:t>
      </w:r>
      <w:r w:rsidR="00883CF3">
        <w:rPr>
          <w:rStyle w:val="FootnoteReference"/>
          <w:rFonts w:cs="Times New Roman"/>
          <w:lang w:eastAsia="zh-CN"/>
        </w:rPr>
        <w:footnoteReference w:id="16"/>
      </w:r>
      <w:r w:rsidR="00BD4A9B" w:rsidRPr="00BD4A9B">
        <w:rPr>
          <w:rFonts w:cs="Times New Roman"/>
          <w:lang w:eastAsia="zh-CN"/>
        </w:rPr>
        <w:t xml:space="preserve"> and </w:t>
      </w:r>
      <w:r w:rsidR="001633F6">
        <w:rPr>
          <w:rFonts w:cs="Times New Roman"/>
          <w:lang w:eastAsia="zh-CN"/>
        </w:rPr>
        <w:t>may</w:t>
      </w:r>
      <w:r w:rsidR="00BD4A9B" w:rsidRPr="00BD4A9B">
        <w:rPr>
          <w:rFonts w:cs="Times New Roman"/>
          <w:lang w:eastAsia="zh-CN"/>
        </w:rPr>
        <w:t xml:space="preserve"> be waived,</w:t>
      </w:r>
      <w:r w:rsidR="0083694F">
        <w:rPr>
          <w:rStyle w:val="FootnoteReference"/>
          <w:rFonts w:cs="Times New Roman"/>
          <w:lang w:eastAsia="zh-CN"/>
        </w:rPr>
        <w:footnoteReference w:id="17"/>
      </w:r>
      <w:r w:rsidR="00BD4A9B" w:rsidRPr="00BD4A9B">
        <w:rPr>
          <w:rFonts w:cs="Times New Roman"/>
          <w:lang w:eastAsia="zh-CN"/>
        </w:rPr>
        <w:t xml:space="preserve"> </w:t>
      </w:r>
      <w:r w:rsidR="001C4473" w:rsidRPr="001C4473">
        <w:rPr>
          <w:rFonts w:cs="Times New Roman"/>
          <w:lang w:eastAsia="zh-CN"/>
        </w:rPr>
        <w:t>which makes online circulation especially challenging</w:t>
      </w:r>
      <w:r w:rsidR="00BD4A9B" w:rsidRPr="00BD4A9B">
        <w:rPr>
          <w:rFonts w:cs="Times New Roman"/>
          <w:lang w:eastAsia="zh-CN"/>
        </w:rPr>
        <w:t xml:space="preserve">. When a work </w:t>
      </w:r>
      <w:r w:rsidR="00D33A72">
        <w:rPr>
          <w:rFonts w:cs="Times New Roman"/>
          <w:lang w:eastAsia="zh-CN"/>
        </w:rPr>
        <w:t>is disseminated online</w:t>
      </w:r>
      <w:r w:rsidR="00BD4A9B" w:rsidRPr="00BD4A9B">
        <w:rPr>
          <w:rFonts w:cs="Times New Roman"/>
          <w:lang w:eastAsia="zh-CN"/>
        </w:rPr>
        <w:t xml:space="preserve">, </w:t>
      </w:r>
      <w:r w:rsidR="003569DB">
        <w:rPr>
          <w:rFonts w:cs="Times New Roman"/>
          <w:lang w:eastAsia="zh-CN"/>
        </w:rPr>
        <w:t>attribution</w:t>
      </w:r>
      <w:r w:rsidR="00BD4A9B" w:rsidRPr="00BD4A9B">
        <w:rPr>
          <w:rFonts w:cs="Times New Roman"/>
          <w:lang w:eastAsia="zh-CN"/>
        </w:rPr>
        <w:t xml:space="preserve"> </w:t>
      </w:r>
      <w:r w:rsidR="0087605E" w:rsidRPr="00552FD8">
        <w:rPr>
          <w:rFonts w:cs="Times New Roman"/>
          <w:lang w:eastAsia="zh-CN"/>
        </w:rPr>
        <w:t>may</w:t>
      </w:r>
      <w:r w:rsidR="00BD4A9B" w:rsidRPr="00552FD8">
        <w:rPr>
          <w:rFonts w:cs="Times New Roman"/>
          <w:lang w:eastAsia="zh-CN"/>
        </w:rPr>
        <w:t xml:space="preserve"> disappear.</w:t>
      </w:r>
      <w:r w:rsidR="00617F20" w:rsidRPr="00552FD8">
        <w:rPr>
          <w:rStyle w:val="FootnoteReference"/>
          <w:rFonts w:cs="Times New Roman"/>
          <w:lang w:eastAsia="zh-CN"/>
        </w:rPr>
        <w:footnoteReference w:id="18"/>
      </w:r>
      <w:r w:rsidR="00BD4A9B" w:rsidRPr="00552FD8">
        <w:rPr>
          <w:rFonts w:cs="Times New Roman"/>
          <w:lang w:eastAsia="zh-CN"/>
        </w:rPr>
        <w:t xml:space="preserve"> The loss </w:t>
      </w:r>
      <w:r w:rsidR="00552FD8" w:rsidRPr="00552FD8">
        <w:rPr>
          <w:rFonts w:cs="Times New Roman"/>
          <w:lang w:eastAsia="zh-CN"/>
        </w:rPr>
        <w:t>is practical as well as symbolic, because recognition can support income, networks, future commissions, and longer-term professional visibility.</w:t>
      </w:r>
      <w:r w:rsidR="0015735C" w:rsidRPr="00552FD8">
        <w:rPr>
          <w:rStyle w:val="FootnoteReference"/>
        </w:rPr>
        <w:footnoteReference w:id="19"/>
      </w:r>
    </w:p>
    <w:p w14:paraId="227A6147" w14:textId="77777777" w:rsidR="00BD4A9B" w:rsidRPr="00BD4A9B" w:rsidRDefault="00BD4A9B" w:rsidP="00BD4A9B">
      <w:pPr>
        <w:rPr>
          <w:rFonts w:cs="Times New Roman"/>
          <w:lang w:eastAsia="zh-CN"/>
        </w:rPr>
      </w:pPr>
    </w:p>
    <w:p w14:paraId="6F13EEA8" w14:textId="294E13CC" w:rsidR="00CA4E1D" w:rsidRPr="00CA4E1D" w:rsidRDefault="00BD4A9B" w:rsidP="00CA4E1D">
      <w:pPr>
        <w:rPr>
          <w:rFonts w:cs="Times New Roman"/>
          <w:lang w:eastAsia="zh-CN"/>
        </w:rPr>
      </w:pPr>
      <w:r w:rsidRPr="00BD4A9B">
        <w:rPr>
          <w:rFonts w:cs="Times New Roman"/>
          <w:lang w:eastAsia="zh-CN"/>
        </w:rPr>
        <w:t xml:space="preserve">Attribution failures often begin with stripping. Metadata may be </w:t>
      </w:r>
      <w:r w:rsidR="009403E1">
        <w:rPr>
          <w:rFonts w:cs="Times New Roman"/>
          <w:lang w:eastAsia="zh-CN"/>
        </w:rPr>
        <w:t xml:space="preserve">lost </w:t>
      </w:r>
      <w:r w:rsidR="00E26DA1">
        <w:rPr>
          <w:rFonts w:cs="Times New Roman"/>
          <w:lang w:eastAsia="zh-CN"/>
        </w:rPr>
        <w:t>during</w:t>
      </w:r>
      <w:r w:rsidR="00FF6D92">
        <w:rPr>
          <w:rFonts w:cs="Times New Roman" w:hint="eastAsia"/>
          <w:lang w:eastAsia="zh-CN"/>
        </w:rPr>
        <w:t xml:space="preserve"> </w:t>
      </w:r>
      <w:r w:rsidR="00FF6D92">
        <w:rPr>
          <w:rFonts w:cs="Times New Roman"/>
          <w:lang w:eastAsia="zh-CN"/>
        </w:rPr>
        <w:t>file proces</w:t>
      </w:r>
      <w:r w:rsidR="00E26DA1">
        <w:rPr>
          <w:rFonts w:cs="Times New Roman"/>
          <w:lang w:eastAsia="zh-CN"/>
        </w:rPr>
        <w:t>sing</w:t>
      </w:r>
      <w:r w:rsidR="00B86CCB">
        <w:rPr>
          <w:rFonts w:cs="Times New Roman"/>
          <w:lang w:eastAsia="zh-CN"/>
        </w:rPr>
        <w:t>, such as</w:t>
      </w:r>
      <w:r w:rsidR="003D0117">
        <w:rPr>
          <w:rFonts w:cs="Times New Roman" w:hint="eastAsia"/>
          <w:lang w:eastAsia="zh-CN"/>
        </w:rPr>
        <w:t xml:space="preserve"> </w:t>
      </w:r>
      <w:r w:rsidR="00DF55C0">
        <w:rPr>
          <w:rFonts w:cs="Times New Roman"/>
          <w:lang w:eastAsia="zh-CN"/>
        </w:rPr>
        <w:t>compression</w:t>
      </w:r>
      <w:r w:rsidR="0028313D">
        <w:rPr>
          <w:rStyle w:val="FootnoteReference"/>
          <w:rFonts w:cs="Times New Roman"/>
          <w:lang w:eastAsia="zh-CN"/>
        </w:rPr>
        <w:footnoteReference w:id="20"/>
      </w:r>
      <w:r w:rsidR="00DF55C0">
        <w:rPr>
          <w:rFonts w:cs="Times New Roman" w:hint="eastAsia"/>
          <w:lang w:eastAsia="zh-CN"/>
        </w:rPr>
        <w:t xml:space="preserve"> </w:t>
      </w:r>
      <w:r w:rsidR="0028313D">
        <w:rPr>
          <w:rFonts w:cs="Times New Roman"/>
          <w:lang w:eastAsia="zh-CN"/>
        </w:rPr>
        <w:t xml:space="preserve">and </w:t>
      </w:r>
      <w:r w:rsidR="00B86CCB">
        <w:rPr>
          <w:rFonts w:cs="Times New Roman" w:hint="eastAsia"/>
          <w:lang w:eastAsia="zh-CN"/>
        </w:rPr>
        <w:t>f</w:t>
      </w:r>
      <w:r w:rsidR="00B86CCB">
        <w:rPr>
          <w:rFonts w:cs="Times New Roman"/>
          <w:lang w:eastAsia="zh-CN"/>
        </w:rPr>
        <w:t>ormat conversion</w:t>
      </w:r>
      <w:r w:rsidR="0028313D">
        <w:rPr>
          <w:rFonts w:cs="Times New Roman"/>
          <w:lang w:eastAsia="zh-CN"/>
        </w:rPr>
        <w:t>.</w:t>
      </w:r>
      <w:r w:rsidR="00714887">
        <w:rPr>
          <w:rStyle w:val="FootnoteReference"/>
          <w:rFonts w:cs="Times New Roman"/>
          <w:lang w:eastAsia="zh-CN"/>
        </w:rPr>
        <w:footnoteReference w:id="21"/>
      </w:r>
      <w:r w:rsidRPr="00BD4A9B">
        <w:rPr>
          <w:rFonts w:cs="Times New Roman"/>
          <w:lang w:eastAsia="zh-CN"/>
        </w:rPr>
        <w:t xml:space="preserve"> </w:t>
      </w:r>
      <w:r w:rsidR="00AC5072" w:rsidRPr="00AC5072">
        <w:t>Even when authorship remains on a platform, interface design may hide it by burying credits in captions, menus, or secondary screens.</w:t>
      </w:r>
      <w:r w:rsidRPr="00AC5072">
        <w:rPr>
          <w:rFonts w:cs="Times New Roman"/>
          <w:lang w:eastAsia="zh-CN"/>
        </w:rPr>
        <w:t xml:space="preserve"> </w:t>
      </w:r>
      <w:r w:rsidR="00B17865" w:rsidRPr="00AC5072">
        <w:rPr>
          <w:rFonts w:cs="Times New Roman"/>
          <w:lang w:eastAsia="zh-CN"/>
        </w:rPr>
        <w:t>Social media</w:t>
      </w:r>
      <w:r w:rsidRPr="00AC5072">
        <w:rPr>
          <w:rFonts w:cs="Times New Roman"/>
          <w:lang w:eastAsia="zh-CN"/>
        </w:rPr>
        <w:t xml:space="preserve"> </w:t>
      </w:r>
      <w:r w:rsidR="005A52DE" w:rsidRPr="005A52DE">
        <w:rPr>
          <w:rFonts w:cs="Times New Roman"/>
          <w:lang w:eastAsia="zh-CN"/>
        </w:rPr>
        <w:t>prioritises</w:t>
      </w:r>
      <w:r w:rsidR="005A52DE">
        <w:rPr>
          <w:rFonts w:cs="Times New Roman"/>
          <w:lang w:eastAsia="zh-CN"/>
        </w:rPr>
        <w:t xml:space="preserve"> </w:t>
      </w:r>
      <w:r w:rsidR="00F04A83">
        <w:rPr>
          <w:rFonts w:cs="Times New Roman"/>
          <w:lang w:eastAsia="zh-CN"/>
        </w:rPr>
        <w:t>circulation</w:t>
      </w:r>
      <w:r w:rsidR="00E40AD6">
        <w:rPr>
          <w:rFonts w:cs="Times New Roman"/>
          <w:lang w:eastAsia="zh-CN"/>
        </w:rPr>
        <w:t xml:space="preserve"> of </w:t>
      </w:r>
      <w:r w:rsidR="002D5F55">
        <w:rPr>
          <w:rFonts w:cs="Times New Roman"/>
          <w:lang w:eastAsia="zh-CN"/>
        </w:rPr>
        <w:t>content</w:t>
      </w:r>
      <w:r w:rsidR="00AE507B">
        <w:rPr>
          <w:rFonts w:eastAsia="Microsoft YaHei" w:cs="Times New Roman"/>
          <w:lang w:eastAsia="zh-CN"/>
        </w:rPr>
        <w:t>;</w:t>
      </w:r>
      <w:r w:rsidR="00E70A3B">
        <w:rPr>
          <w:rStyle w:val="FootnoteReference"/>
          <w:rFonts w:cs="Times New Roman"/>
          <w:lang w:eastAsia="zh-CN"/>
        </w:rPr>
        <w:footnoteReference w:id="22"/>
      </w:r>
      <w:r w:rsidR="00E70A3B">
        <w:rPr>
          <w:rFonts w:cs="Times New Roman"/>
          <w:lang w:eastAsia="zh-CN"/>
        </w:rPr>
        <w:t xml:space="preserve"> </w:t>
      </w:r>
      <w:r w:rsidR="006B31B8" w:rsidRPr="006B31B8">
        <w:rPr>
          <w:rFonts w:cs="Times New Roman"/>
          <w:lang w:eastAsia="zh-CN"/>
        </w:rPr>
        <w:t xml:space="preserve">so </w:t>
      </w:r>
      <w:r w:rsidR="006B31B8" w:rsidRPr="00CA4E1D">
        <w:rPr>
          <w:rFonts w:cs="Times New Roman"/>
          <w:lang w:eastAsia="zh-CN"/>
        </w:rPr>
        <w:t>each repost can further weaken visible credit</w:t>
      </w:r>
      <w:r w:rsidRPr="00CA4E1D">
        <w:rPr>
          <w:rFonts w:cs="Times New Roman"/>
          <w:lang w:eastAsia="zh-CN"/>
        </w:rPr>
        <w:t xml:space="preserve">. </w:t>
      </w:r>
      <w:r w:rsidR="00CA4E1D" w:rsidRPr="00CA4E1D">
        <w:rPr>
          <w:rFonts w:cs="Times New Roman"/>
          <w:lang w:eastAsia="zh-CN"/>
        </w:rPr>
        <w:t>This turns attribution into a collective action problem: users treat credit as optional, and platforms prioritise engagement over authorship. Moral rights matter here because they frame attribution as an obligation rather than mere etiquette.</w:t>
      </w:r>
    </w:p>
    <w:p w14:paraId="6909A1B6" w14:textId="6AB7887B" w:rsidR="00BD4A9B" w:rsidRPr="00BD4A9B" w:rsidRDefault="00BD4A9B" w:rsidP="00BD4A9B">
      <w:pPr>
        <w:rPr>
          <w:rFonts w:cs="Times New Roman"/>
          <w:lang w:eastAsia="zh-CN"/>
        </w:rPr>
      </w:pPr>
    </w:p>
    <w:p w14:paraId="05378CD7" w14:textId="2CA39A62" w:rsidR="000E0C44" w:rsidRPr="000E0C44" w:rsidRDefault="000E0C44" w:rsidP="000E0C44">
      <w:pPr>
        <w:rPr>
          <w:rFonts w:cs="Times New Roman"/>
          <w:lang w:eastAsia="zh-CN"/>
        </w:rPr>
      </w:pPr>
      <w:r w:rsidRPr="000E0C44">
        <w:rPr>
          <w:rFonts w:cs="Times New Roman"/>
          <w:lang w:eastAsia="zh-CN"/>
        </w:rPr>
        <w:t xml:space="preserve">The assertion requirement also shapes digital relevance. Print publication usually supports attribution through standard credit lines and editorial control. Online, by contrast, works may be uploaded by third parties, scraped, or embedded without the author’s involvement. Creators may discover uncredited use only after wide circulation, making </w:t>
      </w:r>
      <w:r w:rsidRPr="00265075">
        <w:rPr>
          <w:rFonts w:cs="Times New Roman"/>
          <w:i/>
          <w:iCs/>
          <w:lang w:eastAsia="zh-CN"/>
        </w:rPr>
        <w:t>ex ante</w:t>
      </w:r>
      <w:r w:rsidRPr="000E0C44">
        <w:rPr>
          <w:rFonts w:cs="Times New Roman"/>
          <w:lang w:eastAsia="zh-CN"/>
        </w:rPr>
        <w:t xml:space="preserve"> assertion difficult and leaving them to react after reputational and commercial effects have already accumulated. Yet digital systems can also reduce that problem. Persistent author fields, verified identifiers, and default credit prompts could better align platform design with legal expectations, while also making compliance easier for ordinary users who share content quickly.</w:t>
      </w:r>
    </w:p>
    <w:p w14:paraId="3936B2CD" w14:textId="77777777" w:rsidR="00BD4A9B" w:rsidRPr="00BD4A9B" w:rsidRDefault="00BD4A9B" w:rsidP="00BD4A9B">
      <w:pPr>
        <w:rPr>
          <w:rFonts w:cs="Times New Roman"/>
          <w:lang w:eastAsia="zh-CN"/>
        </w:rPr>
      </w:pPr>
    </w:p>
    <w:p w14:paraId="6F9FD1DF" w14:textId="255D6622" w:rsidR="007C6681" w:rsidRPr="007C6681" w:rsidRDefault="00FE7CAD" w:rsidP="007C6681">
      <w:pPr>
        <w:rPr>
          <w:rFonts w:cs="Times New Roman"/>
          <w:lang w:eastAsia="zh-CN"/>
        </w:rPr>
      </w:pPr>
      <w:r w:rsidRPr="00FE7CAD">
        <w:rPr>
          <w:rFonts w:cs="Times New Roman"/>
          <w:lang w:eastAsia="zh-CN"/>
        </w:rPr>
        <w:t>Attribution also affects discoverability and the credibility of creative markets</w:t>
      </w:r>
      <w:r w:rsidR="00BD4A9B" w:rsidRPr="00BD4A9B">
        <w:rPr>
          <w:rFonts w:cs="Times New Roman"/>
          <w:lang w:eastAsia="zh-CN"/>
        </w:rPr>
        <w:t xml:space="preserve">. When a work is shared without credit, audiences cannot easily trace it back to a source, </w:t>
      </w:r>
      <w:r w:rsidR="004945C4">
        <w:rPr>
          <w:rFonts w:cs="Times New Roman"/>
          <w:lang w:eastAsia="zh-CN"/>
        </w:rPr>
        <w:t xml:space="preserve">creating obstacles to </w:t>
      </w:r>
      <w:r w:rsidR="00BD4A9B" w:rsidRPr="007836FC">
        <w:rPr>
          <w:rFonts w:cs="Times New Roman"/>
          <w:lang w:eastAsia="zh-CN"/>
        </w:rPr>
        <w:t xml:space="preserve">lawful </w:t>
      </w:r>
      <w:r w:rsidR="004945C4">
        <w:rPr>
          <w:rFonts w:cs="Times New Roman"/>
          <w:lang w:eastAsia="zh-CN"/>
        </w:rPr>
        <w:t>use</w:t>
      </w:r>
      <w:r w:rsidR="00BD4A9B" w:rsidRPr="00BD4A9B">
        <w:rPr>
          <w:rFonts w:cs="Times New Roman"/>
          <w:lang w:eastAsia="zh-CN"/>
        </w:rPr>
        <w:t>.</w:t>
      </w:r>
      <w:r w:rsidR="001A6491">
        <w:rPr>
          <w:rStyle w:val="FootnoteReference"/>
          <w:rFonts w:cs="Times New Roman"/>
          <w:lang w:eastAsia="zh-CN"/>
        </w:rPr>
        <w:footnoteReference w:id="23"/>
      </w:r>
      <w:r w:rsidR="00BD4A9B" w:rsidRPr="00BD4A9B">
        <w:rPr>
          <w:rFonts w:cs="Times New Roman"/>
          <w:lang w:eastAsia="zh-CN"/>
        </w:rPr>
        <w:t xml:space="preserve"> Commissioning </w:t>
      </w:r>
      <w:r w:rsidR="00BD4A9B" w:rsidRPr="007C6681">
        <w:rPr>
          <w:rFonts w:cs="Times New Roman"/>
          <w:lang w:eastAsia="zh-CN"/>
        </w:rPr>
        <w:t xml:space="preserve">decisions </w:t>
      </w:r>
      <w:r w:rsidR="006A4D87" w:rsidRPr="007C6681">
        <w:rPr>
          <w:rFonts w:cs="Times New Roman"/>
          <w:lang w:eastAsia="zh-CN"/>
        </w:rPr>
        <w:t xml:space="preserve">may </w:t>
      </w:r>
      <w:r w:rsidR="00370432" w:rsidRPr="007C6681">
        <w:rPr>
          <w:rFonts w:cs="Times New Roman" w:hint="eastAsia"/>
          <w:lang w:eastAsia="zh-CN"/>
        </w:rPr>
        <w:t>d</w:t>
      </w:r>
      <w:r w:rsidR="00370432" w:rsidRPr="007C6681">
        <w:rPr>
          <w:rFonts w:cs="Times New Roman"/>
          <w:lang w:eastAsia="zh-CN"/>
        </w:rPr>
        <w:t xml:space="preserve">epend </w:t>
      </w:r>
      <w:r w:rsidR="00BD4A9B" w:rsidRPr="007C6681">
        <w:rPr>
          <w:rFonts w:cs="Times New Roman"/>
          <w:lang w:eastAsia="zh-CN"/>
        </w:rPr>
        <w:t>on visible authorship,</w:t>
      </w:r>
      <w:r w:rsidR="00A634E0" w:rsidRPr="007C6681">
        <w:rPr>
          <w:rStyle w:val="FootnoteReference"/>
          <w:rFonts w:cs="Times New Roman"/>
          <w:lang w:eastAsia="zh-CN"/>
        </w:rPr>
        <w:footnoteReference w:id="24"/>
      </w:r>
      <w:r w:rsidR="00BD4A9B" w:rsidRPr="007C6681">
        <w:rPr>
          <w:rFonts w:cs="Times New Roman"/>
          <w:lang w:eastAsia="zh-CN"/>
        </w:rPr>
        <w:t xml:space="preserve"> </w:t>
      </w:r>
      <w:r w:rsidR="007C6681" w:rsidRPr="007C6681">
        <w:rPr>
          <w:rFonts w:cs="Times New Roman"/>
          <w:lang w:eastAsia="zh-CN"/>
        </w:rPr>
        <w:t>so omitted credit can mean lost opportunities even where loss is difficult to prove. Online dissemination has a long tail: uncredited copies may remain searchable for years. A minor omission can therefore become a lasting structural disadvantage, which is why attribution should be treated as a default rather than a courtesy in digital environments.</w:t>
      </w:r>
    </w:p>
    <w:p w14:paraId="6389FC2E" w14:textId="61434BA0" w:rsidR="00AF75F6" w:rsidRDefault="00AF75F6" w:rsidP="00E856BE">
      <w:pPr>
        <w:rPr>
          <w:rFonts w:cs="Times New Roman"/>
          <w:lang w:eastAsia="zh-CN"/>
        </w:rPr>
      </w:pPr>
    </w:p>
    <w:p w14:paraId="55B0318B" w14:textId="2F5275C2" w:rsidR="00277C01" w:rsidRDefault="00182525" w:rsidP="000B4661">
      <w:pPr>
        <w:pStyle w:val="Heading2"/>
        <w:rPr>
          <w:rFonts w:cs="Times New Roman"/>
          <w:lang w:eastAsia="zh-CN"/>
        </w:rPr>
      </w:pPr>
      <w:bookmarkStart w:id="7" w:name="_Toc225453993"/>
      <w:r>
        <w:t>3.2 The Right of Integrity and Online Transformative Uses</w:t>
      </w:r>
      <w:bookmarkEnd w:id="7"/>
    </w:p>
    <w:p w14:paraId="2A5C6845" w14:textId="5D58B9BF" w:rsidR="0030731C" w:rsidRPr="0030731C" w:rsidRDefault="0030731C" w:rsidP="0030731C">
      <w:pPr>
        <w:rPr>
          <w:rFonts w:cs="Times New Roman"/>
          <w:lang w:eastAsia="zh-CN"/>
        </w:rPr>
      </w:pPr>
      <w:r w:rsidRPr="0030731C">
        <w:rPr>
          <w:rFonts w:cs="Times New Roman"/>
          <w:lang w:eastAsia="zh-CN"/>
        </w:rPr>
        <w:t xml:space="preserve">The right of integrity </w:t>
      </w:r>
      <w:r w:rsidR="00BC38DA">
        <w:rPr>
          <w:rFonts w:cs="Times New Roman"/>
          <w:lang w:eastAsia="zh-CN"/>
        </w:rPr>
        <w:t xml:space="preserve">is </w:t>
      </w:r>
      <w:r w:rsidRPr="0030731C">
        <w:rPr>
          <w:rFonts w:cs="Times New Roman"/>
          <w:lang w:eastAsia="zh-CN"/>
        </w:rPr>
        <w:t>significant online because digital culture invites alteration, excerpting and reframing. English law does not treat every modification as actionable: the treatment must be derogatory, meaning distortion, mutilation, or something otherwise prejudicial to the author’s honour or reputation.</w:t>
      </w:r>
      <w:r w:rsidR="008C4A16">
        <w:rPr>
          <w:rStyle w:val="FootnoteReference"/>
          <w:rFonts w:cs="Times New Roman"/>
          <w:lang w:eastAsia="zh-CN"/>
        </w:rPr>
        <w:footnoteReference w:id="25"/>
      </w:r>
      <w:r w:rsidRPr="0030731C">
        <w:rPr>
          <w:rFonts w:cs="Times New Roman"/>
          <w:lang w:eastAsia="zh-CN"/>
        </w:rPr>
        <w:t xml:space="preserve"> That matters </w:t>
      </w:r>
      <w:r w:rsidR="0035579E">
        <w:rPr>
          <w:rFonts w:cs="Times New Roman"/>
          <w:lang w:eastAsia="zh-CN"/>
        </w:rPr>
        <w:t>online</w:t>
      </w:r>
      <w:r w:rsidRPr="0030731C">
        <w:rPr>
          <w:rFonts w:cs="Times New Roman"/>
          <w:lang w:eastAsia="zh-CN"/>
        </w:rPr>
        <w:t>, where meaning change</w:t>
      </w:r>
      <w:r w:rsidR="00DE56D0">
        <w:rPr>
          <w:rFonts w:cs="Times New Roman"/>
          <w:lang w:eastAsia="zh-CN"/>
        </w:rPr>
        <w:t>s</w:t>
      </w:r>
      <w:r w:rsidRPr="0030731C">
        <w:rPr>
          <w:rFonts w:cs="Times New Roman"/>
          <w:lang w:eastAsia="zh-CN"/>
        </w:rPr>
        <w:t xml:space="preserve"> through captions, edits and reposts rather than destruction of the work itself. A photograph turned into a meme, a song sampled under new lyrics, or a text clipped into a hostile thread may </w:t>
      </w:r>
      <w:r w:rsidR="00B7103B">
        <w:rPr>
          <w:rFonts w:cs="Times New Roman"/>
          <w:lang w:eastAsia="zh-CN"/>
        </w:rPr>
        <w:t>alter</w:t>
      </w:r>
      <w:r w:rsidRPr="0030731C">
        <w:rPr>
          <w:rFonts w:cs="Times New Roman"/>
          <w:lang w:eastAsia="zh-CN"/>
        </w:rPr>
        <w:t xml:space="preserve"> how audiences perceive the creator. The digital environment intensifies integrity’s importance</w:t>
      </w:r>
      <w:r w:rsidR="00E551D5">
        <w:rPr>
          <w:rFonts w:cs="Times New Roman"/>
          <w:lang w:eastAsia="zh-CN"/>
        </w:rPr>
        <w:t xml:space="preserve"> for authors</w:t>
      </w:r>
      <w:r w:rsidRPr="0030731C">
        <w:rPr>
          <w:rFonts w:cs="Times New Roman"/>
          <w:lang w:eastAsia="zh-CN"/>
        </w:rPr>
        <w:t xml:space="preserve">, even though the </w:t>
      </w:r>
      <w:r w:rsidR="00E551D5">
        <w:rPr>
          <w:rFonts w:cs="Times New Roman"/>
          <w:lang w:eastAsia="zh-CN"/>
        </w:rPr>
        <w:t xml:space="preserve">legal </w:t>
      </w:r>
      <w:r w:rsidRPr="0030731C">
        <w:rPr>
          <w:rFonts w:cs="Times New Roman"/>
          <w:lang w:eastAsia="zh-CN"/>
        </w:rPr>
        <w:t>test remains narrow.</w:t>
      </w:r>
    </w:p>
    <w:p w14:paraId="3618E6B3" w14:textId="77777777" w:rsidR="0030731C" w:rsidRPr="0030731C" w:rsidRDefault="0030731C" w:rsidP="0030731C">
      <w:pPr>
        <w:rPr>
          <w:rFonts w:cs="Times New Roman"/>
          <w:lang w:eastAsia="zh-CN"/>
        </w:rPr>
      </w:pPr>
    </w:p>
    <w:p w14:paraId="2EDA0084" w14:textId="7071A215" w:rsidR="00773A76" w:rsidRPr="00E00504" w:rsidRDefault="00B70933" w:rsidP="00773A76">
      <w:pPr>
        <w:rPr>
          <w:rFonts w:eastAsia="Microsoft YaHei" w:cs="Times New Roman"/>
          <w:lang w:eastAsia="zh-CN"/>
        </w:rPr>
      </w:pPr>
      <w:r w:rsidRPr="00B70933">
        <w:rPr>
          <w:rFonts w:cs="Times New Roman"/>
          <w:lang w:eastAsia="zh-CN"/>
        </w:rPr>
        <w:lastRenderedPageBreak/>
        <w:t xml:space="preserve">The UK cases illustrate that narrowness. In </w:t>
      </w:r>
      <w:r w:rsidRPr="00B70933">
        <w:rPr>
          <w:rFonts w:cs="Times New Roman"/>
          <w:i/>
          <w:iCs/>
          <w:lang w:eastAsia="zh-CN"/>
        </w:rPr>
        <w:t>Confetti</w:t>
      </w:r>
      <w:r w:rsidRPr="00B70933">
        <w:rPr>
          <w:rFonts w:cs="Times New Roman"/>
          <w:lang w:eastAsia="zh-CN"/>
        </w:rPr>
        <w:t xml:space="preserve">, the court accepted that the integrity right could address remix </w:t>
      </w:r>
      <w:proofErr w:type="gramStart"/>
      <w:r w:rsidRPr="00B70933">
        <w:rPr>
          <w:rFonts w:cs="Times New Roman"/>
          <w:lang w:eastAsia="zh-CN"/>
        </w:rPr>
        <w:t>culture, yet</w:t>
      </w:r>
      <w:proofErr w:type="gramEnd"/>
      <w:r w:rsidRPr="00B70933">
        <w:rPr>
          <w:rFonts w:cs="Times New Roman"/>
          <w:lang w:eastAsia="zh-CN"/>
        </w:rPr>
        <w:t xml:space="preserve"> stressed that alteration alone was insufficient; there had to be </w:t>
      </w:r>
      <w:proofErr w:type="gramStart"/>
      <w:r w:rsidRPr="00B70933">
        <w:rPr>
          <w:rFonts w:cs="Times New Roman"/>
          <w:lang w:eastAsia="zh-CN"/>
        </w:rPr>
        <w:t>prejudice</w:t>
      </w:r>
      <w:proofErr w:type="gramEnd"/>
      <w:r w:rsidRPr="00B70933">
        <w:rPr>
          <w:rFonts w:cs="Times New Roman"/>
          <w:lang w:eastAsia="zh-CN"/>
        </w:rPr>
        <w:t xml:space="preserve"> to honour or reputation.</w:t>
      </w:r>
      <w:r w:rsidR="004229B4">
        <w:rPr>
          <w:rStyle w:val="FootnoteReference"/>
          <w:rFonts w:cs="Times New Roman"/>
          <w:lang w:eastAsia="zh-CN"/>
        </w:rPr>
        <w:footnoteReference w:id="26"/>
      </w:r>
      <w:r w:rsidRPr="00B70933">
        <w:rPr>
          <w:rFonts w:cs="Times New Roman"/>
          <w:lang w:eastAsia="zh-CN"/>
        </w:rPr>
        <w:t xml:space="preserve"> </w:t>
      </w:r>
      <w:r w:rsidR="00BE73A5" w:rsidRPr="00BE73A5">
        <w:rPr>
          <w:rFonts w:cs="Times New Roman"/>
          <w:lang w:eastAsia="zh-CN"/>
        </w:rPr>
        <w:t xml:space="preserve">That limitation is </w:t>
      </w:r>
      <w:r w:rsidR="00300652" w:rsidRPr="00300652">
        <w:rPr>
          <w:rFonts w:cs="Times New Roman"/>
          <w:lang w:eastAsia="zh-CN"/>
        </w:rPr>
        <w:t>defensible</w:t>
      </w:r>
      <w:r w:rsidR="00BE73A5" w:rsidRPr="00BE73A5">
        <w:rPr>
          <w:rFonts w:cs="Times New Roman"/>
          <w:lang w:eastAsia="zh-CN"/>
        </w:rPr>
        <w:t xml:space="preserve"> because it </w:t>
      </w:r>
      <w:r w:rsidR="008C5100">
        <w:rPr>
          <w:rFonts w:cs="Times New Roman"/>
          <w:lang w:eastAsia="zh-CN"/>
        </w:rPr>
        <w:t>stops</w:t>
      </w:r>
      <w:r w:rsidR="00BE73A5" w:rsidRPr="00BE73A5">
        <w:rPr>
          <w:rFonts w:cs="Times New Roman"/>
          <w:lang w:eastAsia="zh-CN"/>
        </w:rPr>
        <w:t xml:space="preserve"> the right </w:t>
      </w:r>
      <w:r w:rsidR="008C5100">
        <w:rPr>
          <w:rFonts w:cs="Times New Roman"/>
          <w:lang w:eastAsia="zh-CN"/>
        </w:rPr>
        <w:t xml:space="preserve">becoming </w:t>
      </w:r>
      <w:r w:rsidR="00BE73A5" w:rsidRPr="00BE73A5">
        <w:rPr>
          <w:rFonts w:cs="Times New Roman"/>
          <w:lang w:eastAsia="zh-CN"/>
        </w:rPr>
        <w:t>a general objection to unauthorised modification</w:t>
      </w:r>
      <w:r w:rsidR="006B7B40">
        <w:rPr>
          <w:rFonts w:eastAsia="Microsoft YaHei" w:cs="Times New Roman"/>
          <w:lang w:eastAsia="zh-CN"/>
        </w:rPr>
        <w:t>.</w:t>
      </w:r>
      <w:r w:rsidR="00BF5D30" w:rsidRPr="00BF5D30">
        <w:rPr>
          <w:rFonts w:cs="Times New Roman"/>
          <w:lang w:eastAsia="zh-CN"/>
        </w:rPr>
        <w:t xml:space="preserve"> </w:t>
      </w:r>
      <w:r w:rsidR="00772358" w:rsidRPr="00772358">
        <w:rPr>
          <w:rFonts w:cs="Times New Roman"/>
          <w:lang w:eastAsia="zh-CN"/>
        </w:rPr>
        <w:t xml:space="preserve">In digital environments, however, that same safeguard </w:t>
      </w:r>
      <w:r w:rsidR="00C04541">
        <w:rPr>
          <w:rFonts w:cs="Times New Roman"/>
          <w:lang w:eastAsia="zh-CN"/>
        </w:rPr>
        <w:t>weakens</w:t>
      </w:r>
      <w:r w:rsidR="00772358" w:rsidRPr="00772358">
        <w:rPr>
          <w:rFonts w:cs="Times New Roman"/>
          <w:lang w:eastAsia="zh-CN"/>
        </w:rPr>
        <w:t xml:space="preserve"> protection.</w:t>
      </w:r>
      <w:r w:rsidR="00BF5D30" w:rsidRPr="00BF5D30">
        <w:rPr>
          <w:rFonts w:cs="Times New Roman"/>
          <w:lang w:eastAsia="zh-CN"/>
        </w:rPr>
        <w:t xml:space="preserve"> </w:t>
      </w:r>
      <w:r w:rsidR="004E496D">
        <w:rPr>
          <w:rFonts w:cs="Times New Roman"/>
          <w:lang w:eastAsia="zh-CN"/>
        </w:rPr>
        <w:t>O</w:t>
      </w:r>
      <w:r w:rsidR="008C054C">
        <w:rPr>
          <w:rFonts w:cs="Times New Roman"/>
          <w:lang w:eastAsia="zh-CN"/>
        </w:rPr>
        <w:t>nline</w:t>
      </w:r>
      <w:r w:rsidR="00BF5D30" w:rsidRPr="00BF5D30">
        <w:rPr>
          <w:rFonts w:cs="Times New Roman"/>
          <w:lang w:eastAsia="zh-CN"/>
        </w:rPr>
        <w:t xml:space="preserve"> modifications are </w:t>
      </w:r>
      <w:r w:rsidR="004E496D">
        <w:rPr>
          <w:rFonts w:cs="Times New Roman"/>
          <w:lang w:eastAsia="zh-CN"/>
        </w:rPr>
        <w:t>hard</w:t>
      </w:r>
      <w:r w:rsidR="00BF5D30" w:rsidRPr="00BF5D30">
        <w:rPr>
          <w:rFonts w:cs="Times New Roman"/>
          <w:lang w:eastAsia="zh-CN"/>
        </w:rPr>
        <w:t xml:space="preserve"> to monitor</w:t>
      </w:r>
      <w:r w:rsidR="009D410C">
        <w:rPr>
          <w:rStyle w:val="FootnoteReference"/>
          <w:rFonts w:cs="Times New Roman"/>
          <w:lang w:eastAsia="zh-CN"/>
        </w:rPr>
        <w:footnoteReference w:id="27"/>
      </w:r>
      <w:r w:rsidR="00E00504" w:rsidRPr="00E00504">
        <w:rPr>
          <w:rFonts w:eastAsia="Microsoft YaHei" w:cs="Times New Roman"/>
          <w:lang w:eastAsia="zh-CN"/>
        </w:rPr>
        <w:t xml:space="preserve"> </w:t>
      </w:r>
      <w:r w:rsidR="004E496D">
        <w:rPr>
          <w:rFonts w:eastAsia="Microsoft YaHei" w:cs="Times New Roman"/>
          <w:lang w:eastAsia="zh-CN"/>
        </w:rPr>
        <w:t xml:space="preserve">and </w:t>
      </w:r>
      <w:r w:rsidR="00646D8D" w:rsidRPr="00646D8D">
        <w:rPr>
          <w:rFonts w:eastAsia="Microsoft YaHei" w:cs="Times New Roman"/>
          <w:lang w:eastAsia="zh-CN"/>
        </w:rPr>
        <w:t xml:space="preserve">may be </w:t>
      </w:r>
      <w:r w:rsidR="00340B46" w:rsidRPr="00340B46">
        <w:rPr>
          <w:rFonts w:eastAsia="Microsoft YaHei" w:cs="Times New Roman"/>
          <w:lang w:eastAsia="zh-CN"/>
        </w:rPr>
        <w:t>discovered</w:t>
      </w:r>
      <w:r w:rsidR="00340B46">
        <w:rPr>
          <w:rFonts w:eastAsia="Microsoft YaHei" w:cs="Times New Roman"/>
          <w:lang w:eastAsia="zh-CN"/>
        </w:rPr>
        <w:t xml:space="preserve"> </w:t>
      </w:r>
      <w:r w:rsidR="00646D8D" w:rsidRPr="00646D8D">
        <w:rPr>
          <w:rFonts w:eastAsia="Microsoft YaHei" w:cs="Times New Roman"/>
          <w:lang w:eastAsia="zh-CN"/>
        </w:rPr>
        <w:t>only after wide circulation. Late detection</w:t>
      </w:r>
      <w:r w:rsidR="00EF3664">
        <w:rPr>
          <w:rFonts w:eastAsia="Microsoft YaHei" w:cs="Times New Roman"/>
          <w:lang w:eastAsia="zh-CN"/>
        </w:rPr>
        <w:t xml:space="preserve"> also</w:t>
      </w:r>
      <w:r w:rsidR="00646D8D" w:rsidRPr="00646D8D">
        <w:rPr>
          <w:rFonts w:eastAsia="Microsoft YaHei" w:cs="Times New Roman"/>
          <w:lang w:eastAsia="zh-CN"/>
        </w:rPr>
        <w:t xml:space="preserve"> makes reputational harm harder to identify, link to the alteration, and prove within the integrity framework</w:t>
      </w:r>
      <w:r w:rsidR="00CE42F9">
        <w:rPr>
          <w:rFonts w:eastAsia="Microsoft YaHei" w:cs="Times New Roman"/>
          <w:lang w:eastAsia="zh-CN"/>
        </w:rPr>
        <w:t>.</w:t>
      </w:r>
      <w:r w:rsidRPr="00B70933">
        <w:rPr>
          <w:rFonts w:cs="Times New Roman"/>
          <w:lang w:eastAsia="zh-CN"/>
        </w:rPr>
        <w:t xml:space="preserve"> </w:t>
      </w:r>
      <w:r w:rsidR="00773A76" w:rsidRPr="00773A76">
        <w:rPr>
          <w:rFonts w:cs="Times New Roman"/>
          <w:i/>
          <w:iCs/>
          <w:lang w:eastAsia="zh-CN"/>
        </w:rPr>
        <w:t xml:space="preserve">Confetti </w:t>
      </w:r>
      <w:r w:rsidR="00EF74F7" w:rsidRPr="00EF74F7">
        <w:rPr>
          <w:rFonts w:cs="Times New Roman"/>
          <w:lang w:eastAsia="zh-CN"/>
        </w:rPr>
        <w:t xml:space="preserve">therefore </w:t>
      </w:r>
      <w:proofErr w:type="gramStart"/>
      <w:r w:rsidR="00EF74F7" w:rsidRPr="00EF74F7">
        <w:rPr>
          <w:rFonts w:cs="Times New Roman"/>
          <w:lang w:eastAsia="zh-CN"/>
        </w:rPr>
        <w:t>supports</w:t>
      </w:r>
      <w:proofErr w:type="gramEnd"/>
      <w:r w:rsidR="00EF74F7" w:rsidRPr="00EF74F7">
        <w:rPr>
          <w:rFonts w:cs="Times New Roman"/>
          <w:lang w:eastAsia="zh-CN"/>
        </w:rPr>
        <w:t xml:space="preserve"> a mixed conclusion: UK law recognises that transformative digital uses can implicate integrity, but the threshold </w:t>
      </w:r>
      <w:r w:rsidR="00793EB0">
        <w:rPr>
          <w:rFonts w:cs="Times New Roman"/>
          <w:lang w:eastAsia="zh-CN"/>
        </w:rPr>
        <w:t xml:space="preserve">remains </w:t>
      </w:r>
      <w:r w:rsidR="00EF74F7" w:rsidRPr="00EF74F7">
        <w:rPr>
          <w:rFonts w:cs="Times New Roman"/>
          <w:lang w:eastAsia="zh-CN"/>
        </w:rPr>
        <w:t xml:space="preserve">high enough that </w:t>
      </w:r>
      <w:r w:rsidR="00793EB0">
        <w:rPr>
          <w:rFonts w:cs="Times New Roman"/>
          <w:lang w:eastAsia="zh-CN"/>
        </w:rPr>
        <w:t>much</w:t>
      </w:r>
      <w:r w:rsidR="00EF74F7" w:rsidRPr="00EF74F7">
        <w:rPr>
          <w:rFonts w:cs="Times New Roman"/>
          <w:lang w:eastAsia="zh-CN"/>
        </w:rPr>
        <w:t xml:space="preserve"> online reputational harm </w:t>
      </w:r>
      <w:r w:rsidR="00793EB0">
        <w:rPr>
          <w:rFonts w:cs="Times New Roman"/>
          <w:lang w:eastAsia="zh-CN"/>
        </w:rPr>
        <w:t>escapes</w:t>
      </w:r>
      <w:r w:rsidR="00EF74F7" w:rsidRPr="00EF74F7">
        <w:rPr>
          <w:rFonts w:cs="Times New Roman"/>
          <w:lang w:eastAsia="zh-CN"/>
        </w:rPr>
        <w:t xml:space="preserve"> protection</w:t>
      </w:r>
      <w:r w:rsidR="00793EB0">
        <w:rPr>
          <w:rFonts w:cs="Times New Roman"/>
          <w:lang w:eastAsia="zh-CN"/>
        </w:rPr>
        <w:t xml:space="preserve"> in practice</w:t>
      </w:r>
      <w:r w:rsidR="00EF74F7" w:rsidRPr="00EF74F7">
        <w:rPr>
          <w:rFonts w:cs="Times New Roman"/>
          <w:lang w:eastAsia="zh-CN"/>
        </w:rPr>
        <w:t>.</w:t>
      </w:r>
    </w:p>
    <w:p w14:paraId="4F74BF99" w14:textId="7C529CFE" w:rsidR="0030731C" w:rsidRPr="0030731C" w:rsidRDefault="0030731C" w:rsidP="0030731C">
      <w:pPr>
        <w:rPr>
          <w:rFonts w:cs="Times New Roman"/>
          <w:lang w:eastAsia="zh-CN"/>
        </w:rPr>
      </w:pPr>
    </w:p>
    <w:p w14:paraId="5AB6525D" w14:textId="080A028E" w:rsidR="00B21CD9" w:rsidRPr="009D2B14" w:rsidRDefault="00F33C10" w:rsidP="0030731C">
      <w:pPr>
        <w:rPr>
          <w:rFonts w:cs="Times New Roman"/>
          <w:lang w:eastAsia="zh-CN"/>
        </w:rPr>
      </w:pPr>
      <w:r w:rsidRPr="00F33C10">
        <w:rPr>
          <w:rFonts w:cs="Times New Roman"/>
          <w:lang w:eastAsia="zh-CN"/>
        </w:rPr>
        <w:t xml:space="preserve">That problem becomes sharper in cases of </w:t>
      </w:r>
      <w:proofErr w:type="spellStart"/>
      <w:r w:rsidRPr="00F33C10">
        <w:rPr>
          <w:rFonts w:cs="Times New Roman"/>
          <w:lang w:eastAsia="zh-CN"/>
        </w:rPr>
        <w:t>recontextualisation</w:t>
      </w:r>
      <w:proofErr w:type="spellEnd"/>
      <w:r w:rsidRPr="00F33C10">
        <w:rPr>
          <w:rFonts w:cs="Times New Roman"/>
          <w:lang w:eastAsia="zh-CN"/>
        </w:rPr>
        <w:t xml:space="preserve">. </w:t>
      </w:r>
      <w:r w:rsidR="00CD7DB1" w:rsidRPr="00CD7DB1">
        <w:rPr>
          <w:rFonts w:cs="Times New Roman"/>
          <w:lang w:eastAsia="zh-CN"/>
        </w:rPr>
        <w:t>A work may become prejudicial not because it has been materially altered, but because it is placed in an inappropriate setting</w:t>
      </w:r>
      <w:r w:rsidR="00886B3C">
        <w:rPr>
          <w:rFonts w:cs="Times New Roman"/>
          <w:lang w:eastAsia="zh-CN"/>
        </w:rPr>
        <w:t>,</w:t>
      </w:r>
      <w:r w:rsidR="00CD7DB1">
        <w:rPr>
          <w:rStyle w:val="FootnoteReference"/>
          <w:rFonts w:cs="Times New Roman"/>
          <w:lang w:eastAsia="zh-CN"/>
        </w:rPr>
        <w:footnoteReference w:id="28"/>
      </w:r>
      <w:r w:rsidR="00886B3C">
        <w:rPr>
          <w:rFonts w:cs="Times New Roman"/>
          <w:lang w:eastAsia="zh-CN"/>
        </w:rPr>
        <w:t xml:space="preserve"> </w:t>
      </w:r>
      <w:r w:rsidR="00CD7DB1" w:rsidRPr="00CD7DB1">
        <w:rPr>
          <w:rFonts w:cs="Times New Roman"/>
          <w:lang w:eastAsia="zh-CN"/>
        </w:rPr>
        <w:t>for example where a peaceful artwork is reposted on a racist forum</w:t>
      </w:r>
      <w:r w:rsidRPr="00F33C10">
        <w:rPr>
          <w:rFonts w:cs="Times New Roman"/>
          <w:lang w:eastAsia="zh-CN"/>
        </w:rPr>
        <w:t xml:space="preserve">. </w:t>
      </w:r>
      <w:r w:rsidR="0022770D" w:rsidRPr="0022770D">
        <w:rPr>
          <w:rFonts w:cs="Times New Roman"/>
          <w:i/>
          <w:iCs/>
          <w:lang w:eastAsia="zh-CN"/>
        </w:rPr>
        <w:t>Morrison Leahy Music</w:t>
      </w:r>
      <w:r w:rsidR="0022770D">
        <w:rPr>
          <w:rFonts w:cs="Times New Roman" w:hint="eastAsia"/>
          <w:lang w:eastAsia="zh-CN"/>
        </w:rPr>
        <w:t xml:space="preserve"> </w:t>
      </w:r>
      <w:r w:rsidR="0022770D">
        <w:rPr>
          <w:rFonts w:cs="Times New Roman"/>
          <w:lang w:eastAsia="zh-CN"/>
        </w:rPr>
        <w:t>and</w:t>
      </w:r>
      <w:r w:rsidR="0022770D" w:rsidRPr="0022770D">
        <w:rPr>
          <w:rFonts w:cs="Times New Roman" w:hint="eastAsia"/>
          <w:i/>
          <w:iCs/>
          <w:lang w:eastAsia="zh-CN"/>
        </w:rPr>
        <w:t xml:space="preserve"> </w:t>
      </w:r>
      <w:r w:rsidR="006A1BF0" w:rsidRPr="006A1BF0">
        <w:rPr>
          <w:rFonts w:cs="Times New Roman"/>
          <w:i/>
          <w:iCs/>
          <w:lang w:eastAsia="zh-CN"/>
        </w:rPr>
        <w:t>Tidy</w:t>
      </w:r>
      <w:r w:rsidR="00886B3C">
        <w:rPr>
          <w:rFonts w:cs="Times New Roman"/>
          <w:lang w:eastAsia="zh-CN"/>
        </w:rPr>
        <w:t xml:space="preserve"> </w:t>
      </w:r>
      <w:r w:rsidR="006A1BF0" w:rsidRPr="006A1BF0">
        <w:rPr>
          <w:rFonts w:cs="Times New Roman"/>
          <w:lang w:eastAsia="zh-CN"/>
        </w:rPr>
        <w:t>suggest that</w:t>
      </w:r>
      <w:r w:rsidR="009D2B14">
        <w:rPr>
          <w:rFonts w:cs="Times New Roman"/>
          <w:lang w:eastAsia="zh-CN"/>
        </w:rPr>
        <w:t xml:space="preserve"> </w:t>
      </w:r>
      <w:r w:rsidR="006A1BF0" w:rsidRPr="006A1BF0">
        <w:rPr>
          <w:rFonts w:cs="Times New Roman"/>
          <w:lang w:eastAsia="zh-CN"/>
        </w:rPr>
        <w:t>UK doctrine</w:t>
      </w:r>
      <w:r w:rsidR="009D2B14">
        <w:rPr>
          <w:rFonts w:cs="Times New Roman"/>
          <w:lang w:eastAsia="zh-CN"/>
        </w:rPr>
        <w:t xml:space="preserve"> </w:t>
      </w:r>
      <w:r w:rsidR="006A1BF0" w:rsidRPr="006A1BF0">
        <w:rPr>
          <w:rFonts w:cs="Times New Roman"/>
          <w:lang w:eastAsia="zh-CN"/>
        </w:rPr>
        <w:t>more readily recognise</w:t>
      </w:r>
      <w:r w:rsidR="009D2B14">
        <w:rPr>
          <w:rFonts w:cs="Times New Roman"/>
          <w:lang w:eastAsia="zh-CN"/>
        </w:rPr>
        <w:t>s prejudice</w:t>
      </w:r>
      <w:r w:rsidR="006A1BF0" w:rsidRPr="006A1BF0">
        <w:rPr>
          <w:rFonts w:cs="Times New Roman"/>
          <w:lang w:eastAsia="zh-CN"/>
        </w:rPr>
        <w:t xml:space="preserve"> when it can be tied to the treatment of the work itself rather than the wider message produced by its presentation.</w:t>
      </w:r>
      <w:r w:rsidR="00375C66">
        <w:rPr>
          <w:rStyle w:val="FootnoteReference"/>
          <w:rFonts w:cs="Times New Roman"/>
          <w:lang w:eastAsia="zh-CN"/>
        </w:rPr>
        <w:footnoteReference w:id="29"/>
      </w:r>
      <w:r w:rsidR="006A1BF0" w:rsidRPr="006A1BF0">
        <w:rPr>
          <w:rFonts w:cs="Times New Roman"/>
          <w:lang w:eastAsia="zh-CN"/>
        </w:rPr>
        <w:t xml:space="preserve"> In other words, the law is better equipped to address visible alteration than contextual reframing alone. Yet digital</w:t>
      </w:r>
      <w:r w:rsidR="005242AD">
        <w:rPr>
          <w:rFonts w:cs="Times New Roman"/>
          <w:lang w:eastAsia="zh-CN"/>
        </w:rPr>
        <w:t xml:space="preserve"> </w:t>
      </w:r>
      <w:r w:rsidR="006A1BF0" w:rsidRPr="006A1BF0">
        <w:rPr>
          <w:rFonts w:cs="Times New Roman"/>
          <w:lang w:eastAsia="zh-CN"/>
        </w:rPr>
        <w:t xml:space="preserve">harm </w:t>
      </w:r>
      <w:r w:rsidR="004D48C9">
        <w:rPr>
          <w:rFonts w:cs="Times New Roman"/>
          <w:lang w:eastAsia="zh-CN"/>
        </w:rPr>
        <w:t xml:space="preserve">might </w:t>
      </w:r>
      <w:r w:rsidR="007232D6" w:rsidRPr="006A1BF0">
        <w:rPr>
          <w:rFonts w:cs="Times New Roman"/>
          <w:lang w:eastAsia="zh-CN"/>
        </w:rPr>
        <w:t>arise</w:t>
      </w:r>
      <w:r w:rsidR="006A1BF0" w:rsidRPr="006A1BF0">
        <w:rPr>
          <w:rFonts w:cs="Times New Roman"/>
          <w:lang w:eastAsia="zh-CN"/>
        </w:rPr>
        <w:t xml:space="preserve"> precisely through </w:t>
      </w:r>
      <w:proofErr w:type="spellStart"/>
      <w:r w:rsidR="006A1BF0" w:rsidRPr="006A1BF0">
        <w:rPr>
          <w:rFonts w:cs="Times New Roman"/>
          <w:lang w:eastAsia="zh-CN"/>
        </w:rPr>
        <w:t>recontextualisation</w:t>
      </w:r>
      <w:proofErr w:type="spellEnd"/>
      <w:r w:rsidR="006A1BF0" w:rsidRPr="006A1BF0">
        <w:rPr>
          <w:rFonts w:cs="Times New Roman"/>
          <w:lang w:eastAsia="zh-CN"/>
        </w:rPr>
        <w:t xml:space="preserve">: the work may remain unchanged while its meaning is radically recast by captions, surrounding content, or the platform </w:t>
      </w:r>
      <w:r w:rsidR="00B534BA">
        <w:rPr>
          <w:rFonts w:cs="Times New Roman"/>
          <w:lang w:eastAsia="zh-CN"/>
        </w:rPr>
        <w:t>context</w:t>
      </w:r>
      <w:r w:rsidR="006A1BF0" w:rsidRPr="006A1BF0">
        <w:rPr>
          <w:rFonts w:cs="Times New Roman"/>
          <w:lang w:eastAsia="zh-CN"/>
        </w:rPr>
        <w:t xml:space="preserve">. This reveals a structural gap between </w:t>
      </w:r>
      <w:r w:rsidR="00CA1F4D" w:rsidRPr="006A1BF0">
        <w:rPr>
          <w:rFonts w:cs="Times New Roman"/>
          <w:lang w:eastAsia="zh-CN"/>
        </w:rPr>
        <w:t xml:space="preserve">UK integrity </w:t>
      </w:r>
      <w:r w:rsidR="006A1BF0" w:rsidRPr="006A1BF0">
        <w:rPr>
          <w:rFonts w:cs="Times New Roman"/>
          <w:lang w:eastAsia="zh-CN"/>
        </w:rPr>
        <w:t>doctrin</w:t>
      </w:r>
      <w:r w:rsidR="00CA1F4D">
        <w:rPr>
          <w:rFonts w:cs="Times New Roman"/>
          <w:lang w:eastAsia="zh-CN"/>
        </w:rPr>
        <w:t>e</w:t>
      </w:r>
      <w:r w:rsidR="006A1BF0" w:rsidRPr="006A1BF0">
        <w:rPr>
          <w:rFonts w:cs="Times New Roman"/>
          <w:lang w:eastAsia="zh-CN"/>
        </w:rPr>
        <w:t xml:space="preserve"> and the </w:t>
      </w:r>
      <w:r w:rsidR="00FE53C1">
        <w:rPr>
          <w:rFonts w:cs="Times New Roman"/>
          <w:lang w:eastAsia="zh-CN"/>
        </w:rPr>
        <w:t>ways</w:t>
      </w:r>
      <w:r w:rsidR="006A1BF0" w:rsidRPr="006A1BF0">
        <w:rPr>
          <w:rFonts w:cs="Times New Roman"/>
          <w:lang w:eastAsia="zh-CN"/>
        </w:rPr>
        <w:t xml:space="preserve"> online harm occurs.</w:t>
      </w:r>
    </w:p>
    <w:p w14:paraId="0997B362" w14:textId="77777777" w:rsidR="006A1BF0" w:rsidRPr="006A1BF0" w:rsidRDefault="006A1BF0" w:rsidP="0030731C">
      <w:pPr>
        <w:rPr>
          <w:rFonts w:cs="Times New Roman"/>
          <w:lang w:eastAsia="zh-CN"/>
        </w:rPr>
      </w:pPr>
    </w:p>
    <w:p w14:paraId="7356AC73" w14:textId="734A5F4C" w:rsidR="003F4528" w:rsidRDefault="002E42D6" w:rsidP="00E856BE">
      <w:pPr>
        <w:rPr>
          <w:lang w:eastAsia="zh-CN"/>
        </w:rPr>
      </w:pPr>
      <w:r w:rsidRPr="002E42D6">
        <w:t xml:space="preserve">Even so, the right of integrity should not be expanded to suppress criticism, parody or commentary. </w:t>
      </w:r>
      <w:r w:rsidRPr="00CD78D4">
        <w:t xml:space="preserve">Because digital culture depends on quotation, remix and reposting as forms of </w:t>
      </w:r>
      <w:r w:rsidRPr="00CD78D4">
        <w:lastRenderedPageBreak/>
        <w:t>expression in online spaces,</w:t>
      </w:r>
      <w:r w:rsidR="00BA5A98">
        <w:rPr>
          <w:rStyle w:val="FootnoteReference"/>
        </w:rPr>
        <w:footnoteReference w:id="30"/>
      </w:r>
      <w:r w:rsidRPr="00CD78D4">
        <w:t xml:space="preserve"> reframing alone should not trigger liability</w:t>
      </w:r>
      <w:r w:rsidRPr="002E42D6">
        <w:t xml:space="preserve">. The better approach is limited: integrity should intervene only where </w:t>
      </w:r>
      <w:proofErr w:type="spellStart"/>
      <w:r w:rsidRPr="002E42D6">
        <w:t>recontextualisation</w:t>
      </w:r>
      <w:proofErr w:type="spellEnd"/>
      <w:r w:rsidRPr="002E42D6">
        <w:t xml:space="preserve"> materially distorts the meaning of the work in a way prejudicial to the author’s honour or reputation, or places in a context intended to damage that reputation. This preserves space for speech while recognising that some digital practices do more than comment on a work; they </w:t>
      </w:r>
      <w:r w:rsidR="00AD2AEF">
        <w:t>use</w:t>
      </w:r>
      <w:r w:rsidRPr="002E42D6">
        <w:t xml:space="preserve"> it </w:t>
      </w:r>
      <w:r w:rsidR="00AD2AEF">
        <w:t>to</w:t>
      </w:r>
      <w:r w:rsidRPr="002E42D6">
        <w:t xml:space="preserve"> injur</w:t>
      </w:r>
      <w:r w:rsidR="00AD2AEF">
        <w:t>e</w:t>
      </w:r>
      <w:r w:rsidRPr="002E42D6">
        <w:t xml:space="preserve"> the author’s honour or reputation.</w:t>
      </w:r>
    </w:p>
    <w:p w14:paraId="3F053098" w14:textId="77777777" w:rsidR="002E42D6" w:rsidRDefault="002E42D6" w:rsidP="00E856BE">
      <w:pPr>
        <w:rPr>
          <w:rFonts w:cs="Times New Roman"/>
          <w:lang w:eastAsia="zh-CN"/>
        </w:rPr>
      </w:pPr>
    </w:p>
    <w:p w14:paraId="741AF4BE" w14:textId="47546E3E" w:rsidR="00182525" w:rsidRDefault="00182525" w:rsidP="000B4661">
      <w:pPr>
        <w:pStyle w:val="Heading2"/>
      </w:pPr>
      <w:bookmarkStart w:id="8" w:name="_Toc225453994"/>
      <w:r>
        <w:t>3.3 Remedies and Practical Effectiveness in Platform Contexts</w:t>
      </w:r>
      <w:bookmarkEnd w:id="8"/>
    </w:p>
    <w:p w14:paraId="0EAC9004" w14:textId="417CC659" w:rsidR="00182525" w:rsidRDefault="00903F8E" w:rsidP="00E856BE">
      <w:pPr>
        <w:rPr>
          <w:rFonts w:cs="Times New Roman"/>
          <w:lang w:eastAsia="zh-CN"/>
        </w:rPr>
      </w:pPr>
      <w:r w:rsidRPr="00903F8E">
        <w:t>Remedies and practical effectiveness in platform contexts determine whether moral rights function as more than aspirational standards. In digital dissemination the problem is speed, because distorted content may spread widely before court remedies become effective</w:t>
      </w:r>
      <w:r w:rsidR="00F7022B" w:rsidRPr="00F7022B">
        <w:rPr>
          <w:rFonts w:cs="Times New Roman"/>
          <w:lang w:eastAsia="zh-CN"/>
        </w:rPr>
        <w:t>.</w:t>
      </w:r>
      <w:r w:rsidR="007C173A">
        <w:rPr>
          <w:rStyle w:val="FootnoteReference"/>
          <w:rFonts w:cs="Times New Roman"/>
          <w:lang w:eastAsia="zh-CN"/>
        </w:rPr>
        <w:footnoteReference w:id="31"/>
      </w:r>
      <w:r w:rsidR="00F7022B" w:rsidRPr="00F7022B">
        <w:rPr>
          <w:rFonts w:cs="Times New Roman"/>
          <w:lang w:eastAsia="zh-CN"/>
        </w:rPr>
        <w:t xml:space="preserve"> </w:t>
      </w:r>
      <w:r w:rsidR="00C16757" w:rsidRPr="00C16757">
        <w:t xml:space="preserve">Feasibility therefore depends on rapid intermediary responses. This matters for moral rights because the harm is immediate and reputational rather than economic. UK law also shows that integrity claims are demanding. In </w:t>
      </w:r>
      <w:r w:rsidR="00C16757" w:rsidRPr="00C16757">
        <w:rPr>
          <w:i/>
          <w:iCs/>
        </w:rPr>
        <w:t>Confetti</w:t>
      </w:r>
      <w:r w:rsidR="00C16757" w:rsidRPr="00C16757">
        <w:t xml:space="preserve"> the claimant failed to show derogatory treatment harming honour or reputation, illustrating both the evidential burden and the uncertainty of outcomes</w:t>
      </w:r>
      <w:r w:rsidR="00F7022B" w:rsidRPr="00F7022B">
        <w:rPr>
          <w:rFonts w:cs="Times New Roman"/>
          <w:lang w:eastAsia="zh-CN"/>
        </w:rPr>
        <w:t>.</w:t>
      </w:r>
      <w:r w:rsidR="00EC5DC1">
        <w:rPr>
          <w:rStyle w:val="FootnoteReference"/>
          <w:rFonts w:cs="Times New Roman"/>
          <w:lang w:eastAsia="zh-CN"/>
        </w:rPr>
        <w:footnoteReference w:id="32"/>
      </w:r>
      <w:r w:rsidR="00F7022B" w:rsidRPr="00F7022B">
        <w:rPr>
          <w:rFonts w:cs="Times New Roman"/>
          <w:lang w:eastAsia="zh-CN"/>
        </w:rPr>
        <w:t xml:space="preserve"> </w:t>
      </w:r>
      <w:r w:rsidR="00461877" w:rsidRPr="00461877">
        <w:t>Litigation is therefore an unreliable primary tool and should operate as a backstop, while low-friction platform measures restore credit and reduce misrepresentation</w:t>
      </w:r>
      <w:r w:rsidR="00F7022B" w:rsidRPr="00F7022B">
        <w:rPr>
          <w:rFonts w:cs="Times New Roman"/>
          <w:lang w:eastAsia="zh-CN"/>
        </w:rPr>
        <w:t>.</w:t>
      </w:r>
    </w:p>
    <w:p w14:paraId="78DE184F" w14:textId="77777777" w:rsidR="00C60B96" w:rsidRDefault="00C60B96" w:rsidP="00E856BE">
      <w:pPr>
        <w:rPr>
          <w:rFonts w:cs="Times New Roman"/>
          <w:lang w:eastAsia="zh-CN"/>
        </w:rPr>
      </w:pPr>
    </w:p>
    <w:p w14:paraId="783B235E" w14:textId="3A49E4DD" w:rsidR="000C03ED" w:rsidRDefault="00054714" w:rsidP="00E856BE">
      <w:pPr>
        <w:rPr>
          <w:rFonts w:cs="Times New Roman"/>
          <w:lang w:eastAsia="zh-CN"/>
        </w:rPr>
      </w:pPr>
      <w:r w:rsidRPr="00054714">
        <w:t>Platforms can implement remedies that mirror the aims of moral rights without requiring a court order in every case. For attribution, feasible measures include persistent author fields, visible credit across resharing, and verified creator identifiers that survive compression and reposting. For integrity, feasible measures include labels distinguishing originals from materially modified versions, contextual notices for misleading captions, and removal where there is clear false attribution or malicious manipulation. These steps are realistic because they fit existing moderation and copyright complaint systems. Yet feasibility remains limited by the UK requirement that the right to be identified may need assertion and may be waived</w:t>
      </w:r>
      <w:r w:rsidR="001F34CE" w:rsidRPr="001F34CE">
        <w:rPr>
          <w:rFonts w:cs="Times New Roman"/>
          <w:lang w:eastAsia="zh-CN"/>
        </w:rPr>
        <w:t>,</w:t>
      </w:r>
      <w:r w:rsidR="004C47AE">
        <w:rPr>
          <w:rStyle w:val="FootnoteReference"/>
          <w:rFonts w:cs="Times New Roman"/>
          <w:lang w:eastAsia="zh-CN"/>
        </w:rPr>
        <w:footnoteReference w:id="33"/>
      </w:r>
      <w:r w:rsidR="001F34CE" w:rsidRPr="001F34CE">
        <w:rPr>
          <w:rFonts w:cs="Times New Roman"/>
          <w:lang w:eastAsia="zh-CN"/>
        </w:rPr>
        <w:t xml:space="preserve"> </w:t>
      </w:r>
      <w:r w:rsidR="00D20D57" w:rsidRPr="00D20D57">
        <w:t xml:space="preserve">and by the difficulty of setting thresholds that do not chill parody and criticism. Overall, moral-rights </w:t>
      </w:r>
      <w:r w:rsidR="00D20D57" w:rsidRPr="00D20D57">
        <w:lastRenderedPageBreak/>
        <w:t>remedies are feasible online when operationalised through fast platform processes, while courts remain reserved for persistent, commercial, or highly reputational disputes. Clear guidance and transparent appeal routes can improve legitimacy and reduce repeat conflicts over edits</w:t>
      </w:r>
      <w:r w:rsidR="001F34CE" w:rsidRPr="001F34CE">
        <w:rPr>
          <w:rFonts w:cs="Times New Roman"/>
          <w:lang w:eastAsia="zh-CN"/>
        </w:rPr>
        <w:t>.</w:t>
      </w:r>
    </w:p>
    <w:p w14:paraId="1BE1EFFD" w14:textId="77777777" w:rsidR="00A306BF" w:rsidRDefault="00A306BF" w:rsidP="00E856BE">
      <w:pPr>
        <w:rPr>
          <w:rFonts w:cs="Times New Roman"/>
          <w:lang w:eastAsia="zh-CN"/>
        </w:rPr>
      </w:pPr>
    </w:p>
    <w:p w14:paraId="1693734C" w14:textId="77777777" w:rsidR="00ED6012" w:rsidRDefault="00ED6012" w:rsidP="007A4273">
      <w:pPr>
        <w:pStyle w:val="Heading1"/>
        <w:sectPr w:rsidR="00ED6012" w:rsidSect="00027B3B">
          <w:headerReference w:type="default" r:id="rId19"/>
          <w:pgSz w:w="11906" w:h="16838"/>
          <w:pgMar w:top="1440" w:right="1440" w:bottom="1440" w:left="1440" w:header="708" w:footer="708" w:gutter="0"/>
          <w:cols w:space="708"/>
          <w:docGrid w:linePitch="360"/>
        </w:sectPr>
      </w:pPr>
    </w:p>
    <w:p w14:paraId="42A71194" w14:textId="3003193C" w:rsidR="00B56592" w:rsidRDefault="00553620" w:rsidP="007A4273">
      <w:pPr>
        <w:pStyle w:val="Heading1"/>
        <w:rPr>
          <w:lang w:eastAsia="zh-CN"/>
        </w:rPr>
      </w:pPr>
      <w:bookmarkStart w:id="9" w:name="_Toc225453995"/>
      <w:r>
        <w:lastRenderedPageBreak/>
        <w:t xml:space="preserve">4. Economic Rights </w:t>
      </w:r>
      <w:r w:rsidR="001530BE">
        <w:rPr>
          <w:lang w:eastAsia="zh-CN"/>
        </w:rPr>
        <w:t xml:space="preserve">in the Digital </w:t>
      </w:r>
      <w:r w:rsidR="001530BE">
        <w:t>Environment</w:t>
      </w:r>
      <w:bookmarkEnd w:id="9"/>
    </w:p>
    <w:p w14:paraId="6AB988D9" w14:textId="77777777" w:rsidR="00332C2A" w:rsidRPr="00332C2A" w:rsidRDefault="00332C2A" w:rsidP="00224E74">
      <w:pPr>
        <w:pStyle w:val="Heading2"/>
        <w:rPr>
          <w:lang w:eastAsia="zh-CN"/>
        </w:rPr>
      </w:pPr>
      <w:bookmarkStart w:id="10" w:name="_Toc225453996"/>
      <w:r w:rsidRPr="00332C2A">
        <w:rPr>
          <w:lang w:eastAsia="zh-CN"/>
        </w:rPr>
        <w:t>4.1 Exclusive Rights Licensing and Digital Exploitation</w:t>
      </w:r>
      <w:bookmarkEnd w:id="10"/>
    </w:p>
    <w:p w14:paraId="7AFC11A1" w14:textId="6F55BEA4" w:rsidR="00AB5915" w:rsidRDefault="00564E70" w:rsidP="00AB5915">
      <w:pPr>
        <w:rPr>
          <w:lang w:eastAsia="zh-CN"/>
        </w:rPr>
      </w:pPr>
      <w:r w:rsidRPr="00564E70">
        <w:rPr>
          <w:lang w:eastAsia="zh-CN"/>
        </w:rPr>
        <w:t>Economic rights sit at the centre of digital exploitation because most online uses involve acts reserved to the copyright owner, especially copying, communication to the public, distribution, and monetisation. In UK copyright law, authorisation is the starting point for digital use</w:t>
      </w:r>
      <w:r w:rsidR="007145DA" w:rsidRPr="007145DA">
        <w:rPr>
          <w:lang w:eastAsia="zh-CN"/>
        </w:rPr>
        <w:t>,</w:t>
      </w:r>
      <w:r w:rsidR="003123C0">
        <w:rPr>
          <w:rStyle w:val="FootnoteReference"/>
          <w:lang w:eastAsia="zh-CN"/>
        </w:rPr>
        <w:footnoteReference w:id="34"/>
      </w:r>
      <w:r w:rsidR="007145DA" w:rsidRPr="007145DA">
        <w:rPr>
          <w:lang w:eastAsia="zh-CN"/>
        </w:rPr>
        <w:t xml:space="preserve"> </w:t>
      </w:r>
      <w:r w:rsidR="007375D4" w:rsidRPr="007375D4">
        <w:rPr>
          <w:lang w:eastAsia="zh-CN"/>
        </w:rPr>
        <w:t xml:space="preserve">and its significance is structural: it determines how platforms are built, licensed, and commercialised. This is illustrated by cases such as </w:t>
      </w:r>
      <w:r w:rsidR="00BF1ACA" w:rsidRPr="00BF1ACA">
        <w:rPr>
          <w:i/>
          <w:iCs/>
          <w:lang w:eastAsia="zh-CN"/>
        </w:rPr>
        <w:t>TuneIn</w:t>
      </w:r>
      <w:r w:rsidR="007375D4" w:rsidRPr="007375D4">
        <w:rPr>
          <w:lang w:eastAsia="zh-CN"/>
        </w:rPr>
        <w:t>, where the provision of access to unlicensed radio streams to UK users was treated as a communication to the public requiring permission.</w:t>
      </w:r>
      <w:r w:rsidR="00CE5BCD">
        <w:rPr>
          <w:rStyle w:val="FootnoteReference"/>
          <w:lang w:eastAsia="zh-CN"/>
        </w:rPr>
        <w:footnoteReference w:id="35"/>
      </w:r>
      <w:r w:rsidR="007375D4" w:rsidRPr="007375D4">
        <w:rPr>
          <w:lang w:eastAsia="zh-CN"/>
        </w:rPr>
        <w:t xml:space="preserve"> </w:t>
      </w:r>
      <w:r w:rsidR="00BF7877" w:rsidRPr="00BF7877">
        <w:rPr>
          <w:lang w:eastAsia="zh-CN"/>
        </w:rPr>
        <w:t xml:space="preserve">Because platform dissemination routinely implicates these acts, economic rights do not merely respond to infringement </w:t>
      </w:r>
      <w:r w:rsidR="00BF7877" w:rsidRPr="00BF7877">
        <w:rPr>
          <w:i/>
          <w:iCs/>
          <w:lang w:eastAsia="zh-CN"/>
        </w:rPr>
        <w:t>ex post</w:t>
      </w:r>
      <w:r w:rsidR="00BF7877" w:rsidRPr="00BF7877">
        <w:rPr>
          <w:lang w:eastAsia="zh-CN"/>
        </w:rPr>
        <w:t xml:space="preserve">; they shape the </w:t>
      </w:r>
      <w:proofErr w:type="spellStart"/>
      <w:proofErr w:type="gramStart"/>
      <w:r w:rsidR="00BF7877" w:rsidRPr="00BF7877">
        <w:rPr>
          <w:i/>
          <w:iCs/>
          <w:lang w:eastAsia="zh-CN"/>
        </w:rPr>
        <w:t>ex ante</w:t>
      </w:r>
      <w:proofErr w:type="spellEnd"/>
      <w:proofErr w:type="gramEnd"/>
      <w:r w:rsidR="00BF7877" w:rsidRPr="00BF7877">
        <w:rPr>
          <w:lang w:eastAsia="zh-CN"/>
        </w:rPr>
        <w:t xml:space="preserve"> architecture of digital markets</w:t>
      </w:r>
      <w:r w:rsidR="00175B32" w:rsidRPr="00195A4E">
        <w:rPr>
          <w:lang w:eastAsia="zh-CN"/>
        </w:rPr>
        <w:t xml:space="preserve">. </w:t>
      </w:r>
      <w:r w:rsidR="00557AB9" w:rsidRPr="00557AB9">
        <w:rPr>
          <w:lang w:eastAsia="zh-CN"/>
        </w:rPr>
        <w:t xml:space="preserve">Accordingly, even where authors care about attribution or respectful treatment, those moral interests operate within a framework first defined by whether the work may be hosted, streamed, distributed, or monetised at all. </w:t>
      </w:r>
      <w:r w:rsidR="006E4CDB" w:rsidRPr="006E4CDB">
        <w:rPr>
          <w:lang w:eastAsia="zh-CN"/>
        </w:rPr>
        <w:t>This makes economic rights significant in digital circulation, because the system is organised and stabilised through economic control</w:t>
      </w:r>
      <w:r w:rsidR="00557AB9" w:rsidRPr="00557AB9">
        <w:rPr>
          <w:lang w:eastAsia="zh-CN"/>
        </w:rPr>
        <w:t>.</w:t>
      </w:r>
    </w:p>
    <w:p w14:paraId="71A67D35" w14:textId="77777777" w:rsidR="007145DA" w:rsidRPr="00AB5915" w:rsidRDefault="007145DA" w:rsidP="00AB5915">
      <w:pPr>
        <w:rPr>
          <w:lang w:eastAsia="zh-CN"/>
        </w:rPr>
      </w:pPr>
    </w:p>
    <w:p w14:paraId="6417ADD1" w14:textId="3949C7D2" w:rsidR="00D44CB9" w:rsidRDefault="001832D8" w:rsidP="00D44CB9">
      <w:pPr>
        <w:rPr>
          <w:lang w:eastAsia="zh-CN"/>
        </w:rPr>
      </w:pPr>
      <w:r w:rsidRPr="001832D8">
        <w:t xml:space="preserve">Licensing is the main route to lawful digital exploitation. Because </w:t>
      </w:r>
      <w:r w:rsidR="00492109">
        <w:t xml:space="preserve">UK </w:t>
      </w:r>
      <w:r w:rsidR="00D9154B">
        <w:t>copyright law</w:t>
      </w:r>
      <w:r w:rsidRPr="001832D8">
        <w:t xml:space="preserve"> usually involves several restricted acts, including copying and communication to the public,</w:t>
      </w:r>
      <w:r w:rsidR="00D9154B">
        <w:rPr>
          <w:rStyle w:val="FootnoteReference"/>
        </w:rPr>
        <w:footnoteReference w:id="36"/>
      </w:r>
      <w:r w:rsidRPr="001832D8">
        <w:t xml:space="preserve"> online services may require the copyright owner’s permission at multiple points</w:t>
      </w:r>
      <w:r w:rsidR="00AF1B74" w:rsidRPr="00AF1B74">
        <w:t xml:space="preserve">. </w:t>
      </w:r>
      <w:r w:rsidR="00955D89" w:rsidRPr="00955D89">
        <w:t>Legality therefore depends on whether those acts are authorised across rights, territories, delivery chains, and commercial uses in each market</w:t>
      </w:r>
      <w:r w:rsidR="00EE4E1D" w:rsidRPr="00EE4E1D">
        <w:rPr>
          <w:lang w:eastAsia="zh-CN"/>
        </w:rPr>
        <w:t>.</w:t>
      </w:r>
      <w:r w:rsidR="00955D89" w:rsidRPr="00955D89">
        <w:t xml:space="preserve"> </w:t>
      </w:r>
      <w:r w:rsidR="00955D89" w:rsidRPr="00F718FE">
        <w:rPr>
          <w:i/>
          <w:iCs/>
        </w:rPr>
        <w:t>ITV Broadcasting</w:t>
      </w:r>
      <w:r w:rsidR="00955D89" w:rsidRPr="00955D89">
        <w:t xml:space="preserve"> illustrates this: retransmitting broadcasts online to a new public is itself a restricted act requiring permission, even where the original broadcast was lawful</w:t>
      </w:r>
      <w:r w:rsidR="00AF1B74" w:rsidRPr="00AF1B74">
        <w:t>.</w:t>
      </w:r>
      <w:r w:rsidR="000279F1">
        <w:rPr>
          <w:rStyle w:val="FootnoteReference"/>
        </w:rPr>
        <w:footnoteReference w:id="37"/>
      </w:r>
      <w:r w:rsidR="00AF1B74" w:rsidRPr="00AF1B74">
        <w:t xml:space="preserve"> </w:t>
      </w:r>
      <w:r w:rsidR="00EA3085" w:rsidRPr="00EA3085">
        <w:t>It follows that stages of digital dissemination may trigger distinct rights, so lawful circulation depends on permission covering the whole chain rather than any act viewed alone. Licensing is therefore not just a transaction but the mechanism through which digital circulation is structured. Economic rights make that mechanism possible because, as proprietary and transferable rights, they can be assigned, divided, and bundled across complex digital markets</w:t>
      </w:r>
      <w:r w:rsidR="00AF1B74" w:rsidRPr="00AF1B74">
        <w:t>.</w:t>
      </w:r>
      <w:r w:rsidR="00C714C7">
        <w:rPr>
          <w:rStyle w:val="FootnoteReference"/>
        </w:rPr>
        <w:footnoteReference w:id="38"/>
      </w:r>
    </w:p>
    <w:p w14:paraId="511D95FA" w14:textId="77777777" w:rsidR="00C3361B" w:rsidRDefault="00C3361B" w:rsidP="00292202">
      <w:pPr>
        <w:rPr>
          <w:lang w:eastAsia="zh-CN"/>
        </w:rPr>
      </w:pPr>
    </w:p>
    <w:p w14:paraId="04ED2F4A" w14:textId="6A0A2C85" w:rsidR="00224E74" w:rsidRDefault="00224E74" w:rsidP="00224E74">
      <w:pPr>
        <w:pStyle w:val="Heading2"/>
        <w:rPr>
          <w:rFonts w:eastAsia="Times New Roman"/>
          <w:szCs w:val="24"/>
          <w:lang w:eastAsia="zh-CN"/>
        </w:rPr>
      </w:pPr>
      <w:bookmarkStart w:id="11" w:name="_Toc225453997"/>
      <w:r>
        <w:lastRenderedPageBreak/>
        <w:t>4.2 Enforcement Architecture and the Relative Strength of Remedies</w:t>
      </w:r>
      <w:bookmarkEnd w:id="11"/>
    </w:p>
    <w:p w14:paraId="207214C8" w14:textId="3631FA9C" w:rsidR="00560859" w:rsidRDefault="00CE1221" w:rsidP="00560859">
      <w:pPr>
        <w:rPr>
          <w:lang w:eastAsia="zh-CN"/>
        </w:rPr>
      </w:pPr>
      <w:r w:rsidRPr="00CE1221">
        <w:rPr>
          <w:lang w:eastAsia="zh-CN"/>
        </w:rPr>
        <w:t xml:space="preserve">Enforcement in digital contexts is shaped by scale, because infringement often occurs across </w:t>
      </w:r>
      <w:r w:rsidR="00BB52F6">
        <w:rPr>
          <w:lang w:eastAsia="zh-CN"/>
        </w:rPr>
        <w:t>many platforms</w:t>
      </w:r>
      <w:r w:rsidRPr="00CE1221">
        <w:rPr>
          <w:rFonts w:hint="eastAsia"/>
          <w:lang w:eastAsia="zh-CN"/>
        </w:rPr>
        <w:t>.</w:t>
      </w:r>
      <w:r w:rsidR="00FA6B5A">
        <w:rPr>
          <w:rStyle w:val="FootnoteReference"/>
          <w:lang w:eastAsia="zh-CN"/>
        </w:rPr>
        <w:footnoteReference w:id="39"/>
      </w:r>
      <w:r w:rsidRPr="00CE1221">
        <w:rPr>
          <w:lang w:eastAsia="zh-CN"/>
        </w:rPr>
        <w:t xml:space="preserve"> In such conditions, remedies applied rapidly through standardised criteria are more valuable than </w:t>
      </w:r>
      <w:r w:rsidR="00EB47ED">
        <w:rPr>
          <w:lang w:eastAsia="zh-CN"/>
        </w:rPr>
        <w:t xml:space="preserve">full </w:t>
      </w:r>
      <w:r w:rsidRPr="00CE1221">
        <w:rPr>
          <w:rFonts w:hint="eastAsia"/>
          <w:lang w:eastAsia="zh-CN"/>
        </w:rPr>
        <w:t>a</w:t>
      </w:r>
      <w:r w:rsidRPr="00CE1221">
        <w:rPr>
          <w:lang w:eastAsia="zh-CN"/>
        </w:rPr>
        <w:t>djudication in every instance. Economic rights claims are therefore the most workable, since they correspond to observable acts such as copying, communication to the public, and making available.</w:t>
      </w:r>
      <w:r w:rsidR="009F0EE6">
        <w:rPr>
          <w:rStyle w:val="FootnoteReference"/>
          <w:lang w:eastAsia="zh-CN"/>
        </w:rPr>
        <w:footnoteReference w:id="40"/>
      </w:r>
      <w:r w:rsidRPr="00CE1221">
        <w:rPr>
          <w:lang w:eastAsia="zh-CN"/>
        </w:rPr>
        <w:t xml:space="preserve"> UK practice reflects this advantage. In </w:t>
      </w:r>
      <w:r w:rsidRPr="00CE1221">
        <w:rPr>
          <w:i/>
          <w:iCs/>
          <w:lang w:eastAsia="zh-CN"/>
        </w:rPr>
        <w:t>Newzbin2</w:t>
      </w:r>
      <w:r w:rsidRPr="00CE1221">
        <w:rPr>
          <w:lang w:eastAsia="zh-CN"/>
        </w:rPr>
        <w:t xml:space="preserve">, the court granted website-blocking relief </w:t>
      </w:r>
      <w:r w:rsidR="0098210E">
        <w:rPr>
          <w:lang w:eastAsia="zh-CN"/>
        </w:rPr>
        <w:t>against</w:t>
      </w:r>
      <w:r w:rsidRPr="00CE1221">
        <w:rPr>
          <w:lang w:eastAsia="zh-CN"/>
        </w:rPr>
        <w:t xml:space="preserve"> continued infringement, showing that economic rights can generate targeted and scalable intervention against persistent digital wrongdoing.</w:t>
      </w:r>
      <w:r w:rsidR="00C10D86">
        <w:rPr>
          <w:rStyle w:val="FootnoteReference"/>
          <w:lang w:eastAsia="zh-CN"/>
        </w:rPr>
        <w:footnoteReference w:id="41"/>
      </w:r>
      <w:r w:rsidRPr="00CE1221">
        <w:rPr>
          <w:lang w:eastAsia="zh-CN"/>
        </w:rPr>
        <w:t xml:space="preserve"> They also suit intermediary handling, because platforms need decision rules that can be applied consistently, quickly, and at scale. Their relative strength lies less in conceptual richness than in administrative clarity, platform compatibility, and effective remedial traction online, where speed, repeatability, and manageable proof thresholds determine practical success</w:t>
      </w:r>
      <w:r w:rsidR="00FE549F" w:rsidRPr="00FE549F">
        <w:rPr>
          <w:lang w:eastAsia="zh-CN"/>
        </w:rPr>
        <w:t>.</w:t>
      </w:r>
    </w:p>
    <w:p w14:paraId="06BA5D09" w14:textId="77777777" w:rsidR="00FE549F" w:rsidRPr="00560859" w:rsidRDefault="00FE549F" w:rsidP="00560859">
      <w:pPr>
        <w:rPr>
          <w:lang w:eastAsia="zh-CN"/>
        </w:rPr>
      </w:pPr>
    </w:p>
    <w:p w14:paraId="2E16E6FA" w14:textId="193F4E02" w:rsidR="00224E74" w:rsidRDefault="009D0D3E" w:rsidP="00292202">
      <w:pPr>
        <w:rPr>
          <w:lang w:eastAsia="zh-CN"/>
        </w:rPr>
      </w:pPr>
      <w:r w:rsidRPr="009D0D3E">
        <w:rPr>
          <w:lang w:eastAsia="zh-CN"/>
        </w:rPr>
        <w:t xml:space="preserve">Intermediaries largely determine practical outcomes online because they </w:t>
      </w:r>
      <w:r w:rsidR="001E49B4">
        <w:rPr>
          <w:lang w:eastAsia="zh-CN"/>
        </w:rPr>
        <w:t>intervene in</w:t>
      </w:r>
      <w:r w:rsidRPr="009D0D3E">
        <w:rPr>
          <w:lang w:eastAsia="zh-CN"/>
        </w:rPr>
        <w:t xml:space="preserve"> </w:t>
      </w:r>
      <w:r w:rsidR="00BF1780">
        <w:rPr>
          <w:lang w:eastAsia="zh-CN"/>
        </w:rPr>
        <w:t>distribution</w:t>
      </w:r>
      <w:r w:rsidRPr="009D0D3E">
        <w:rPr>
          <w:lang w:eastAsia="zh-CN"/>
        </w:rPr>
        <w:t xml:space="preserve"> and visibility.</w:t>
      </w:r>
      <w:r w:rsidR="00994F8D">
        <w:rPr>
          <w:rStyle w:val="FootnoteReference"/>
          <w:lang w:eastAsia="zh-CN"/>
        </w:rPr>
        <w:footnoteReference w:id="42"/>
      </w:r>
      <w:r w:rsidRPr="009D0D3E">
        <w:rPr>
          <w:lang w:eastAsia="zh-CN"/>
        </w:rPr>
        <w:t xml:space="preserve"> Consequently, copyright enforcement often proceeds through notice-based systems that remove content, restrict access, or redirect revenue in response to claims framed in exclusive-rights terms. </w:t>
      </w:r>
      <w:r w:rsidRPr="005A74CB">
        <w:rPr>
          <w:i/>
          <w:iCs/>
          <w:lang w:eastAsia="zh-CN"/>
        </w:rPr>
        <w:t>Cartier</w:t>
      </w:r>
      <w:r w:rsidRPr="009D0D3E">
        <w:rPr>
          <w:lang w:eastAsia="zh-CN"/>
        </w:rPr>
        <w:t xml:space="preserve"> supports this intermediary-centred model by showing that online enforcement is more effective </w:t>
      </w:r>
      <w:r w:rsidR="00171E54">
        <w:rPr>
          <w:lang w:eastAsia="zh-CN"/>
        </w:rPr>
        <w:t xml:space="preserve">in most cases </w:t>
      </w:r>
      <w:r w:rsidRPr="009D0D3E">
        <w:rPr>
          <w:rFonts w:hint="eastAsia"/>
          <w:lang w:eastAsia="zh-CN"/>
        </w:rPr>
        <w:t>w</w:t>
      </w:r>
      <w:r w:rsidRPr="009D0D3E">
        <w:rPr>
          <w:lang w:eastAsia="zh-CN"/>
        </w:rPr>
        <w:t>hen directed at actors controlling access than at dispersed end users.</w:t>
      </w:r>
      <w:r w:rsidR="00C20F75">
        <w:rPr>
          <w:rStyle w:val="FootnoteReference"/>
          <w:lang w:eastAsia="zh-CN"/>
        </w:rPr>
        <w:footnoteReference w:id="43"/>
      </w:r>
      <w:r w:rsidRPr="009D0D3E">
        <w:rPr>
          <w:lang w:eastAsia="zh-CN"/>
        </w:rPr>
        <w:t xml:space="preserve"> Once enforcement is routed through intermediaries, it tends to favour rights that can be applied through standardised platform criteria. Automated matching tools therefore become a logical extension, since platforms need repeatable, low-cost methods for identifying protected audio, video, and image content and triggering preset responses such as blocking, takedown, or revenue sharing. Although such systems may overreach lawful reuse, they show why economic rights are operationally stronger </w:t>
      </w:r>
      <w:r w:rsidRPr="009D0D3E">
        <w:rPr>
          <w:lang w:eastAsia="zh-CN"/>
        </w:rPr>
        <w:lastRenderedPageBreak/>
        <w:t>online: unlike moral-rights claims, they fit routine decisions at scale because they require less highly contextual, reputation-sensitive judgment in practice today overall</w:t>
      </w:r>
      <w:r w:rsidR="00944465" w:rsidRPr="00944465">
        <w:rPr>
          <w:lang w:eastAsia="zh-CN"/>
        </w:rPr>
        <w:t>.</w:t>
      </w:r>
    </w:p>
    <w:p w14:paraId="65746AF6" w14:textId="77777777" w:rsidR="00944465" w:rsidRDefault="00944465" w:rsidP="00292202">
      <w:pPr>
        <w:rPr>
          <w:lang w:eastAsia="zh-CN"/>
        </w:rPr>
      </w:pPr>
    </w:p>
    <w:p w14:paraId="77BF2586" w14:textId="77777777" w:rsidR="003B53AE" w:rsidRPr="003B53AE" w:rsidRDefault="003B53AE" w:rsidP="003B53AE">
      <w:pPr>
        <w:pStyle w:val="Heading2"/>
      </w:pPr>
      <w:bookmarkStart w:id="12" w:name="_Toc225453998"/>
      <w:r w:rsidRPr="003B53AE">
        <w:t>4.3 Contractual Governance and the Role of Intermediaries in Digital Uses</w:t>
      </w:r>
      <w:bookmarkEnd w:id="12"/>
    </w:p>
    <w:p w14:paraId="5FBAE199" w14:textId="127C3CF0" w:rsidR="007020DD" w:rsidRPr="007020DD" w:rsidRDefault="00AF71C2" w:rsidP="007020DD">
      <w:pPr>
        <w:rPr>
          <w:lang w:eastAsia="zh-CN"/>
        </w:rPr>
      </w:pPr>
      <w:r w:rsidRPr="00AF71C2">
        <w:rPr>
          <w:lang w:eastAsia="zh-CN"/>
        </w:rPr>
        <w:t>Contracts and platform rules determine how economic rights are exercised online</w:t>
      </w:r>
      <w:r w:rsidR="00EC0DF1">
        <w:rPr>
          <w:rFonts w:eastAsia="Microsoft YaHei" w:cs="Times New Roman"/>
          <w:lang w:eastAsia="zh-CN"/>
        </w:rPr>
        <w:t>. This is</w:t>
      </w:r>
      <w:r w:rsidRPr="00AF71C2">
        <w:rPr>
          <w:lang w:eastAsia="zh-CN"/>
        </w:rPr>
        <w:t xml:space="preserve"> because digital exploitation is organised </w:t>
      </w:r>
      <w:r w:rsidR="00EF57AE">
        <w:rPr>
          <w:lang w:eastAsia="zh-CN"/>
        </w:rPr>
        <w:t>typically</w:t>
      </w:r>
      <w:r w:rsidRPr="00AF71C2">
        <w:rPr>
          <w:lang w:eastAsia="zh-CN"/>
        </w:rPr>
        <w:t xml:space="preserve"> through licences.</w:t>
      </w:r>
      <w:r w:rsidR="00056F1B">
        <w:rPr>
          <w:rStyle w:val="FootnoteReference"/>
          <w:lang w:eastAsia="zh-CN"/>
        </w:rPr>
        <w:footnoteReference w:id="44"/>
      </w:r>
      <w:r w:rsidRPr="00AF71C2">
        <w:rPr>
          <w:lang w:eastAsia="zh-CN"/>
        </w:rPr>
        <w:t xml:space="preserve"> Platform terms therefore define the permissions granted by uploaders, the scope of sharing, the treatment of repeat infringement, and the conditions governing monetisation, visibility, and dispute resolution. Private ordering thus does not merely supplement statutory rights; it provides the mechanism through which those rights operate online. </w:t>
      </w:r>
      <w:r w:rsidRPr="00DC7F50">
        <w:rPr>
          <w:i/>
          <w:iCs/>
          <w:lang w:eastAsia="zh-CN"/>
        </w:rPr>
        <w:t>TuneIn</w:t>
      </w:r>
      <w:r w:rsidRPr="00AF71C2">
        <w:rPr>
          <w:lang w:eastAsia="zh-CN"/>
        </w:rPr>
        <w:t xml:space="preserve"> clarifies the point by showing that digital availability depends not simply on technical access, but on whether the relevant act of exploitation falls within authorised permissions.</w:t>
      </w:r>
      <w:r w:rsidR="00107BAF">
        <w:rPr>
          <w:rStyle w:val="FootnoteReference"/>
          <w:lang w:eastAsia="zh-CN"/>
        </w:rPr>
        <w:footnoteReference w:id="45"/>
      </w:r>
      <w:r w:rsidRPr="00AF71C2">
        <w:rPr>
          <w:lang w:eastAsia="zh-CN"/>
        </w:rPr>
        <w:t xml:space="preserve"> That principle matters in platform environments because </w:t>
      </w:r>
      <w:proofErr w:type="gramStart"/>
      <w:r w:rsidRPr="00AF71C2">
        <w:rPr>
          <w:lang w:eastAsia="zh-CN"/>
        </w:rPr>
        <w:t>platforms</w:t>
      </w:r>
      <w:proofErr w:type="gramEnd"/>
      <w:r w:rsidRPr="00AF71C2">
        <w:rPr>
          <w:lang w:eastAsia="zh-CN"/>
        </w:rPr>
        <w:t xml:space="preserve"> structure exploitation through terms that allocate, define, and limit those permissions in advance. Contractual architecture therefore shapes the practical value of economic rights: creators may hold strong statutory entitlements yet still receive weak protection where terms are broad, reporting is limited, and review mechanisms remain opaque</w:t>
      </w:r>
      <w:r w:rsidR="007020DD" w:rsidRPr="007020DD">
        <w:rPr>
          <w:lang w:eastAsia="zh-CN"/>
        </w:rPr>
        <w:t>.</w:t>
      </w:r>
    </w:p>
    <w:p w14:paraId="1F6D96EE" w14:textId="77777777" w:rsidR="007020DD" w:rsidRPr="007020DD" w:rsidRDefault="007020DD" w:rsidP="007020DD">
      <w:pPr>
        <w:rPr>
          <w:lang w:eastAsia="zh-CN"/>
        </w:rPr>
      </w:pPr>
    </w:p>
    <w:p w14:paraId="12BCC3C3" w14:textId="215761B6" w:rsidR="00224E74" w:rsidRPr="00292202" w:rsidRDefault="00A966CA" w:rsidP="00292202">
      <w:pPr>
        <w:rPr>
          <w:lang w:eastAsia="zh-CN"/>
        </w:rPr>
      </w:pPr>
      <w:r w:rsidRPr="00A966CA">
        <w:rPr>
          <w:lang w:eastAsia="zh-CN"/>
        </w:rPr>
        <w:t>Intermediaries such as collecting societies shape outcomes because they control how economic rights are licensed, monetised, and enforced.</w:t>
      </w:r>
      <w:r w:rsidR="00F52FD8">
        <w:rPr>
          <w:rStyle w:val="FootnoteReference"/>
          <w:lang w:eastAsia="zh-CN"/>
        </w:rPr>
        <w:footnoteReference w:id="46"/>
      </w:r>
      <w:r w:rsidRPr="00A966CA">
        <w:rPr>
          <w:lang w:eastAsia="zh-CN"/>
        </w:rPr>
        <w:t xml:space="preserve"> By aggregating rights, they reduce transaction costs and make availability possible across markets.</w:t>
      </w:r>
      <w:r w:rsidR="00583868">
        <w:rPr>
          <w:rStyle w:val="FootnoteReference"/>
          <w:lang w:eastAsia="zh-CN"/>
        </w:rPr>
        <w:footnoteReference w:id="47"/>
      </w:r>
      <w:r w:rsidRPr="00A966CA">
        <w:rPr>
          <w:lang w:eastAsia="zh-CN"/>
        </w:rPr>
        <w:t xml:space="preserve"> Yet concentration </w:t>
      </w:r>
      <w:r w:rsidR="005E0C1F">
        <w:rPr>
          <w:lang w:eastAsia="zh-CN"/>
        </w:rPr>
        <w:t>may</w:t>
      </w:r>
      <w:r w:rsidRPr="00A966CA">
        <w:rPr>
          <w:lang w:eastAsia="zh-CN"/>
        </w:rPr>
        <w:t xml:space="preserve"> weaken creators, because control over licensing controls reporting, royalty calculation, and access to audits. The legal significance is structural: digital exploitation depends not only on abstract ownership, but on the institutional arrangements through which permissions are organised across territories, publics, and markets. </w:t>
      </w:r>
      <w:r w:rsidRPr="0048460C">
        <w:rPr>
          <w:i/>
          <w:iCs/>
          <w:lang w:eastAsia="zh-CN"/>
        </w:rPr>
        <w:t>TuneIn</w:t>
      </w:r>
      <w:r w:rsidRPr="00A966CA">
        <w:rPr>
          <w:lang w:eastAsia="zh-CN"/>
        </w:rPr>
        <w:t xml:space="preserve"> supports that proposition because it shows that liability turns on authorised use rather than technical accessibility.</w:t>
      </w:r>
      <w:r w:rsidR="00F52FD8">
        <w:rPr>
          <w:rStyle w:val="FootnoteReference"/>
          <w:lang w:eastAsia="zh-CN"/>
        </w:rPr>
        <w:footnoteReference w:id="48"/>
      </w:r>
      <w:r w:rsidRPr="00A966CA">
        <w:rPr>
          <w:lang w:eastAsia="zh-CN"/>
        </w:rPr>
        <w:t xml:space="preserve"> In platform markets, authorised use is </w:t>
      </w:r>
      <w:r w:rsidRPr="00A966CA">
        <w:rPr>
          <w:lang w:eastAsia="zh-CN"/>
        </w:rPr>
        <w:lastRenderedPageBreak/>
        <w:t>defined and channelled through intermediaries rather than creators directly. Doctrinal analysis should therefore move from a formal account of exclusive rights to a governance-based account of how those rights are operationalised, requiring clearer licensing scope, stronger reporting duties, and fairer dispute procedures</w:t>
      </w:r>
      <w:r w:rsidR="007020DD" w:rsidRPr="007020DD">
        <w:rPr>
          <w:lang w:eastAsia="zh-CN"/>
        </w:rPr>
        <w:t>.</w:t>
      </w:r>
    </w:p>
    <w:p w14:paraId="069824DD" w14:textId="77777777" w:rsidR="00B56592" w:rsidRDefault="00B56592" w:rsidP="00B56592">
      <w:pPr>
        <w:rPr>
          <w:lang w:eastAsia="zh-CN"/>
        </w:rPr>
      </w:pPr>
    </w:p>
    <w:p w14:paraId="5DD6D562" w14:textId="77777777" w:rsidR="00B56592" w:rsidRPr="00B56592" w:rsidRDefault="00B56592" w:rsidP="00B56592">
      <w:pPr>
        <w:rPr>
          <w:lang w:eastAsia="zh-CN"/>
        </w:rPr>
        <w:sectPr w:rsidR="00B56592" w:rsidRPr="00B56592" w:rsidSect="00B56592">
          <w:headerReference w:type="default" r:id="rId20"/>
          <w:pgSz w:w="11906" w:h="16838"/>
          <w:pgMar w:top="1440" w:right="1440" w:bottom="1440" w:left="1440" w:header="709" w:footer="709" w:gutter="0"/>
          <w:cols w:space="708"/>
          <w:docGrid w:linePitch="360"/>
        </w:sectPr>
      </w:pPr>
    </w:p>
    <w:p w14:paraId="49F31A7A" w14:textId="5E7E2E8C" w:rsidR="004157A7" w:rsidRDefault="004157A7" w:rsidP="007A4273">
      <w:pPr>
        <w:pStyle w:val="Heading1"/>
        <w:rPr>
          <w:lang w:eastAsia="zh-CN"/>
        </w:rPr>
      </w:pPr>
      <w:bookmarkStart w:id="13" w:name="_Toc225453999"/>
      <w:r>
        <w:rPr>
          <w:lang w:eastAsia="zh-CN"/>
        </w:rPr>
        <w:lastRenderedPageBreak/>
        <w:t xml:space="preserve">5. </w:t>
      </w:r>
      <w:r w:rsidR="00AC6634" w:rsidRPr="00AC6634">
        <w:rPr>
          <w:lang w:eastAsia="zh-CN"/>
        </w:rPr>
        <w:t>Viral Culture and Copyright Priorities</w:t>
      </w:r>
      <w:bookmarkEnd w:id="13"/>
    </w:p>
    <w:p w14:paraId="45E3CB9A" w14:textId="1CEDC953" w:rsidR="004157A7" w:rsidRDefault="00894D2B" w:rsidP="004157A7">
      <w:pPr>
        <w:rPr>
          <w:lang w:eastAsia="zh-CN"/>
        </w:rPr>
      </w:pPr>
      <w:r w:rsidRPr="00894D2B">
        <w:rPr>
          <w:lang w:eastAsia="zh-CN"/>
        </w:rPr>
        <w:t>The motion argues that the ease of sharing and the virality of online content make moral rights, especially attribution and integrity, more important in the digital environment than any economic rights. This chapter does not repeat earlier explanations of how platforms strip metadata or how licensing ecosystems work. It instead tests the motion by applying UK legal structure to three questions. First, can the right be triggered in time to matter in a viral setting. Second, can the claimant meet the doctrinal threshold with evidence that courts accept. Third, can the remedy be implemented through intermediaries at the scale of digital circulation.</w:t>
      </w:r>
    </w:p>
    <w:p w14:paraId="280783DA" w14:textId="77777777" w:rsidR="00E41C7E" w:rsidRDefault="00E41C7E" w:rsidP="004157A7">
      <w:pPr>
        <w:rPr>
          <w:lang w:eastAsia="zh-CN"/>
        </w:rPr>
      </w:pPr>
    </w:p>
    <w:p w14:paraId="6C676FD6" w14:textId="77777777" w:rsidR="00E41C7E" w:rsidRPr="00E41C7E" w:rsidRDefault="00E41C7E" w:rsidP="00E41C7E">
      <w:pPr>
        <w:pStyle w:val="Heading2"/>
        <w:rPr>
          <w:lang w:eastAsia="zh-CN"/>
        </w:rPr>
      </w:pPr>
      <w:bookmarkStart w:id="14" w:name="_Toc225454000"/>
      <w:r w:rsidRPr="00E41C7E">
        <w:rPr>
          <w:lang w:eastAsia="zh-CN"/>
        </w:rPr>
        <w:t>5.1 Moral Rights Under Viral Pressure</w:t>
      </w:r>
      <w:bookmarkEnd w:id="14"/>
    </w:p>
    <w:p w14:paraId="71124C89" w14:textId="05386FB1" w:rsidR="00E41C7E" w:rsidRDefault="0090409E" w:rsidP="004157A7">
      <w:pPr>
        <w:rPr>
          <w:lang w:eastAsia="zh-CN"/>
        </w:rPr>
      </w:pPr>
      <w:r w:rsidRPr="0090409E">
        <w:rPr>
          <w:lang w:eastAsia="zh-CN"/>
        </w:rPr>
        <w:t>UK moral rights carry normative appeal in a viral environment, but their practical force depends on whether they can operate before circulation becomes irreversible</w:t>
      </w:r>
      <w:r w:rsidR="00487242" w:rsidRPr="00487242">
        <w:rPr>
          <w:lang w:eastAsia="zh-CN"/>
        </w:rPr>
        <w:t xml:space="preserve">. </w:t>
      </w:r>
      <w:r w:rsidR="00AB0F9F" w:rsidRPr="00AB0F9F">
        <w:rPr>
          <w:lang w:eastAsia="zh-CN"/>
        </w:rPr>
        <w:t xml:space="preserve">The right to be identified as author seems important online because virality can disconnect a work from its </w:t>
      </w:r>
      <w:r w:rsidR="005C3708">
        <w:rPr>
          <w:lang w:eastAsia="zh-CN"/>
        </w:rPr>
        <w:t xml:space="preserve">original </w:t>
      </w:r>
      <w:r w:rsidR="00AB0F9F" w:rsidRPr="00AB0F9F">
        <w:rPr>
          <w:lang w:eastAsia="zh-CN"/>
        </w:rPr>
        <w:t>creator</w:t>
      </w:r>
      <w:r w:rsidR="00E168BE">
        <w:rPr>
          <w:rFonts w:eastAsia="Microsoft YaHei" w:cs="Times New Roman"/>
          <w:lang w:eastAsia="zh-CN"/>
        </w:rPr>
        <w:t>.</w:t>
      </w:r>
      <w:r w:rsidR="00454946">
        <w:rPr>
          <w:rStyle w:val="FootnoteReference"/>
          <w:rFonts w:eastAsia="Microsoft YaHei" w:cs="Times New Roman"/>
          <w:lang w:eastAsia="zh-CN"/>
        </w:rPr>
        <w:footnoteReference w:id="49"/>
      </w:r>
      <w:r w:rsidR="00E168BE">
        <w:rPr>
          <w:rFonts w:eastAsia="Microsoft YaHei" w:cs="Times New Roman"/>
          <w:lang w:eastAsia="zh-CN"/>
        </w:rPr>
        <w:t xml:space="preserve"> </w:t>
      </w:r>
      <w:r w:rsidR="005D0D15" w:rsidRPr="00487242">
        <w:rPr>
          <w:lang w:eastAsia="zh-CN"/>
        </w:rPr>
        <w:t>Yet UK law weakens that promise.</w:t>
      </w:r>
      <w:r w:rsidR="005D0D15">
        <w:rPr>
          <w:lang w:eastAsia="zh-CN"/>
        </w:rPr>
        <w:t xml:space="preserve"> </w:t>
      </w:r>
      <w:r w:rsidR="00F8682B" w:rsidRPr="00487242">
        <w:rPr>
          <w:lang w:eastAsia="zh-CN"/>
        </w:rPr>
        <w:t>The attribution right commonly requires prior assertion</w:t>
      </w:r>
      <w:r w:rsidR="00701D24">
        <w:rPr>
          <w:rStyle w:val="FootnoteReference"/>
          <w:lang w:eastAsia="zh-CN"/>
        </w:rPr>
        <w:footnoteReference w:id="50"/>
      </w:r>
      <w:r w:rsidR="00487242" w:rsidRPr="00487242">
        <w:rPr>
          <w:lang w:eastAsia="zh-CN"/>
        </w:rPr>
        <w:t xml:space="preserve"> </w:t>
      </w:r>
      <w:r w:rsidR="00C05200" w:rsidRPr="00487242">
        <w:rPr>
          <w:lang w:eastAsia="zh-CN"/>
        </w:rPr>
        <w:t>and remains vulnerable to waiver</w:t>
      </w:r>
      <w:r w:rsidR="00C05200">
        <w:rPr>
          <w:lang w:eastAsia="zh-CN"/>
        </w:rPr>
        <w:t>,</w:t>
      </w:r>
      <w:r w:rsidR="00701D24">
        <w:rPr>
          <w:rStyle w:val="FootnoteReference"/>
          <w:lang w:eastAsia="zh-CN"/>
        </w:rPr>
        <w:footnoteReference w:id="51"/>
      </w:r>
      <w:r w:rsidR="00C05200">
        <w:rPr>
          <w:lang w:eastAsia="zh-CN"/>
        </w:rPr>
        <w:t xml:space="preserve"> </w:t>
      </w:r>
      <w:r w:rsidR="00F31028" w:rsidRPr="00487242">
        <w:rPr>
          <w:lang w:eastAsia="zh-CN"/>
        </w:rPr>
        <w:t>so protection often depends on anticipatory action before any dispute arises</w:t>
      </w:r>
      <w:r w:rsidR="00C05200">
        <w:rPr>
          <w:lang w:eastAsia="zh-CN"/>
        </w:rPr>
        <w:t>.</w:t>
      </w:r>
      <w:r w:rsidR="00487242" w:rsidRPr="00487242">
        <w:rPr>
          <w:lang w:eastAsia="zh-CN"/>
        </w:rPr>
        <w:t xml:space="preserve"> </w:t>
      </w:r>
      <w:r w:rsidR="007509AC" w:rsidRPr="00487242">
        <w:rPr>
          <w:lang w:eastAsia="zh-CN"/>
        </w:rPr>
        <w:t>That design fits traditional publication practices better than contemporary platform circulation, where third parties can detach content from its source</w:t>
      </w:r>
      <w:r w:rsidR="00A93B07">
        <w:rPr>
          <w:lang w:eastAsia="zh-CN"/>
        </w:rPr>
        <w:t xml:space="preserve"> </w:t>
      </w:r>
      <w:r w:rsidR="00A93B07" w:rsidRPr="00A93B07">
        <w:rPr>
          <w:lang w:eastAsia="zh-CN"/>
        </w:rPr>
        <w:t>within minutes</w:t>
      </w:r>
      <w:r w:rsidR="00487242" w:rsidRPr="00487242">
        <w:rPr>
          <w:lang w:eastAsia="zh-CN"/>
        </w:rPr>
        <w:t>.</w:t>
      </w:r>
      <w:r w:rsidR="00F25957">
        <w:rPr>
          <w:rStyle w:val="FootnoteReference"/>
          <w:lang w:eastAsia="zh-CN"/>
        </w:rPr>
        <w:footnoteReference w:id="52"/>
      </w:r>
      <w:r w:rsidR="00487242" w:rsidRPr="00487242">
        <w:rPr>
          <w:lang w:eastAsia="zh-CN"/>
        </w:rPr>
        <w:t xml:space="preserve"> </w:t>
      </w:r>
      <w:r w:rsidR="00994BF3" w:rsidRPr="00487242">
        <w:rPr>
          <w:lang w:eastAsia="zh-CN"/>
        </w:rPr>
        <w:t>A more purposive approach would treat stable digital authorship signals, such as embedded credits, metadata, or verified creator profiles, as satisfying assertion because they perform the same notice function.</w:t>
      </w:r>
      <w:r w:rsidR="00994BF3">
        <w:rPr>
          <w:lang w:eastAsia="zh-CN"/>
        </w:rPr>
        <w:t xml:space="preserve"> </w:t>
      </w:r>
      <w:r w:rsidR="009605EA" w:rsidRPr="009605EA">
        <w:rPr>
          <w:lang w:eastAsia="zh-CN"/>
        </w:rPr>
        <w:t>Even then, contractual waivers in platform and commissioning arrangements mean moral rights remain legally fragile precisely where viral dissemination makes them socially most valuable for creators seeking recognition and reputational continuity online</w:t>
      </w:r>
      <w:r w:rsidR="00487242" w:rsidRPr="00487242">
        <w:rPr>
          <w:lang w:eastAsia="zh-CN"/>
        </w:rPr>
        <w:t>.</w:t>
      </w:r>
    </w:p>
    <w:p w14:paraId="00C6DFF7" w14:textId="77777777" w:rsidR="00E41C7E" w:rsidRDefault="00E41C7E" w:rsidP="004157A7">
      <w:pPr>
        <w:rPr>
          <w:lang w:eastAsia="zh-CN"/>
        </w:rPr>
      </w:pPr>
    </w:p>
    <w:p w14:paraId="071A661D" w14:textId="36B48FCE" w:rsidR="007F6C60" w:rsidRDefault="00963CC2" w:rsidP="004157A7">
      <w:pPr>
        <w:rPr>
          <w:lang w:eastAsia="zh-CN"/>
        </w:rPr>
      </w:pPr>
      <w:r w:rsidRPr="00963CC2">
        <w:rPr>
          <w:lang w:eastAsia="zh-CN"/>
        </w:rPr>
        <w:t>The right of integrity in UK law reveals the same gap between moral urgency and legal operability in viral environments. The statute protects authors only against derogatory treatment is prejudicial to honour or reputation,</w:t>
      </w:r>
      <w:r w:rsidR="00FE69F5">
        <w:rPr>
          <w:rStyle w:val="FootnoteReference"/>
          <w:lang w:eastAsia="zh-CN"/>
        </w:rPr>
        <w:footnoteReference w:id="53"/>
      </w:r>
      <w:r w:rsidRPr="00963CC2">
        <w:rPr>
          <w:lang w:eastAsia="zh-CN"/>
        </w:rPr>
        <w:t xml:space="preserve"> so the claim begins with doctrinal threshold </w:t>
      </w:r>
      <w:r w:rsidRPr="00963CC2">
        <w:rPr>
          <w:lang w:eastAsia="zh-CN"/>
        </w:rPr>
        <w:lastRenderedPageBreak/>
        <w:t>rather than a</w:t>
      </w:r>
      <w:r w:rsidR="005E7515">
        <w:rPr>
          <w:lang w:eastAsia="zh-CN"/>
        </w:rPr>
        <w:t>n</w:t>
      </w:r>
      <w:r w:rsidRPr="00963CC2">
        <w:rPr>
          <w:lang w:eastAsia="zh-CN"/>
        </w:rPr>
        <w:t xml:space="preserve"> objection to online misuse. That limit </w:t>
      </w:r>
      <w:r w:rsidR="00DD053D">
        <w:rPr>
          <w:lang w:eastAsia="zh-CN"/>
        </w:rPr>
        <w:t>is justified</w:t>
      </w:r>
      <w:r w:rsidRPr="00963CC2">
        <w:rPr>
          <w:lang w:eastAsia="zh-CN"/>
        </w:rPr>
        <w:t xml:space="preserve"> because it prevents integrity from becoming a veto over parody, criticism, remix, or other transformative practices circulat</w:t>
      </w:r>
      <w:r w:rsidR="00D75DC9">
        <w:rPr>
          <w:lang w:eastAsia="zh-CN"/>
        </w:rPr>
        <w:t>ing</w:t>
      </w:r>
      <w:r w:rsidRPr="00963CC2">
        <w:rPr>
          <w:lang w:eastAsia="zh-CN"/>
        </w:rPr>
        <w:t xml:space="preserve"> online. </w:t>
      </w:r>
      <w:r w:rsidRPr="00753859">
        <w:rPr>
          <w:i/>
          <w:iCs/>
          <w:lang w:eastAsia="zh-CN"/>
        </w:rPr>
        <w:t>Confetti</w:t>
      </w:r>
      <w:r w:rsidRPr="00963CC2">
        <w:rPr>
          <w:lang w:eastAsia="zh-CN"/>
        </w:rPr>
        <w:t xml:space="preserve"> </w:t>
      </w:r>
      <w:proofErr w:type="gramStart"/>
      <w:r w:rsidRPr="00963CC2">
        <w:rPr>
          <w:lang w:eastAsia="zh-CN"/>
        </w:rPr>
        <w:t>illustrates</w:t>
      </w:r>
      <w:proofErr w:type="gramEnd"/>
      <w:r w:rsidRPr="00963CC2">
        <w:rPr>
          <w:lang w:eastAsia="zh-CN"/>
        </w:rPr>
        <w:t xml:space="preserve"> the point: the claim failed not because alteration was irrelevant, but because prejudice was not sufficiently established.</w:t>
      </w:r>
      <w:r w:rsidR="00814C9F">
        <w:rPr>
          <w:rStyle w:val="FootnoteReference"/>
          <w:lang w:eastAsia="zh-CN"/>
        </w:rPr>
        <w:footnoteReference w:id="54"/>
      </w:r>
      <w:r w:rsidRPr="00963CC2">
        <w:rPr>
          <w:lang w:eastAsia="zh-CN"/>
        </w:rPr>
        <w:t xml:space="preserve"> The case therefore suggests a chain of reasoning. Viral </w:t>
      </w:r>
      <w:proofErr w:type="spellStart"/>
      <w:r w:rsidRPr="00963CC2">
        <w:rPr>
          <w:lang w:eastAsia="zh-CN"/>
        </w:rPr>
        <w:t>recontextualisation</w:t>
      </w:r>
      <w:proofErr w:type="spellEnd"/>
      <w:r w:rsidRPr="00963CC2">
        <w:rPr>
          <w:lang w:eastAsia="zh-CN"/>
        </w:rPr>
        <w:t xml:space="preserve"> may cause reputational harm,</w:t>
      </w:r>
      <w:r w:rsidR="00191E7B">
        <w:rPr>
          <w:rStyle w:val="FootnoteReference"/>
          <w:lang w:eastAsia="zh-CN"/>
        </w:rPr>
        <w:footnoteReference w:id="55"/>
      </w:r>
      <w:r w:rsidRPr="00963CC2">
        <w:rPr>
          <w:lang w:eastAsia="zh-CN"/>
        </w:rPr>
        <w:t xml:space="preserve"> yet claimants must still prove a qualifying treatment, show that the prejudice attaches to honour or reputation, and connect that prejudice to the altered work rather than to hostile captions, threads, or platform framing. For that reason, integrity has appeal online but remains only partially effective as a litigation tool in practice today</w:t>
      </w:r>
      <w:r w:rsidR="007F6C60" w:rsidRPr="007F6C60">
        <w:rPr>
          <w:lang w:eastAsia="zh-CN"/>
        </w:rPr>
        <w:t>.</w:t>
      </w:r>
    </w:p>
    <w:p w14:paraId="5DA59642" w14:textId="77777777" w:rsidR="007F6C60" w:rsidRDefault="007F6C60" w:rsidP="004157A7">
      <w:pPr>
        <w:rPr>
          <w:lang w:eastAsia="zh-CN"/>
        </w:rPr>
      </w:pPr>
    </w:p>
    <w:p w14:paraId="4C2F9430" w14:textId="28BB146D" w:rsidR="00474375" w:rsidRDefault="00B13F73" w:rsidP="004157A7">
      <w:pPr>
        <w:rPr>
          <w:lang w:eastAsia="zh-CN"/>
        </w:rPr>
      </w:pPr>
      <w:r w:rsidRPr="00B13F73">
        <w:rPr>
          <w:lang w:eastAsia="zh-CN"/>
        </w:rPr>
        <w:t xml:space="preserve">These doctrinal features support a narrower conclusion than the motion suggests. Virality undoubtedly increases the salience of moral rights, because </w:t>
      </w:r>
      <w:r w:rsidR="00925FC9">
        <w:rPr>
          <w:lang w:eastAsia="zh-CN"/>
        </w:rPr>
        <w:t>some</w:t>
      </w:r>
      <w:r w:rsidRPr="00B13F73">
        <w:rPr>
          <w:lang w:eastAsia="zh-CN"/>
        </w:rPr>
        <w:t xml:space="preserve"> immediate harms in digital circulation are reputational and identity based, and those harms may become practically irreversible once material is copied, remixed, and redistributed at scale. Yet legal importance in digital environments depends not only on the gravity of the harm, but also on whether a right can be triggered predictably, proved efficiently, and enforced at scale through intermediaries. Moral rights frequently require individualised proof,</w:t>
      </w:r>
      <w:r w:rsidR="005F28E6">
        <w:rPr>
          <w:rStyle w:val="FootnoteReference"/>
          <w:lang w:eastAsia="zh-CN"/>
        </w:rPr>
        <w:footnoteReference w:id="56"/>
      </w:r>
      <w:r w:rsidRPr="00B13F73">
        <w:rPr>
          <w:lang w:eastAsia="zh-CN"/>
        </w:rPr>
        <w:t xml:space="preserve"> may be limited by assertion</w:t>
      </w:r>
      <w:r w:rsidR="00B50AEF">
        <w:rPr>
          <w:rStyle w:val="FootnoteReference"/>
          <w:lang w:eastAsia="zh-CN"/>
        </w:rPr>
        <w:footnoteReference w:id="57"/>
      </w:r>
      <w:r w:rsidRPr="00B13F73">
        <w:rPr>
          <w:lang w:eastAsia="zh-CN"/>
        </w:rPr>
        <w:t xml:space="preserve"> and waiver,</w:t>
      </w:r>
      <w:r w:rsidR="00B50AEF">
        <w:rPr>
          <w:rStyle w:val="FootnoteReference"/>
          <w:lang w:eastAsia="zh-CN"/>
        </w:rPr>
        <w:footnoteReference w:id="58"/>
      </w:r>
      <w:r w:rsidRPr="00B13F73">
        <w:rPr>
          <w:lang w:eastAsia="zh-CN"/>
        </w:rPr>
        <w:t xml:space="preserve"> and remain difficult to embed in automated platform workflows. Their strongest function is therefore not to displace the economic-rights framework, which remains better suited to standardised platform governance, but to supply normative standards that shape platform architecture, moderation practice, and contractual drafting. On that basis, moral rights are better understood as complementary constraints than as rights more important than any economic right in the digital copyright ecosystem today overall</w:t>
      </w:r>
      <w:r w:rsidR="004D7A1B" w:rsidRPr="004D7A1B">
        <w:rPr>
          <w:lang w:eastAsia="zh-CN"/>
        </w:rPr>
        <w:t>.</w:t>
      </w:r>
    </w:p>
    <w:p w14:paraId="0CBF5408" w14:textId="77777777" w:rsidR="0026055B" w:rsidRDefault="0026055B" w:rsidP="004157A7">
      <w:pPr>
        <w:rPr>
          <w:lang w:eastAsia="zh-CN"/>
        </w:rPr>
      </w:pPr>
    </w:p>
    <w:p w14:paraId="6D797DE9" w14:textId="7161FD69" w:rsidR="00E41C7E" w:rsidRDefault="00E41C7E" w:rsidP="00E41C7E">
      <w:pPr>
        <w:pStyle w:val="Heading2"/>
        <w:rPr>
          <w:lang w:eastAsia="zh-CN"/>
        </w:rPr>
      </w:pPr>
      <w:bookmarkStart w:id="15" w:name="_Toc225454001"/>
      <w:r w:rsidRPr="00E41C7E">
        <w:rPr>
          <w:lang w:eastAsia="zh-CN"/>
        </w:rPr>
        <w:t>5.2 Economic Rights as Structural Governance</w:t>
      </w:r>
      <w:bookmarkEnd w:id="15"/>
    </w:p>
    <w:p w14:paraId="64822006" w14:textId="49AD7661" w:rsidR="00E41C7E" w:rsidRDefault="00EA5AFA" w:rsidP="004157A7">
      <w:pPr>
        <w:rPr>
          <w:lang w:eastAsia="zh-CN"/>
        </w:rPr>
      </w:pPr>
      <w:r w:rsidRPr="00EA5AFA">
        <w:rPr>
          <w:lang w:eastAsia="zh-CN"/>
        </w:rPr>
        <w:lastRenderedPageBreak/>
        <w:t xml:space="preserve">Economic rights remain structurally central in UK copyright because they determine, at the outset, whether digital circulation is lawful before any later dispute about attribution, integrity, or reputation can arise. Under </w:t>
      </w:r>
      <w:r w:rsidR="00C02D99">
        <w:rPr>
          <w:lang w:eastAsia="zh-CN"/>
        </w:rPr>
        <w:t>UK law</w:t>
      </w:r>
      <w:r w:rsidRPr="00EA5AFA">
        <w:rPr>
          <w:lang w:eastAsia="zh-CN"/>
        </w:rPr>
        <w:t>, acts such as copying and communication are restricted,</w:t>
      </w:r>
      <w:r w:rsidR="00C02D99">
        <w:rPr>
          <w:rStyle w:val="FootnoteReference"/>
          <w:lang w:eastAsia="zh-CN"/>
        </w:rPr>
        <w:footnoteReference w:id="59"/>
      </w:r>
      <w:r w:rsidRPr="00EA5AFA">
        <w:rPr>
          <w:lang w:eastAsia="zh-CN"/>
        </w:rPr>
        <w:t xml:space="preserve"> while </w:t>
      </w:r>
      <w:r w:rsidR="00C02D99">
        <w:rPr>
          <w:lang w:eastAsia="zh-CN"/>
        </w:rPr>
        <w:t>it</w:t>
      </w:r>
      <w:r w:rsidRPr="00EA5AFA">
        <w:rPr>
          <w:lang w:eastAsia="zh-CN"/>
        </w:rPr>
        <w:t xml:space="preserve"> extends communication to the public to forms of streaming and making works available online.</w:t>
      </w:r>
      <w:r w:rsidR="00C02D99">
        <w:rPr>
          <w:rStyle w:val="FootnoteReference"/>
          <w:lang w:eastAsia="zh-CN"/>
        </w:rPr>
        <w:footnoteReference w:id="60"/>
      </w:r>
      <w:r w:rsidRPr="00EA5AFA">
        <w:rPr>
          <w:lang w:eastAsia="zh-CN"/>
        </w:rPr>
        <w:t xml:space="preserve"> Those provisions matter not merely as abstract entitlements, but because they shape platform design </w:t>
      </w:r>
      <w:r w:rsidRPr="003E69AE">
        <w:rPr>
          <w:i/>
          <w:iCs/>
          <w:lang w:eastAsia="zh-CN"/>
        </w:rPr>
        <w:t>ex ante</w:t>
      </w:r>
      <w:r w:rsidRPr="00EA5AFA">
        <w:rPr>
          <w:lang w:eastAsia="zh-CN"/>
        </w:rPr>
        <w:t xml:space="preserve">: any service that hosts, curates, retransmits, or facilitates access to protected works must organise its technical architecture around authorisation. </w:t>
      </w:r>
      <w:r w:rsidRPr="003E69AE">
        <w:rPr>
          <w:i/>
          <w:iCs/>
          <w:lang w:eastAsia="zh-CN"/>
        </w:rPr>
        <w:t>ITV Broadcasting</w:t>
      </w:r>
      <w:r w:rsidRPr="00EA5AFA">
        <w:rPr>
          <w:lang w:eastAsia="zh-CN"/>
        </w:rPr>
        <w:t xml:space="preserve"> confirms this by treating online retransmission as reaching a new public and therefore requiring permission.</w:t>
      </w:r>
      <w:r w:rsidR="00BD6D1B">
        <w:rPr>
          <w:rStyle w:val="FootnoteReference"/>
          <w:lang w:eastAsia="zh-CN"/>
        </w:rPr>
        <w:footnoteReference w:id="61"/>
      </w:r>
      <w:r w:rsidRPr="00EA5AFA">
        <w:rPr>
          <w:lang w:eastAsia="zh-CN"/>
        </w:rPr>
        <w:t xml:space="preserve"> </w:t>
      </w:r>
      <w:r w:rsidRPr="003E69AE">
        <w:rPr>
          <w:i/>
          <w:iCs/>
          <w:lang w:eastAsia="zh-CN"/>
        </w:rPr>
        <w:t>TuneIn</w:t>
      </w:r>
      <w:r w:rsidRPr="00EA5AFA">
        <w:rPr>
          <w:lang w:eastAsia="zh-CN"/>
        </w:rPr>
        <w:t xml:space="preserve"> develops the same logic further, showing that liability may attach not only to direct hosting, but also to the way a service structures user access to unlicensed content.</w:t>
      </w:r>
      <w:r w:rsidR="00BD6D1B">
        <w:rPr>
          <w:rStyle w:val="FootnoteReference"/>
          <w:lang w:eastAsia="zh-CN"/>
        </w:rPr>
        <w:footnoteReference w:id="62"/>
      </w:r>
      <w:r w:rsidRPr="00EA5AFA">
        <w:rPr>
          <w:lang w:eastAsia="zh-CN"/>
        </w:rPr>
        <w:t xml:space="preserve"> Virality therefore does not displace economic rights; instead, it intensifies their importance by increasing both the commercial value of authorised exploitation and the market harm caused by unauthorised dissemination.</w:t>
      </w:r>
    </w:p>
    <w:p w14:paraId="5A01C8AB" w14:textId="77777777" w:rsidR="00B262B6" w:rsidRDefault="00B262B6" w:rsidP="004157A7">
      <w:pPr>
        <w:rPr>
          <w:rFonts w:hint="eastAsia"/>
          <w:lang w:eastAsia="zh-CN"/>
        </w:rPr>
      </w:pPr>
    </w:p>
    <w:p w14:paraId="689175A3" w14:textId="4DCAC702" w:rsidR="007C25F1" w:rsidRDefault="007C25F1" w:rsidP="004157A7">
      <w:pPr>
        <w:rPr>
          <w:rFonts w:hint="eastAsia"/>
          <w:lang w:eastAsia="zh-CN"/>
        </w:rPr>
      </w:pPr>
      <w:r w:rsidRPr="007C25F1">
        <w:rPr>
          <w:lang w:eastAsia="zh-CN"/>
        </w:rPr>
        <w:t xml:space="preserve">Remedies also show why economic rights cannot be treated as secondary. In a viral environment, infringement is dispersed across </w:t>
      </w:r>
      <w:r w:rsidR="00B70DDE">
        <w:rPr>
          <w:lang w:eastAsia="zh-CN"/>
        </w:rPr>
        <w:t>online platforms</w:t>
      </w:r>
      <w:r w:rsidRPr="007C25F1">
        <w:rPr>
          <w:lang w:eastAsia="zh-CN"/>
        </w:rPr>
        <w:t>,</w:t>
      </w:r>
      <w:r w:rsidR="00140D23">
        <w:rPr>
          <w:rStyle w:val="FootnoteReference"/>
          <w:lang w:eastAsia="zh-CN"/>
        </w:rPr>
        <w:footnoteReference w:id="63"/>
      </w:r>
      <w:r w:rsidRPr="007C25F1">
        <w:rPr>
          <w:lang w:eastAsia="zh-CN"/>
        </w:rPr>
        <w:t xml:space="preserve"> so effective relief must target intermediaries and infrastructure rather than individual users alone. In </w:t>
      </w:r>
      <w:r w:rsidRPr="007C25F1">
        <w:rPr>
          <w:i/>
          <w:iCs/>
          <w:lang w:eastAsia="zh-CN"/>
        </w:rPr>
        <w:t>Newzbin2</w:t>
      </w:r>
      <w:r w:rsidRPr="007C25F1">
        <w:rPr>
          <w:lang w:eastAsia="zh-CN"/>
        </w:rPr>
        <w:t>, the court granted an injunction aimed at disrupting a large-scale infringement service,</w:t>
      </w:r>
      <w:r w:rsidR="00140D23">
        <w:rPr>
          <w:rStyle w:val="FootnoteReference"/>
          <w:lang w:eastAsia="zh-CN"/>
        </w:rPr>
        <w:footnoteReference w:id="64"/>
      </w:r>
      <w:r w:rsidRPr="007C25F1">
        <w:rPr>
          <w:lang w:eastAsia="zh-CN"/>
        </w:rPr>
        <w:t xml:space="preserve"> illustrating that UK courts will craft practical orders where economic harm is systematic, ongoing, and commercially significant across digital networks. That intermediary-focused logic also explains why economic rights are easier to operationalise at platform level than integrity-based claims, which usually depend on contested meaning,</w:t>
      </w:r>
      <w:r w:rsidR="00507F30">
        <w:rPr>
          <w:rStyle w:val="FootnoteReference"/>
          <w:lang w:eastAsia="zh-CN"/>
        </w:rPr>
        <w:footnoteReference w:id="65"/>
      </w:r>
      <w:r w:rsidRPr="007C25F1">
        <w:rPr>
          <w:lang w:eastAsia="zh-CN"/>
        </w:rPr>
        <w:t xml:space="preserve"> contextual nuance,</w:t>
      </w:r>
      <w:r w:rsidR="00507F30">
        <w:rPr>
          <w:rStyle w:val="FootnoteReference"/>
          <w:lang w:eastAsia="zh-CN"/>
        </w:rPr>
        <w:footnoteReference w:id="66"/>
      </w:r>
      <w:r w:rsidRPr="007C25F1">
        <w:rPr>
          <w:lang w:eastAsia="zh-CN"/>
        </w:rPr>
        <w:t xml:space="preserve"> and difficult proof of reputational prejudice.</w:t>
      </w:r>
      <w:r w:rsidR="00507F30">
        <w:rPr>
          <w:rStyle w:val="FootnoteReference"/>
          <w:lang w:eastAsia="zh-CN"/>
        </w:rPr>
        <w:footnoteReference w:id="67"/>
      </w:r>
      <w:r w:rsidRPr="007C25F1">
        <w:rPr>
          <w:lang w:eastAsia="zh-CN"/>
        </w:rPr>
        <w:t xml:space="preserve"> This does not mean economic enforcement should be unchecked, since automated takedowns can suppress fair dealing uses such as quotation, criticism, review, and parody, especially where platform systems over-identify infringement. Even so, economic </w:t>
      </w:r>
      <w:r w:rsidRPr="007C25F1">
        <w:rPr>
          <w:lang w:eastAsia="zh-CN"/>
        </w:rPr>
        <w:lastRenderedPageBreak/>
        <w:t>rights remain the enforcement backbone that platforms can translate into notice systems, filtering tools, revenue controls, and access restrictions, whereas moral rights more often depend on corrective responses such as restored credit, labelling of modified versions, and contextual notices in everyday platform practice.</w:t>
      </w:r>
    </w:p>
    <w:p w14:paraId="7BCA3D16" w14:textId="77777777" w:rsidR="00416B44" w:rsidRDefault="00416B44" w:rsidP="004157A7">
      <w:pPr>
        <w:rPr>
          <w:lang w:eastAsia="zh-CN"/>
        </w:rPr>
      </w:pPr>
    </w:p>
    <w:p w14:paraId="027A51D9" w14:textId="5D10665C" w:rsidR="004157A7" w:rsidRDefault="00317466" w:rsidP="004157A7">
      <w:pPr>
        <w:rPr>
          <w:lang w:eastAsia="zh-CN"/>
        </w:rPr>
      </w:pPr>
      <w:r w:rsidRPr="00317466">
        <w:rPr>
          <w:lang w:eastAsia="zh-CN"/>
        </w:rPr>
        <w:t xml:space="preserve">A critical synthesis is relational rather than hierarchical, because the preceding analysis shows that moral rights and economic rights perform different but connected functions in digital copyright governance. Moral rights identify the reputational and personal harms that viral circulation can inflict on creators, especially through misattribution, misleading edits, and harmful </w:t>
      </w:r>
      <w:proofErr w:type="spellStart"/>
      <w:r w:rsidRPr="00317466">
        <w:rPr>
          <w:lang w:eastAsia="zh-CN"/>
        </w:rPr>
        <w:t>recontextualisation</w:t>
      </w:r>
      <w:proofErr w:type="spellEnd"/>
      <w:r w:rsidRPr="00317466">
        <w:rPr>
          <w:lang w:eastAsia="zh-CN"/>
        </w:rPr>
        <w:t>. Economic rights, by contrast, provide the institutional machinery through which platforms structure permission, remuneration, and enforcement at scale. Neither set of rights is sufficient alone, because online disputes involve both expressive harm and market organisation. Moral rights should therefore shape the exercise of economic rights by being embedded into licences and platform rules, for example by making attribution a default condition of authorised use and by treating certain deceptive edits as breaches justifying rapid intervention. At the same time, economic rights should be interpreted and applied with attention to proportionality and to the breathing space preserved by UK exceptions. On this view, the motion should be rejected in its absolute form. Virality increases the urgency of moral rights, but it does not displace the structural centrality of economic rights. Rather, it strengthens the case for integrating moral-rights values into the economic-rights framework that governs digital circulation.</w:t>
      </w:r>
    </w:p>
    <w:p w14:paraId="3165F6D0" w14:textId="77777777" w:rsidR="00317466" w:rsidRDefault="00317466" w:rsidP="004157A7">
      <w:pPr>
        <w:rPr>
          <w:rFonts w:hint="eastAsia"/>
          <w:lang w:eastAsia="zh-CN"/>
        </w:rPr>
      </w:pPr>
    </w:p>
    <w:p w14:paraId="4BD04CCD" w14:textId="77777777" w:rsidR="004157A7" w:rsidRPr="004157A7" w:rsidRDefault="004157A7" w:rsidP="004157A7">
      <w:pPr>
        <w:rPr>
          <w:lang w:eastAsia="zh-CN"/>
        </w:rPr>
        <w:sectPr w:rsidR="004157A7" w:rsidRPr="004157A7" w:rsidSect="00027B3B">
          <w:headerReference w:type="default" r:id="rId21"/>
          <w:pgSz w:w="11906" w:h="16838"/>
          <w:pgMar w:top="1440" w:right="1440" w:bottom="1440" w:left="1440" w:header="708" w:footer="708" w:gutter="0"/>
          <w:cols w:space="708"/>
          <w:docGrid w:linePitch="360"/>
        </w:sectPr>
      </w:pPr>
    </w:p>
    <w:p w14:paraId="1B33AC5C" w14:textId="343762A6" w:rsidR="007A4273" w:rsidRDefault="004157A7" w:rsidP="007A4273">
      <w:pPr>
        <w:pStyle w:val="Heading1"/>
        <w:rPr>
          <w:lang w:eastAsia="zh-CN"/>
        </w:rPr>
      </w:pPr>
      <w:bookmarkStart w:id="16" w:name="_Toc225454002"/>
      <w:r>
        <w:rPr>
          <w:lang w:eastAsia="zh-CN"/>
        </w:rPr>
        <w:lastRenderedPageBreak/>
        <w:t>6</w:t>
      </w:r>
      <w:r w:rsidR="007A4273">
        <w:t>. Conclusion</w:t>
      </w:r>
      <w:bookmarkEnd w:id="16"/>
    </w:p>
    <w:p w14:paraId="727C5D78" w14:textId="4A9D872E" w:rsidR="007A4273" w:rsidRDefault="004B0641" w:rsidP="007A4273">
      <w:pPr>
        <w:rPr>
          <w:lang w:eastAsia="zh-CN"/>
        </w:rPr>
      </w:pPr>
      <w:r w:rsidRPr="004B0641">
        <w:rPr>
          <w:lang w:eastAsia="zh-CN"/>
        </w:rPr>
        <w:t>In conclusion, digital technologies make moral rights more visible and urgent, especially where attribution is lost and works are altered, reframed, or circulated virally without authorial control. However, the claim that they are more important than any economic rights is too absolute. Under UK law, economic rights still structure digital copyright because they govern copying, communication to the public, licensing, monetisation, and scalable enforcement through intermediaries and courts. Moral rights remain significant, but largely complementary: they address reputational and personal harm, while economic rights organise the market framework within which digital use occurs. The statement should therefore be rejected overall.</w:t>
      </w:r>
    </w:p>
    <w:p w14:paraId="7FB0F1F1" w14:textId="77777777" w:rsidR="004B0641" w:rsidRDefault="004B0641" w:rsidP="007A4273">
      <w:pPr>
        <w:rPr>
          <w:rFonts w:hint="eastAsia"/>
          <w:lang w:eastAsia="zh-CN"/>
        </w:rPr>
      </w:pPr>
    </w:p>
    <w:p w14:paraId="2322B91A" w14:textId="77777777" w:rsidR="001B522F" w:rsidRDefault="001B522F" w:rsidP="007A4273">
      <w:pPr>
        <w:rPr>
          <w:lang w:eastAsia="zh-CN"/>
        </w:rPr>
        <w:sectPr w:rsidR="001B522F" w:rsidSect="00027B3B">
          <w:headerReference w:type="default" r:id="rId22"/>
          <w:pgSz w:w="11906" w:h="16838"/>
          <w:pgMar w:top="1440" w:right="1440" w:bottom="1440" w:left="1440" w:header="708" w:footer="708" w:gutter="0"/>
          <w:cols w:space="708"/>
          <w:docGrid w:linePitch="360"/>
        </w:sectPr>
      </w:pPr>
    </w:p>
    <w:p w14:paraId="362EFBD1" w14:textId="091E9B36" w:rsidR="00B028FE" w:rsidRDefault="001B522F" w:rsidP="001B522F">
      <w:pPr>
        <w:pStyle w:val="Heading1"/>
        <w:jc w:val="center"/>
        <w:rPr>
          <w:lang w:eastAsia="zh-CN"/>
        </w:rPr>
      </w:pPr>
      <w:bookmarkStart w:id="17" w:name="_Toc225454003"/>
      <w:r>
        <w:rPr>
          <w:lang w:eastAsia="zh-CN"/>
        </w:rPr>
        <w:lastRenderedPageBreak/>
        <w:t>Bibliography</w:t>
      </w:r>
      <w:bookmarkEnd w:id="17"/>
    </w:p>
    <w:p w14:paraId="6F8A0D21" w14:textId="4D0B815B" w:rsidR="001B522F" w:rsidRDefault="004A3359" w:rsidP="004A3359">
      <w:pPr>
        <w:pStyle w:val="Heading2"/>
        <w:rPr>
          <w:lang w:eastAsia="zh-CN"/>
        </w:rPr>
      </w:pPr>
      <w:bookmarkStart w:id="18" w:name="_Toc225454004"/>
      <w:r>
        <w:rPr>
          <w:lang w:eastAsia="zh-CN"/>
        </w:rPr>
        <w:t>Primary Sources</w:t>
      </w:r>
      <w:bookmarkEnd w:id="18"/>
    </w:p>
    <w:p w14:paraId="2994EEAB" w14:textId="5194EB2A" w:rsidR="00565C9F" w:rsidRDefault="00565C9F" w:rsidP="00F32EAC">
      <w:r w:rsidRPr="00E24227">
        <w:rPr>
          <w:i/>
          <w:iCs/>
        </w:rPr>
        <w:t>Cartier International AG v British Sky Broadcasting Ltd</w:t>
      </w:r>
      <w:r>
        <w:t xml:space="preserve"> [2016] EWCA </w:t>
      </w:r>
      <w:proofErr w:type="spellStart"/>
      <w:r>
        <w:t>Civ</w:t>
      </w:r>
      <w:proofErr w:type="spellEnd"/>
      <w:r>
        <w:t xml:space="preserve"> 658</w:t>
      </w:r>
    </w:p>
    <w:p w14:paraId="6A3955A2" w14:textId="77C05BF6" w:rsidR="00F32EAC" w:rsidRDefault="00F32EAC" w:rsidP="00F32EAC">
      <w:pPr>
        <w:rPr>
          <w:lang w:eastAsia="zh-CN"/>
        </w:rPr>
      </w:pPr>
      <w:r>
        <w:t xml:space="preserve">Case C-607/11 </w:t>
      </w:r>
      <w:r w:rsidRPr="00B821CB">
        <w:rPr>
          <w:i/>
          <w:iCs/>
        </w:rPr>
        <w:t xml:space="preserve">ITV Broadcasting Ltd v. </w:t>
      </w:r>
      <w:proofErr w:type="spellStart"/>
      <w:r w:rsidRPr="00B821CB">
        <w:rPr>
          <w:i/>
          <w:iCs/>
        </w:rPr>
        <w:t>TVCatchup</w:t>
      </w:r>
      <w:proofErr w:type="spellEnd"/>
      <w:r w:rsidRPr="00B821CB">
        <w:rPr>
          <w:i/>
          <w:iCs/>
        </w:rPr>
        <w:t xml:space="preserve"> Ltd</w:t>
      </w:r>
      <w:r>
        <w:t xml:space="preserve"> EU:</w:t>
      </w:r>
      <w:proofErr w:type="gramStart"/>
      <w:r>
        <w:t>C:2013:147</w:t>
      </w:r>
      <w:proofErr w:type="gramEnd"/>
    </w:p>
    <w:p w14:paraId="1E059805" w14:textId="09E149AE" w:rsidR="004A3359" w:rsidRDefault="00F26F6E" w:rsidP="007A4273">
      <w:pPr>
        <w:rPr>
          <w:lang w:eastAsia="zh-CN"/>
        </w:rPr>
      </w:pPr>
      <w:r w:rsidRPr="00686081">
        <w:t>Copyright, Designs and Patents Act 1988</w:t>
      </w:r>
    </w:p>
    <w:p w14:paraId="197BF7F7" w14:textId="57D3CBC7" w:rsidR="004A3359" w:rsidRPr="00FE0662" w:rsidRDefault="00FE0662" w:rsidP="00FE0662">
      <w:pPr>
        <w:rPr>
          <w:szCs w:val="24"/>
          <w:lang w:eastAsia="zh-CN"/>
        </w:rPr>
      </w:pPr>
      <w:r w:rsidRPr="00FE0662">
        <w:rPr>
          <w:i/>
          <w:iCs/>
          <w:szCs w:val="24"/>
        </w:rPr>
        <w:t>Confetti Records v. Warner Music UK Ltd</w:t>
      </w:r>
      <w:r w:rsidRPr="00FE0662">
        <w:rPr>
          <w:szCs w:val="24"/>
        </w:rPr>
        <w:t xml:space="preserve"> [2003] EWHC 1274 (Ch)</w:t>
      </w:r>
    </w:p>
    <w:p w14:paraId="2AD7F5F9" w14:textId="5AAC863C" w:rsidR="00FE0662" w:rsidRDefault="00D43EE4" w:rsidP="007A4273">
      <w:pPr>
        <w:rPr>
          <w:lang w:eastAsia="zh-CN"/>
        </w:rPr>
      </w:pPr>
      <w:r w:rsidRPr="001E0BE4">
        <w:rPr>
          <w:i/>
          <w:iCs/>
        </w:rPr>
        <w:t xml:space="preserve">Morrison Leahy Music Ltd v. </w:t>
      </w:r>
      <w:proofErr w:type="spellStart"/>
      <w:r w:rsidRPr="001E0BE4">
        <w:rPr>
          <w:i/>
          <w:iCs/>
        </w:rPr>
        <w:t>Lightbond</w:t>
      </w:r>
      <w:proofErr w:type="spellEnd"/>
      <w:r w:rsidRPr="001E0BE4">
        <w:rPr>
          <w:i/>
          <w:iCs/>
        </w:rPr>
        <w:t xml:space="preserve"> Ltd</w:t>
      </w:r>
      <w:r>
        <w:t xml:space="preserve"> </w:t>
      </w:r>
      <w:r w:rsidRPr="001038A9">
        <w:t>[1993] EMLR 144</w:t>
      </w:r>
    </w:p>
    <w:p w14:paraId="13D69C68" w14:textId="2B3B09CA" w:rsidR="006A3674" w:rsidRDefault="006A3674" w:rsidP="007A4273">
      <w:pPr>
        <w:rPr>
          <w:rFonts w:hint="eastAsia"/>
          <w:lang w:eastAsia="zh-CN"/>
        </w:rPr>
      </w:pPr>
      <w:proofErr w:type="spellStart"/>
      <w:r w:rsidRPr="003B2463">
        <w:rPr>
          <w:i/>
          <w:iCs/>
        </w:rPr>
        <w:t>Pasterfield</w:t>
      </w:r>
      <w:proofErr w:type="spellEnd"/>
      <w:r w:rsidRPr="003B2463">
        <w:rPr>
          <w:i/>
          <w:iCs/>
        </w:rPr>
        <w:t xml:space="preserve"> v. Denham</w:t>
      </w:r>
      <w:r>
        <w:t xml:space="preserve"> [1999] FSR 168</w:t>
      </w:r>
    </w:p>
    <w:p w14:paraId="3C475A08" w14:textId="1D6236F7" w:rsidR="00D43EE4" w:rsidRDefault="003B62AE" w:rsidP="007A4273">
      <w:pPr>
        <w:rPr>
          <w:lang w:eastAsia="zh-CN"/>
        </w:rPr>
      </w:pPr>
      <w:proofErr w:type="spellStart"/>
      <w:r w:rsidRPr="00E20920">
        <w:rPr>
          <w:i/>
          <w:iCs/>
        </w:rPr>
        <w:t>Tunein</w:t>
      </w:r>
      <w:proofErr w:type="spellEnd"/>
      <w:r w:rsidRPr="00E20920">
        <w:rPr>
          <w:i/>
          <w:iCs/>
        </w:rPr>
        <w:t xml:space="preserve"> Inc v</w:t>
      </w:r>
      <w:r>
        <w:rPr>
          <w:rFonts w:eastAsia="Microsoft YaHei" w:cs="Times New Roman"/>
          <w:i/>
          <w:iCs/>
          <w:lang w:eastAsia="zh-CN"/>
        </w:rPr>
        <w:t>.</w:t>
      </w:r>
      <w:r w:rsidRPr="00E20920">
        <w:rPr>
          <w:i/>
          <w:iCs/>
        </w:rPr>
        <w:t xml:space="preserve"> Warner Music UK L</w:t>
      </w:r>
      <w:r w:rsidR="006D0FAE">
        <w:rPr>
          <w:i/>
          <w:iCs/>
        </w:rPr>
        <w:t>td</w:t>
      </w:r>
      <w:r w:rsidRPr="00E20920">
        <w:rPr>
          <w:i/>
          <w:iCs/>
        </w:rPr>
        <w:t xml:space="preserve">, </w:t>
      </w:r>
      <w:r>
        <w:t xml:space="preserve">[2021] EWCA </w:t>
      </w:r>
      <w:proofErr w:type="spellStart"/>
      <w:r>
        <w:t>Civ</w:t>
      </w:r>
      <w:proofErr w:type="spellEnd"/>
      <w:r>
        <w:t xml:space="preserve"> 441</w:t>
      </w:r>
    </w:p>
    <w:p w14:paraId="00E1C627" w14:textId="06CF8A8B" w:rsidR="003B62AE" w:rsidRDefault="00A5130F" w:rsidP="007A4273">
      <w:pPr>
        <w:rPr>
          <w:lang w:eastAsia="zh-CN"/>
        </w:rPr>
      </w:pPr>
      <w:r w:rsidRPr="008B4FD0">
        <w:rPr>
          <w:i/>
          <w:iCs/>
        </w:rPr>
        <w:t xml:space="preserve">Twentieth Century Fox Film </w:t>
      </w:r>
      <w:r w:rsidRPr="008B4FD0">
        <w:rPr>
          <w:rFonts w:hint="eastAsia"/>
          <w:i/>
          <w:iCs/>
          <w:lang w:eastAsia="zh-CN"/>
        </w:rPr>
        <w:t>Co</w:t>
      </w:r>
      <w:r w:rsidRPr="008B4FD0">
        <w:rPr>
          <w:i/>
          <w:iCs/>
          <w:lang w:eastAsia="zh-CN"/>
        </w:rPr>
        <w:t xml:space="preserve">rp v. </w:t>
      </w:r>
      <w:r w:rsidRPr="008B4FD0">
        <w:rPr>
          <w:i/>
          <w:iCs/>
        </w:rPr>
        <w:t>British Telecommunications plc</w:t>
      </w:r>
      <w:r>
        <w:t xml:space="preserve"> [2011] EWHC 1981 (Ch)</w:t>
      </w:r>
    </w:p>
    <w:p w14:paraId="790C08AE" w14:textId="77777777" w:rsidR="00F32EAC" w:rsidRDefault="00F32EAC" w:rsidP="007A4273">
      <w:pPr>
        <w:rPr>
          <w:lang w:eastAsia="zh-CN"/>
        </w:rPr>
      </w:pPr>
    </w:p>
    <w:p w14:paraId="0E71B6D4" w14:textId="772FD993" w:rsidR="004A3359" w:rsidRDefault="004A3359" w:rsidP="004A3359">
      <w:pPr>
        <w:pStyle w:val="Heading2"/>
        <w:rPr>
          <w:lang w:eastAsia="zh-CN"/>
        </w:rPr>
      </w:pPr>
      <w:bookmarkStart w:id="19" w:name="_Toc225454005"/>
      <w:r>
        <w:rPr>
          <w:lang w:eastAsia="zh-CN"/>
        </w:rPr>
        <w:t>Secondary Sources</w:t>
      </w:r>
      <w:bookmarkEnd w:id="19"/>
    </w:p>
    <w:p w14:paraId="04A26A11" w14:textId="28C7B958" w:rsidR="0073720B" w:rsidRPr="001E506A" w:rsidRDefault="0073720B" w:rsidP="0045017B">
      <w:pPr>
        <w:rPr>
          <w:szCs w:val="24"/>
        </w:rPr>
      </w:pPr>
      <w:r w:rsidRPr="001E506A">
        <w:rPr>
          <w:szCs w:val="24"/>
        </w:rPr>
        <w:t>Adami E, ‘The Rhetoric of the Implicit and the Politics of Representation in the Age of Copy-and-Paste’ (2012) 37 Learning, Media and Technology 131</w:t>
      </w:r>
    </w:p>
    <w:p w14:paraId="49D52138" w14:textId="0E26E16A" w:rsidR="0045017B" w:rsidRDefault="0045017B" w:rsidP="0045017B">
      <w:r>
        <w:t>Aplin TF and Mohamed AS, ‘The Concept of ‘Reputation’ in the Moral Right of Integrity’ (2019) 14 Journal of Intellectual Property Law &amp; Practice 268</w:t>
      </w:r>
    </w:p>
    <w:p w14:paraId="58BC0C5D" w14:textId="2A4B14D8" w:rsidR="007D26A2" w:rsidRDefault="007D26A2" w:rsidP="0045017B">
      <w:pPr>
        <w:rPr>
          <w:lang w:eastAsia="zh-CN"/>
        </w:rPr>
      </w:pPr>
      <w:r>
        <w:t>Bar-Ziv S and Elkin-Koren N, ‘Behind the Scenes of Online Copyright Enforcement: Empirical Evidence on Notice &amp; Takedown’ (2018) 50 Connecticut Law Review 339</w:t>
      </w:r>
    </w:p>
    <w:p w14:paraId="11F4310F" w14:textId="4E1FBAF8" w:rsidR="00B31E4D" w:rsidRPr="007A4273" w:rsidRDefault="00B31E4D" w:rsidP="0045017B">
      <w:pPr>
        <w:rPr>
          <w:lang w:eastAsia="zh-CN"/>
        </w:rPr>
      </w:pPr>
      <w:r w:rsidRPr="00B31E4D">
        <w:rPr>
          <w:lang w:eastAsia="zh-CN"/>
        </w:rPr>
        <w:t>Bonadio</w:t>
      </w:r>
      <w:r>
        <w:rPr>
          <w:rFonts w:hint="eastAsia"/>
          <w:lang w:eastAsia="zh-CN"/>
        </w:rPr>
        <w:t xml:space="preserve"> E</w:t>
      </w:r>
      <w:r w:rsidRPr="00B31E4D">
        <w:rPr>
          <w:lang w:eastAsia="zh-CN"/>
        </w:rPr>
        <w:t>, Lucchi</w:t>
      </w:r>
      <w:r>
        <w:rPr>
          <w:rFonts w:hint="eastAsia"/>
          <w:lang w:eastAsia="zh-CN"/>
        </w:rPr>
        <w:t xml:space="preserve"> N</w:t>
      </w:r>
      <w:r w:rsidRPr="00B31E4D">
        <w:rPr>
          <w:lang w:eastAsia="zh-CN"/>
        </w:rPr>
        <w:t>, and Mazziotti</w:t>
      </w:r>
      <w:r>
        <w:rPr>
          <w:lang w:eastAsia="zh-CN"/>
        </w:rPr>
        <w:t xml:space="preserve"> G</w:t>
      </w:r>
      <w:r w:rsidRPr="00B31E4D">
        <w:rPr>
          <w:lang w:eastAsia="zh-CN"/>
        </w:rPr>
        <w:t>, ‘Will Technology-Aided Creativity Force Us to Rethink Copyright’s Fundamentals? Highlights from the Platform Economy and Artificial Intelligence’ (2022) 53 International Review of Intellectual Property and Competition Law 1174</w:t>
      </w:r>
    </w:p>
    <w:p w14:paraId="0F613A22" w14:textId="77777777" w:rsidR="009E1DB6" w:rsidRPr="009E1DB6" w:rsidRDefault="009E1DB6" w:rsidP="009E1DB6">
      <w:pPr>
        <w:pStyle w:val="FootnoteText"/>
        <w:spacing w:line="360" w:lineRule="auto"/>
        <w:rPr>
          <w:sz w:val="24"/>
          <w:szCs w:val="24"/>
        </w:rPr>
      </w:pPr>
      <w:r w:rsidRPr="009E1DB6">
        <w:rPr>
          <w:sz w:val="24"/>
          <w:szCs w:val="24"/>
        </w:rPr>
        <w:t xml:space="preserve">Bosher </w:t>
      </w:r>
      <w:r>
        <w:rPr>
          <w:sz w:val="24"/>
          <w:szCs w:val="24"/>
        </w:rPr>
        <w:t xml:space="preserve">H </w:t>
      </w:r>
      <w:r w:rsidRPr="009E1DB6">
        <w:rPr>
          <w:sz w:val="24"/>
          <w:szCs w:val="24"/>
        </w:rPr>
        <w:t xml:space="preserve">and </w:t>
      </w:r>
      <w:proofErr w:type="spellStart"/>
      <w:r w:rsidRPr="009E1DB6">
        <w:rPr>
          <w:sz w:val="24"/>
          <w:szCs w:val="24"/>
        </w:rPr>
        <w:t>Yeşiloğlu</w:t>
      </w:r>
      <w:proofErr w:type="spellEnd"/>
      <w:r>
        <w:rPr>
          <w:sz w:val="24"/>
          <w:szCs w:val="24"/>
        </w:rPr>
        <w:t xml:space="preserve"> S</w:t>
      </w:r>
      <w:r w:rsidRPr="009E1DB6">
        <w:rPr>
          <w:sz w:val="24"/>
          <w:szCs w:val="24"/>
        </w:rPr>
        <w:t>, ‘An Analysis of the Fundamental Tensions Between Copyright and Social Media: The Legal Implications of Sharing Images on Instagram’ (2019) 33 International Review of Law, Computers &amp; Technology 164</w:t>
      </w:r>
    </w:p>
    <w:p w14:paraId="085D6EEC" w14:textId="0374FAA0" w:rsidR="00122DA0" w:rsidRDefault="00122DA0" w:rsidP="00790C06">
      <w:pPr>
        <w:rPr>
          <w:rFonts w:eastAsia="Times New Roman" w:cs="Times New Roman"/>
          <w:szCs w:val="24"/>
          <w:lang w:eastAsia="zh-CN"/>
        </w:rPr>
      </w:pPr>
      <w:r>
        <w:t>British Academy and the Publishers Association, ‘Joint Guidelines on Copyright and Academic Research’ (British Academy and the Publishers Association 2008)</w:t>
      </w:r>
    </w:p>
    <w:p w14:paraId="0BEE8DD6" w14:textId="73907821" w:rsidR="00790C06" w:rsidRDefault="00790C06" w:rsidP="00790C06">
      <w:pPr>
        <w:rPr>
          <w:rFonts w:eastAsia="Times New Roman" w:cs="Times New Roman"/>
          <w:szCs w:val="24"/>
          <w:lang w:eastAsia="zh-CN"/>
        </w:rPr>
      </w:pPr>
      <w:r w:rsidRPr="00724D01">
        <w:rPr>
          <w:rFonts w:eastAsia="Times New Roman" w:cs="Times New Roman"/>
          <w:szCs w:val="24"/>
          <w:lang w:eastAsia="zh-CN"/>
        </w:rPr>
        <w:t>Brown</w:t>
      </w:r>
      <w:r>
        <w:rPr>
          <w:rFonts w:eastAsia="Times New Roman" w:cs="Times New Roman"/>
          <w:szCs w:val="24"/>
          <w:lang w:eastAsia="zh-CN"/>
        </w:rPr>
        <w:t xml:space="preserve"> A</w:t>
      </w:r>
      <w:r w:rsidRPr="00724D01">
        <w:rPr>
          <w:rFonts w:eastAsia="Times New Roman" w:cs="Times New Roman"/>
          <w:szCs w:val="24"/>
          <w:lang w:eastAsia="zh-CN"/>
        </w:rPr>
        <w:t xml:space="preserve"> and others, </w:t>
      </w:r>
      <w:r w:rsidRPr="00724D01">
        <w:rPr>
          <w:rFonts w:eastAsia="Times New Roman" w:cs="Times New Roman"/>
          <w:i/>
          <w:iCs/>
          <w:szCs w:val="24"/>
          <w:lang w:eastAsia="zh-CN"/>
        </w:rPr>
        <w:t>Contemporary Intellectual Property: Law and Policy</w:t>
      </w:r>
      <w:r w:rsidRPr="00724D01">
        <w:rPr>
          <w:rFonts w:eastAsia="Times New Roman" w:cs="Times New Roman"/>
          <w:szCs w:val="24"/>
          <w:lang w:eastAsia="zh-CN"/>
        </w:rPr>
        <w:t xml:space="preserve"> (6th </w:t>
      </w:r>
      <w:proofErr w:type="spellStart"/>
      <w:r w:rsidRPr="00724D01">
        <w:rPr>
          <w:rFonts w:eastAsia="Times New Roman" w:cs="Times New Roman"/>
          <w:szCs w:val="24"/>
          <w:lang w:eastAsia="zh-CN"/>
        </w:rPr>
        <w:t>edn</w:t>
      </w:r>
      <w:proofErr w:type="spellEnd"/>
      <w:r w:rsidRPr="00724D01">
        <w:rPr>
          <w:rFonts w:eastAsia="Times New Roman" w:cs="Times New Roman"/>
          <w:szCs w:val="24"/>
          <w:lang w:eastAsia="zh-CN"/>
        </w:rPr>
        <w:t>, Oxford University Press 2023)</w:t>
      </w:r>
    </w:p>
    <w:p w14:paraId="471FBF78" w14:textId="5336FF22" w:rsidR="00C95056" w:rsidRPr="00724D01" w:rsidRDefault="00C95056" w:rsidP="00790C06">
      <w:pPr>
        <w:rPr>
          <w:szCs w:val="24"/>
          <w:lang w:eastAsia="zh-CN"/>
        </w:rPr>
      </w:pPr>
      <w:r>
        <w:t xml:space="preserve">Brown-Pedersen J, ‘The Inadequacy of UK Moral Rights Protection: A Comparative Study on the </w:t>
      </w:r>
      <w:proofErr w:type="spellStart"/>
      <w:r>
        <w:t>Waivability</w:t>
      </w:r>
      <w:proofErr w:type="spellEnd"/>
      <w:r>
        <w:t xml:space="preserve"> of Rights and </w:t>
      </w:r>
      <w:proofErr w:type="spellStart"/>
      <w:r>
        <w:t>Recontextualisation</w:t>
      </w:r>
      <w:proofErr w:type="spellEnd"/>
      <w:r>
        <w:t xml:space="preserve"> of Works in Copyright and Droit </w:t>
      </w:r>
      <w:proofErr w:type="spellStart"/>
      <w:r>
        <w:t>D’auteurs</w:t>
      </w:r>
      <w:proofErr w:type="spellEnd"/>
      <w:r>
        <w:t xml:space="preserve"> Systems’ (2018) 3 LSE Law Review 115</w:t>
      </w:r>
    </w:p>
    <w:p w14:paraId="26EE5D90" w14:textId="0BDA19FB" w:rsidR="008B6A95" w:rsidRDefault="008B6A95" w:rsidP="008B6A95">
      <w:r>
        <w:lastRenderedPageBreak/>
        <w:t xml:space="preserve">Cadavid JA, ‘The Origin and Purpose of Legal Protection for the Integrity of Copyright Metadata’ (2023) 54 </w:t>
      </w:r>
      <w:r w:rsidRPr="00EF243B">
        <w:t>International Review of Intellectual Property and Competition Law</w:t>
      </w:r>
      <w:r>
        <w:t xml:space="preserve"> 1179</w:t>
      </w:r>
    </w:p>
    <w:p w14:paraId="531DB5ED" w14:textId="16A59BEE" w:rsidR="00B77C4C" w:rsidRDefault="00B77C4C" w:rsidP="008B6A95">
      <w:pPr>
        <w:rPr>
          <w:szCs w:val="24"/>
          <w:lang w:eastAsia="zh-CN"/>
        </w:rPr>
      </w:pPr>
      <w:r w:rsidRPr="00C00D22">
        <w:t>Dworkin</w:t>
      </w:r>
      <w:r>
        <w:t xml:space="preserve"> G</w:t>
      </w:r>
      <w:r w:rsidRPr="00C00D22">
        <w:t>, ‘The Moral Right of the Author: Moral Rights and the Common Law Countries’ (1994) 19 Columbia-VLA Journal of Law &amp; the Arts 229</w:t>
      </w:r>
    </w:p>
    <w:p w14:paraId="5FF58C18" w14:textId="6506DB73" w:rsidR="00D43EE4" w:rsidRPr="00724D01" w:rsidRDefault="00D43EE4" w:rsidP="008B6A95">
      <w:pPr>
        <w:rPr>
          <w:szCs w:val="24"/>
          <w:lang w:eastAsia="zh-CN"/>
        </w:rPr>
      </w:pPr>
      <w:r w:rsidRPr="00D43EE4">
        <w:rPr>
          <w:szCs w:val="24"/>
          <w:lang w:eastAsia="zh-CN"/>
        </w:rPr>
        <w:t xml:space="preserve">Eastwood </w:t>
      </w:r>
      <w:r w:rsidR="00B77DCF">
        <w:rPr>
          <w:szCs w:val="24"/>
          <w:lang w:eastAsia="zh-CN"/>
        </w:rPr>
        <w:t>S</w:t>
      </w:r>
      <w:r w:rsidRPr="00D43EE4">
        <w:rPr>
          <w:szCs w:val="24"/>
          <w:lang w:eastAsia="zh-CN"/>
        </w:rPr>
        <w:t>, ‘Tidy v Trustees of the Natural History Museum [1996] 39 IPR 501’ (</w:t>
      </w:r>
      <w:r w:rsidRPr="00D43EE4">
        <w:rPr>
          <w:i/>
          <w:iCs/>
          <w:szCs w:val="24"/>
          <w:lang w:eastAsia="zh-CN"/>
        </w:rPr>
        <w:t>Centre for Intellectual Property and Information Law</w:t>
      </w:r>
      <w:r w:rsidRPr="00D43EE4">
        <w:rPr>
          <w:szCs w:val="24"/>
          <w:lang w:eastAsia="zh-CN"/>
        </w:rPr>
        <w:t>, June 2015) &lt;https://www.cipil.law.cam.ac.uk/virtual-museum/tidy-v-trustees-natural-history-museum-1996-39-ipr-501&gt; accessed 15 March 2026</w:t>
      </w:r>
    </w:p>
    <w:p w14:paraId="67D0509D" w14:textId="77777777" w:rsidR="002B4B32" w:rsidRPr="00724D01" w:rsidRDefault="002B4B32" w:rsidP="002B4B32">
      <w:pPr>
        <w:rPr>
          <w:szCs w:val="24"/>
          <w:lang w:eastAsia="zh-CN"/>
        </w:rPr>
      </w:pPr>
      <w:r>
        <w:t xml:space="preserve">Gillespie T, </w:t>
      </w:r>
      <w:r w:rsidRPr="00195D73">
        <w:rPr>
          <w:i/>
          <w:iCs/>
        </w:rPr>
        <w:t xml:space="preserve">Custodians of the Internet: Platforms, Content Moderation, and the Hidden Decisions that Shape </w:t>
      </w:r>
      <w:proofErr w:type="gramStart"/>
      <w:r w:rsidRPr="00195D73">
        <w:rPr>
          <w:i/>
          <w:iCs/>
        </w:rPr>
        <w:t>Social Media</w:t>
      </w:r>
      <w:proofErr w:type="gramEnd"/>
      <w:r>
        <w:t xml:space="preserve"> (Yale University Press 2018)</w:t>
      </w:r>
    </w:p>
    <w:p w14:paraId="206D2CDA" w14:textId="77777777" w:rsidR="00D802E1" w:rsidRDefault="00D802E1" w:rsidP="00D802E1">
      <w:r>
        <w:t>Ginsburg JC, ‘The Most Moral of Rights: The Right to Be Recognized as the Author of One’s Work’ (2016) 8 George Mason Journal of International Commercial Law 44</w:t>
      </w:r>
    </w:p>
    <w:p w14:paraId="1D301F7B" w14:textId="21FD9DA3" w:rsidR="007C3E47" w:rsidRPr="007C3E47" w:rsidRDefault="007C3E47" w:rsidP="00D802E1">
      <w:pPr>
        <w:rPr>
          <w:szCs w:val="24"/>
        </w:rPr>
      </w:pPr>
      <w:r w:rsidRPr="007C3E47">
        <w:rPr>
          <w:szCs w:val="24"/>
        </w:rPr>
        <w:t>H</w:t>
      </w:r>
      <w:r w:rsidRPr="007C3E47">
        <w:rPr>
          <w:rFonts w:hint="eastAsia"/>
          <w:szCs w:val="24"/>
          <w:lang w:eastAsia="zh-CN"/>
        </w:rPr>
        <w:t>andke</w:t>
      </w:r>
      <w:r w:rsidRPr="007C3E47">
        <w:rPr>
          <w:szCs w:val="24"/>
          <w:lang w:eastAsia="zh-CN"/>
        </w:rPr>
        <w:t xml:space="preserve"> C</w:t>
      </w:r>
      <w:r w:rsidRPr="007C3E47">
        <w:rPr>
          <w:rFonts w:hint="eastAsia"/>
          <w:szCs w:val="24"/>
          <w:lang w:eastAsia="zh-CN"/>
        </w:rPr>
        <w:t xml:space="preserve">, </w:t>
      </w:r>
      <w:r w:rsidRPr="007C3E47">
        <w:rPr>
          <w:szCs w:val="24"/>
          <w:lang w:eastAsia="zh-CN"/>
        </w:rPr>
        <w:t>‘Joint Copyrights Management by Collecting Societies and Online Platforms: An Economic Analysis’</w:t>
      </w:r>
      <w:r w:rsidRPr="007C3E47">
        <w:rPr>
          <w:rFonts w:hint="eastAsia"/>
          <w:szCs w:val="24"/>
          <w:lang w:eastAsia="zh-CN"/>
        </w:rPr>
        <w:t xml:space="preserve"> </w:t>
      </w:r>
      <w:r w:rsidRPr="007C3E47">
        <w:rPr>
          <w:rFonts w:eastAsia="Microsoft YaHei" w:cs="Times New Roman"/>
          <w:szCs w:val="24"/>
          <w:lang w:eastAsia="zh-CN"/>
        </w:rPr>
        <w:t xml:space="preserve">(SSRN </w:t>
      </w:r>
      <w:r w:rsidRPr="007C3E47">
        <w:rPr>
          <w:szCs w:val="24"/>
        </w:rPr>
        <w:t>2016</w:t>
      </w:r>
      <w:r w:rsidRPr="007C3E47">
        <w:rPr>
          <w:rFonts w:eastAsia="Microsoft YaHei" w:cs="Times New Roman"/>
          <w:szCs w:val="24"/>
          <w:lang w:eastAsia="zh-CN"/>
        </w:rPr>
        <w:t>)</w:t>
      </w:r>
    </w:p>
    <w:p w14:paraId="5EADF05D" w14:textId="40E4DD0E" w:rsidR="00CD4158" w:rsidRDefault="00CD4158" w:rsidP="00064C59">
      <w:r w:rsidRPr="00830D4F">
        <w:t>Kaye</w:t>
      </w:r>
      <w:r>
        <w:t xml:space="preserve"> DBV and others</w:t>
      </w:r>
      <w:r>
        <w:rPr>
          <w:rFonts w:eastAsia="Microsoft YaHei" w:cs="Times New Roman"/>
          <w:lang w:eastAsia="zh-CN"/>
        </w:rPr>
        <w:t>, ‘</w:t>
      </w:r>
      <w:r>
        <w:t>You Made This? I Made This: Practices of Authorship and (Mis)Attribution on TikTok’ (2021) 15 International Journal of Communication 3195</w:t>
      </w:r>
    </w:p>
    <w:p w14:paraId="48889EA7" w14:textId="235067E1" w:rsidR="00064C59" w:rsidRPr="00724D01" w:rsidRDefault="00064C59" w:rsidP="00064C59">
      <w:pPr>
        <w:rPr>
          <w:szCs w:val="24"/>
          <w:lang w:eastAsia="zh-CN"/>
        </w:rPr>
      </w:pPr>
      <w:r w:rsidRPr="00D93D1A">
        <w:t>Petrides</w:t>
      </w:r>
      <w:r>
        <w:t xml:space="preserve"> L</w:t>
      </w:r>
      <w:r w:rsidRPr="00D93D1A">
        <w:t xml:space="preserve"> and Brito</w:t>
      </w:r>
      <w:r>
        <w:t xml:space="preserve"> MV, ‘The Impact of Digital Presence on the Careers of Emerging Visual Artists’ (2024) 13 Social Sciences 313</w:t>
      </w:r>
    </w:p>
    <w:p w14:paraId="6F32C2FF" w14:textId="77777777" w:rsidR="00B73D0F" w:rsidRPr="00724D01" w:rsidRDefault="00B73D0F" w:rsidP="00B73D0F">
      <w:pPr>
        <w:rPr>
          <w:szCs w:val="24"/>
          <w:lang w:eastAsia="zh-CN"/>
        </w:rPr>
      </w:pPr>
      <w:r w:rsidRPr="00FC6621">
        <w:t>Rajan</w:t>
      </w:r>
      <w:r>
        <w:t xml:space="preserve"> MTS,</w:t>
      </w:r>
      <w:r w:rsidRPr="00FC6621">
        <w:t xml:space="preserve"> </w:t>
      </w:r>
      <w:r>
        <w:rPr>
          <w:lang w:eastAsia="zh-CN"/>
        </w:rPr>
        <w:t>‘</w:t>
      </w:r>
      <w:r>
        <w:t>Moral Rights in the Digital Age: New Possibilities for the Democratization of Culture’ (</w:t>
      </w:r>
      <w:r w:rsidRPr="00983AEB">
        <w:t>2010</w:t>
      </w:r>
      <w:r>
        <w:t xml:space="preserve">) </w:t>
      </w:r>
      <w:r w:rsidRPr="00983AEB">
        <w:t>16 International Review of Law, Computers &amp; Technology</w:t>
      </w:r>
      <w:r>
        <w:rPr>
          <w:b/>
          <w:bCs/>
        </w:rPr>
        <w:t xml:space="preserve"> </w:t>
      </w:r>
      <w:r w:rsidRPr="00A3780C">
        <w:t>187</w:t>
      </w:r>
    </w:p>
    <w:p w14:paraId="7470FDFF" w14:textId="77777777" w:rsidR="00724D01" w:rsidRDefault="00724D01" w:rsidP="00724D01">
      <w:r>
        <w:t>Schroff S, ‘The Purpose of Copyright</w:t>
      </w:r>
      <w:r w:rsidRPr="00A95E49">
        <w:rPr>
          <w:b/>
          <w:bCs/>
        </w:rPr>
        <w:t>—</w:t>
      </w:r>
      <w:r>
        <w:t xml:space="preserve">Moving Beyond the Theory’ </w:t>
      </w:r>
      <w:r>
        <w:rPr>
          <w:rFonts w:eastAsia="Microsoft YaHei" w:cs="Times New Roman"/>
          <w:lang w:eastAsia="zh-CN"/>
        </w:rPr>
        <w:t xml:space="preserve">(2021) 16 </w:t>
      </w:r>
      <w:r>
        <w:t>Journal of Intellectual Property Law &amp; Practice 1262</w:t>
      </w:r>
    </w:p>
    <w:p w14:paraId="7382885B" w14:textId="77777777" w:rsidR="004640E2" w:rsidRPr="00724D01" w:rsidRDefault="004640E2" w:rsidP="004640E2">
      <w:pPr>
        <w:rPr>
          <w:szCs w:val="24"/>
          <w:lang w:eastAsia="zh-CN"/>
        </w:rPr>
      </w:pPr>
      <w:r>
        <w:t>Soni N, ‘Forensic Value of Exif Data: An Analytical Evaluation of Metadata Integrity across Image Transfer Methods’ (2025) 2 Perspectives in Legal and Forensic Sciences 1</w:t>
      </w:r>
    </w:p>
    <w:p w14:paraId="512FE7E0" w14:textId="77777777" w:rsidR="004E3B8D" w:rsidRPr="004E3B8D" w:rsidRDefault="004E3B8D" w:rsidP="004E3B8D">
      <w:pPr>
        <w:rPr>
          <w:szCs w:val="24"/>
          <w:lang w:eastAsia="zh-CN"/>
        </w:rPr>
      </w:pPr>
      <w:r w:rsidRPr="004E3B8D">
        <w:rPr>
          <w:szCs w:val="24"/>
        </w:rPr>
        <w:t>Towse</w:t>
      </w:r>
      <w:r w:rsidRPr="004E3B8D">
        <w:rPr>
          <w:rFonts w:hint="eastAsia"/>
          <w:szCs w:val="24"/>
          <w:lang w:eastAsia="zh-CN"/>
        </w:rPr>
        <w:t xml:space="preserve"> R</w:t>
      </w:r>
      <w:r w:rsidRPr="004E3B8D">
        <w:rPr>
          <w:szCs w:val="24"/>
        </w:rPr>
        <w:t>, ‘Economics of Copyright Collecting Societies and Digital Rights: Is There a Case for a Centralised Digital Copyright Exchange?’ (2012) 9 Review of Economic Research on Copyright Issues 3</w:t>
      </w:r>
    </w:p>
    <w:p w14:paraId="482F7C32" w14:textId="701887DC" w:rsidR="009E1DB6" w:rsidRPr="009E1DB6" w:rsidRDefault="009E1DB6" w:rsidP="009E1DB6">
      <w:pPr>
        <w:pStyle w:val="FootnoteText"/>
        <w:spacing w:line="360" w:lineRule="auto"/>
        <w:rPr>
          <w:sz w:val="24"/>
          <w:szCs w:val="24"/>
        </w:rPr>
      </w:pPr>
      <w:r w:rsidRPr="009E1DB6">
        <w:rPr>
          <w:sz w:val="24"/>
          <w:szCs w:val="24"/>
        </w:rPr>
        <w:t>Wang Y, Li N, and Tian Y, ‘Semantic Metadata Integration Support Method for Editable Re-flowable Document OOXML and Fixed-layout Document PDF’ (The 7th International Conference on Computer Science and Application Engineering, Virtual Event, October 2023)</w:t>
      </w:r>
    </w:p>
    <w:p w14:paraId="794EF0CF" w14:textId="10683C63" w:rsidR="004A3359" w:rsidRDefault="008C2C16" w:rsidP="007A4273">
      <w:pPr>
        <w:rPr>
          <w:lang w:eastAsia="zh-CN"/>
        </w:rPr>
      </w:pPr>
      <w:r>
        <w:t>WIPO, ‘Understanding Copyright and Related Rights’ (WIPO 2016)</w:t>
      </w:r>
    </w:p>
    <w:p w14:paraId="68679DF0" w14:textId="77777777" w:rsidR="004E3B8D" w:rsidRPr="004E3B8D" w:rsidRDefault="004E3B8D">
      <w:pPr>
        <w:rPr>
          <w:szCs w:val="24"/>
          <w:lang w:eastAsia="zh-CN"/>
        </w:rPr>
      </w:pPr>
    </w:p>
    <w:sectPr w:rsidR="004E3B8D" w:rsidRPr="004E3B8D" w:rsidSect="00027B3B">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A9946" w14:textId="77777777" w:rsidR="008F1CB7" w:rsidRDefault="008F1CB7">
      <w:r>
        <w:separator/>
      </w:r>
    </w:p>
  </w:endnote>
  <w:endnote w:type="continuationSeparator" w:id="0">
    <w:p w14:paraId="2B9CE8EF" w14:textId="77777777" w:rsidR="008F1CB7" w:rsidRDefault="008F1CB7">
      <w:r>
        <w:continuationSeparator/>
      </w:r>
    </w:p>
  </w:endnote>
  <w:endnote w:type="continuationNotice" w:id="1">
    <w:p w14:paraId="61EC1C8A" w14:textId="77777777" w:rsidR="008F1CB7" w:rsidRDefault="008F1C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Body CS)">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Body)">
    <w:altName w:val="Calibri"/>
    <w:panose1 w:val="020B060402020202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312450"/>
      <w:docPartObj>
        <w:docPartGallery w:val="Page Numbers (Bottom of Page)"/>
        <w:docPartUnique/>
      </w:docPartObj>
    </w:sdtPr>
    <w:sdtEndPr>
      <w:rPr>
        <w:rStyle w:val="PageNumber"/>
      </w:rPr>
    </w:sdtEndPr>
    <w:sdtContent>
      <w:p w14:paraId="5E3E9EE1" w14:textId="77777777" w:rsidR="00833800" w:rsidRDefault="00833800" w:rsidP="001059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61FB40" w14:textId="77777777" w:rsidR="00833800" w:rsidRDefault="00833800" w:rsidP="005403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9039178"/>
      <w:docPartObj>
        <w:docPartGallery w:val="Page Numbers (Bottom of Page)"/>
        <w:docPartUnique/>
      </w:docPartObj>
    </w:sdtPr>
    <w:sdtEndPr>
      <w:rPr>
        <w:rStyle w:val="PageNumber"/>
      </w:rPr>
    </w:sdtEndPr>
    <w:sdtContent>
      <w:p w14:paraId="3D2A9475" w14:textId="77777777" w:rsidR="001059E6" w:rsidRDefault="001059E6" w:rsidP="00D073A8">
        <w:pPr>
          <w:pStyle w:val="Footer"/>
          <w:framePr w:wrap="none" w:vAnchor="text" w:hAnchor="margin" w:xAlign="center" w:y="1"/>
          <w:rPr>
            <w:rStyle w:val="PageNumber"/>
          </w:rPr>
        </w:pPr>
        <w:r w:rsidRPr="0030669C">
          <w:rPr>
            <w:rStyle w:val="PageNumber"/>
            <w:sz w:val="18"/>
            <w:szCs w:val="18"/>
          </w:rPr>
          <w:fldChar w:fldCharType="begin"/>
        </w:r>
        <w:r w:rsidRPr="0030669C">
          <w:rPr>
            <w:rStyle w:val="PageNumber"/>
            <w:sz w:val="18"/>
            <w:szCs w:val="18"/>
          </w:rPr>
          <w:instrText xml:space="preserve"> PAGE </w:instrText>
        </w:r>
        <w:r w:rsidRPr="0030669C">
          <w:rPr>
            <w:rStyle w:val="PageNumber"/>
            <w:sz w:val="18"/>
            <w:szCs w:val="18"/>
          </w:rPr>
          <w:fldChar w:fldCharType="separate"/>
        </w:r>
        <w:r w:rsidRPr="0030669C">
          <w:rPr>
            <w:rStyle w:val="PageNumber"/>
            <w:noProof/>
            <w:sz w:val="18"/>
            <w:szCs w:val="18"/>
          </w:rPr>
          <w:t>1</w:t>
        </w:r>
        <w:r w:rsidRPr="0030669C">
          <w:rPr>
            <w:rStyle w:val="PageNumber"/>
            <w:sz w:val="18"/>
            <w:szCs w:val="18"/>
          </w:rPr>
          <w:fldChar w:fldCharType="end"/>
        </w:r>
      </w:p>
    </w:sdtContent>
  </w:sdt>
  <w:p w14:paraId="258E2106" w14:textId="77777777" w:rsidR="001059E6" w:rsidRDefault="001059E6" w:rsidP="00027B3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6787860"/>
      <w:docPartObj>
        <w:docPartGallery w:val="Page Numbers (Bottom of Page)"/>
        <w:docPartUnique/>
      </w:docPartObj>
    </w:sdtPr>
    <w:sdtEndPr>
      <w:rPr>
        <w:rStyle w:val="PageNumber"/>
      </w:rPr>
    </w:sdtEndPr>
    <w:sdtContent>
      <w:p w14:paraId="0006C684" w14:textId="77777777" w:rsidR="00027B3B" w:rsidRDefault="00027B3B" w:rsidP="00D073A8">
        <w:pPr>
          <w:pStyle w:val="Footer"/>
          <w:framePr w:wrap="none" w:vAnchor="text" w:hAnchor="margin" w:xAlign="center" w:y="1"/>
          <w:rPr>
            <w:rStyle w:val="PageNumber"/>
          </w:rPr>
        </w:pPr>
        <w:r w:rsidRPr="0030669C">
          <w:rPr>
            <w:rStyle w:val="PageNumber"/>
            <w:sz w:val="18"/>
            <w:szCs w:val="18"/>
          </w:rPr>
          <w:fldChar w:fldCharType="begin"/>
        </w:r>
        <w:r w:rsidRPr="0030669C">
          <w:rPr>
            <w:rStyle w:val="PageNumber"/>
            <w:sz w:val="18"/>
            <w:szCs w:val="18"/>
          </w:rPr>
          <w:instrText xml:space="preserve"> PAGE </w:instrText>
        </w:r>
        <w:r w:rsidRPr="0030669C">
          <w:rPr>
            <w:rStyle w:val="PageNumber"/>
            <w:sz w:val="18"/>
            <w:szCs w:val="18"/>
          </w:rPr>
          <w:fldChar w:fldCharType="separate"/>
        </w:r>
        <w:r w:rsidRPr="0030669C">
          <w:rPr>
            <w:rStyle w:val="PageNumber"/>
            <w:noProof/>
            <w:sz w:val="18"/>
            <w:szCs w:val="18"/>
          </w:rPr>
          <w:t>1</w:t>
        </w:r>
        <w:r w:rsidRPr="0030669C">
          <w:rPr>
            <w:rStyle w:val="PageNumber"/>
            <w:sz w:val="18"/>
            <w:szCs w:val="18"/>
          </w:rPr>
          <w:fldChar w:fldCharType="end"/>
        </w:r>
      </w:p>
    </w:sdtContent>
  </w:sdt>
  <w:p w14:paraId="1EFA6F93" w14:textId="77777777" w:rsidR="00027B3B" w:rsidRDefault="00027B3B" w:rsidP="00027B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B386A" w14:textId="77777777" w:rsidR="008F1CB7" w:rsidRDefault="008F1CB7">
      <w:r>
        <w:separator/>
      </w:r>
    </w:p>
  </w:footnote>
  <w:footnote w:type="continuationSeparator" w:id="0">
    <w:p w14:paraId="11F06092" w14:textId="77777777" w:rsidR="008F1CB7" w:rsidRDefault="008F1CB7">
      <w:r>
        <w:continuationSeparator/>
      </w:r>
    </w:p>
  </w:footnote>
  <w:footnote w:type="continuationNotice" w:id="1">
    <w:p w14:paraId="45A85919" w14:textId="77777777" w:rsidR="008F1CB7" w:rsidRDefault="008F1CB7"/>
  </w:footnote>
  <w:footnote w:id="2">
    <w:p w14:paraId="3E5EBF53" w14:textId="326612AC" w:rsidR="00374027" w:rsidRDefault="00374027" w:rsidP="008F53D9">
      <w:pPr>
        <w:pStyle w:val="FootnoteText"/>
        <w:spacing w:line="360" w:lineRule="auto"/>
      </w:pPr>
      <w:r>
        <w:rPr>
          <w:rStyle w:val="FootnoteReference"/>
        </w:rPr>
        <w:footnoteRef/>
      </w:r>
      <w:r>
        <w:t xml:space="preserve"> WIPO, ‘</w:t>
      </w:r>
      <w:r w:rsidR="00D04CBA">
        <w:t>Understanding Copyright and Related Rights</w:t>
      </w:r>
      <w:r>
        <w:t>’</w:t>
      </w:r>
      <w:r w:rsidR="00D04CBA">
        <w:t xml:space="preserve"> (WIPO</w:t>
      </w:r>
      <w:r w:rsidR="00F5250B">
        <w:t xml:space="preserve"> 2016</w:t>
      </w:r>
      <w:r w:rsidR="00D04CBA">
        <w:t>)</w:t>
      </w:r>
      <w:r w:rsidR="00F5250B">
        <w:t xml:space="preserve"> 9.</w:t>
      </w:r>
    </w:p>
  </w:footnote>
  <w:footnote w:id="3">
    <w:p w14:paraId="229288BF" w14:textId="2B9D8CF7" w:rsidR="00112493" w:rsidRPr="00427115" w:rsidRDefault="00112493" w:rsidP="008F53D9">
      <w:pPr>
        <w:pStyle w:val="FootnoteText"/>
        <w:spacing w:line="360" w:lineRule="auto"/>
        <w:rPr>
          <w:b/>
          <w:bCs/>
        </w:rPr>
      </w:pPr>
      <w:r>
        <w:rPr>
          <w:rStyle w:val="FootnoteReference"/>
        </w:rPr>
        <w:footnoteRef/>
      </w:r>
      <w:r>
        <w:t xml:space="preserve"> </w:t>
      </w:r>
      <w:r w:rsidR="00686081" w:rsidRPr="00686081">
        <w:t>Copyright, Designs and Patents Act 1988</w:t>
      </w:r>
      <w:r w:rsidR="00704141">
        <w:t xml:space="preserve"> (CDPA)</w:t>
      </w:r>
      <w:r w:rsidR="006D3E52">
        <w:t>, ss 77, 80, 84</w:t>
      </w:r>
      <w:r w:rsidR="00427115" w:rsidRPr="00427115">
        <w:rPr>
          <w:b/>
          <w:bCs/>
        </w:rPr>
        <w:t>–</w:t>
      </w:r>
      <w:r w:rsidR="006D3E52">
        <w:t>85</w:t>
      </w:r>
      <w:r w:rsidR="00427115">
        <w:t>.</w:t>
      </w:r>
    </w:p>
  </w:footnote>
  <w:footnote w:id="4">
    <w:p w14:paraId="10709C63" w14:textId="5C77BDD1" w:rsidR="00EE452F" w:rsidRDefault="00EE452F" w:rsidP="00EB06F4">
      <w:pPr>
        <w:pStyle w:val="FootnoteText"/>
        <w:spacing w:line="360" w:lineRule="auto"/>
      </w:pPr>
      <w:r>
        <w:rPr>
          <w:rStyle w:val="FootnoteReference"/>
        </w:rPr>
        <w:footnoteRef/>
      </w:r>
      <w:r>
        <w:t xml:space="preserve"> </w:t>
      </w:r>
      <w:r w:rsidR="007D167F">
        <w:rPr>
          <w:lang w:eastAsia="zh-CN"/>
        </w:rPr>
        <w:t>ibid, s 80(2)(b).</w:t>
      </w:r>
    </w:p>
  </w:footnote>
  <w:footnote w:id="5">
    <w:p w14:paraId="4AE69EC1" w14:textId="2322A8A7" w:rsidR="00C54B46" w:rsidRPr="002E6CB7" w:rsidRDefault="00C54B46" w:rsidP="00EB06F4">
      <w:pPr>
        <w:pStyle w:val="FootnoteText"/>
        <w:spacing w:line="360" w:lineRule="auto"/>
        <w:rPr>
          <w:rFonts w:eastAsia="Microsoft YaHei" w:cs="Times New Roman"/>
          <w:lang w:eastAsia="zh-CN"/>
        </w:rPr>
      </w:pPr>
      <w:r>
        <w:rPr>
          <w:rStyle w:val="FootnoteReference"/>
        </w:rPr>
        <w:footnoteRef/>
      </w:r>
      <w:r>
        <w:t xml:space="preserve"> </w:t>
      </w:r>
      <w:r w:rsidR="00F94258">
        <w:t>Tanya F. Aplin and Ahmed Shaffan Mohamed, ‘The Concept of ‘Reputation’ in the Moral Right of Integrity’ (</w:t>
      </w:r>
      <w:r w:rsidR="00730057">
        <w:t>2019</w:t>
      </w:r>
      <w:r w:rsidR="00F94258">
        <w:t>)</w:t>
      </w:r>
      <w:r w:rsidR="00730057">
        <w:t xml:space="preserve"> 14 Journal of Intellectual Property Law &amp; Practice</w:t>
      </w:r>
      <w:r w:rsidR="00F94258">
        <w:t xml:space="preserve"> 268, </w:t>
      </w:r>
      <w:r w:rsidR="00D162CA">
        <w:t>276</w:t>
      </w:r>
      <w:r w:rsidR="002E6CB7" w:rsidRPr="002E6CB7">
        <w:t>–277.</w:t>
      </w:r>
    </w:p>
  </w:footnote>
  <w:footnote w:id="6">
    <w:p w14:paraId="5F31646C" w14:textId="44F29653" w:rsidR="00704141" w:rsidRDefault="00704141" w:rsidP="00EB06F4">
      <w:pPr>
        <w:pStyle w:val="FootnoteText"/>
        <w:spacing w:line="360" w:lineRule="auto"/>
      </w:pPr>
      <w:r>
        <w:rPr>
          <w:rStyle w:val="FootnoteReference"/>
        </w:rPr>
        <w:footnoteRef/>
      </w:r>
      <w:r>
        <w:t xml:space="preserve"> CDPA, s 94.</w:t>
      </w:r>
    </w:p>
  </w:footnote>
  <w:footnote w:id="7">
    <w:p w14:paraId="143FE50C" w14:textId="32C5E547" w:rsidR="00704141" w:rsidRDefault="00704141" w:rsidP="00EB06F4">
      <w:pPr>
        <w:pStyle w:val="FootnoteText"/>
        <w:spacing w:line="360" w:lineRule="auto"/>
      </w:pPr>
      <w:r>
        <w:rPr>
          <w:rStyle w:val="FootnoteReference"/>
        </w:rPr>
        <w:footnoteRef/>
      </w:r>
      <w:r>
        <w:t xml:space="preserve"> ibid, s 87(2).</w:t>
      </w:r>
    </w:p>
  </w:footnote>
  <w:footnote w:id="8">
    <w:p w14:paraId="136820AB" w14:textId="34026963" w:rsidR="00704141" w:rsidRDefault="00704141" w:rsidP="00EB06F4">
      <w:pPr>
        <w:pStyle w:val="FootnoteText"/>
        <w:spacing w:line="360" w:lineRule="auto"/>
      </w:pPr>
      <w:r>
        <w:rPr>
          <w:rStyle w:val="FootnoteReference"/>
        </w:rPr>
        <w:footnoteRef/>
      </w:r>
      <w:r>
        <w:t xml:space="preserve"> </w:t>
      </w:r>
      <w:r w:rsidR="00ED2519">
        <w:t>ibid, s 78(1)</w:t>
      </w:r>
      <w:r w:rsidR="00ED2519" w:rsidRPr="00427115">
        <w:rPr>
          <w:b/>
          <w:bCs/>
        </w:rPr>
        <w:t>–</w:t>
      </w:r>
      <w:r w:rsidR="00ED2519">
        <w:t>(2).</w:t>
      </w:r>
    </w:p>
  </w:footnote>
  <w:footnote w:id="9">
    <w:p w14:paraId="50DBADC3" w14:textId="7D13DA50" w:rsidR="000D3A6F" w:rsidRDefault="000D3A6F" w:rsidP="00EB06F4">
      <w:pPr>
        <w:pStyle w:val="FootnoteText"/>
        <w:spacing w:line="360" w:lineRule="auto"/>
      </w:pPr>
      <w:r>
        <w:rPr>
          <w:rStyle w:val="FootnoteReference"/>
        </w:rPr>
        <w:footnoteRef/>
      </w:r>
      <w:r>
        <w:t xml:space="preserve"> </w:t>
      </w:r>
      <w:r w:rsidR="005A02F1">
        <w:t xml:space="preserve">ibid, </w:t>
      </w:r>
      <w:r w:rsidR="008E2D5F">
        <w:t>ss 80(2)(b), 84, 103.</w:t>
      </w:r>
    </w:p>
  </w:footnote>
  <w:footnote w:id="10">
    <w:p w14:paraId="72BB9D69" w14:textId="436F0652" w:rsidR="00EB06F4" w:rsidRDefault="00EB06F4" w:rsidP="00EB06F4">
      <w:pPr>
        <w:pStyle w:val="FootnoteText"/>
        <w:spacing w:line="360" w:lineRule="auto"/>
      </w:pPr>
      <w:r>
        <w:rPr>
          <w:rStyle w:val="FootnoteReference"/>
        </w:rPr>
        <w:footnoteRef/>
      </w:r>
      <w:r>
        <w:t xml:space="preserve"> WIPO (n 1), </w:t>
      </w:r>
      <w:r w:rsidR="004E555F">
        <w:t>9</w:t>
      </w:r>
      <w:r w:rsidR="004E555F" w:rsidRPr="00427115">
        <w:rPr>
          <w:b/>
          <w:bCs/>
        </w:rPr>
        <w:t>–</w:t>
      </w:r>
      <w:r w:rsidR="004E555F">
        <w:t>10.</w:t>
      </w:r>
    </w:p>
  </w:footnote>
  <w:footnote w:id="11">
    <w:p w14:paraId="4738F509" w14:textId="7E9D9BCF" w:rsidR="002951A2" w:rsidRDefault="002951A2" w:rsidP="00EB06F4">
      <w:pPr>
        <w:pStyle w:val="FootnoteText"/>
        <w:spacing w:line="360" w:lineRule="auto"/>
      </w:pPr>
      <w:r>
        <w:rPr>
          <w:rStyle w:val="FootnoteReference"/>
        </w:rPr>
        <w:footnoteRef/>
      </w:r>
      <w:r>
        <w:t xml:space="preserve"> </w:t>
      </w:r>
      <w:r w:rsidR="005A2C52">
        <w:t>CDPA</w:t>
      </w:r>
      <w:r w:rsidR="002D4A92">
        <w:t xml:space="preserve">, ss </w:t>
      </w:r>
      <w:r w:rsidR="0007334B">
        <w:t>17</w:t>
      </w:r>
      <w:r w:rsidR="00B06939" w:rsidRPr="002E6CB7">
        <w:t>–</w:t>
      </w:r>
      <w:r w:rsidR="00B06939">
        <w:t>21.</w:t>
      </w:r>
    </w:p>
  </w:footnote>
  <w:footnote w:id="12">
    <w:p w14:paraId="058652BD" w14:textId="6524E65E" w:rsidR="007D3ECF" w:rsidRDefault="007D3ECF" w:rsidP="00EB06F4">
      <w:pPr>
        <w:pStyle w:val="FootnoteText"/>
        <w:spacing w:line="360" w:lineRule="auto"/>
      </w:pPr>
      <w:r>
        <w:rPr>
          <w:rStyle w:val="FootnoteReference"/>
        </w:rPr>
        <w:footnoteRef/>
      </w:r>
      <w:r>
        <w:t xml:space="preserve"> </w:t>
      </w:r>
      <w:r w:rsidR="00910C7F">
        <w:rPr>
          <w:lang w:eastAsia="zh-CN"/>
        </w:rPr>
        <w:t xml:space="preserve">ibid, </w:t>
      </w:r>
      <w:r w:rsidR="007B3137">
        <w:rPr>
          <w:lang w:eastAsia="zh-CN"/>
        </w:rPr>
        <w:t xml:space="preserve">ss </w:t>
      </w:r>
      <w:r w:rsidR="00910C7F">
        <w:rPr>
          <w:lang w:eastAsia="zh-CN"/>
        </w:rPr>
        <w:t>9</w:t>
      </w:r>
      <w:r w:rsidR="007B3137">
        <w:rPr>
          <w:lang w:eastAsia="zh-CN"/>
        </w:rPr>
        <w:t>0</w:t>
      </w:r>
      <w:r w:rsidR="00910C7F">
        <w:rPr>
          <w:lang w:eastAsia="zh-CN"/>
        </w:rPr>
        <w:t>(1)</w:t>
      </w:r>
      <w:r w:rsidR="007B3137" w:rsidRPr="002E6CB7">
        <w:t>–</w:t>
      </w:r>
      <w:r w:rsidR="00910C7F">
        <w:rPr>
          <w:lang w:eastAsia="zh-CN"/>
        </w:rPr>
        <w:t>(3)</w:t>
      </w:r>
      <w:r w:rsidR="007B3137">
        <w:rPr>
          <w:lang w:eastAsia="zh-CN"/>
        </w:rPr>
        <w:t>, 92.</w:t>
      </w:r>
    </w:p>
  </w:footnote>
  <w:footnote w:id="13">
    <w:p w14:paraId="232A259A" w14:textId="41AA3ED8" w:rsidR="00991C7F" w:rsidRPr="00A95E49" w:rsidRDefault="00991C7F" w:rsidP="00EB06F4">
      <w:pPr>
        <w:pStyle w:val="FootnoteText"/>
        <w:spacing w:line="360" w:lineRule="auto"/>
        <w:rPr>
          <w:b/>
          <w:bCs/>
        </w:rPr>
      </w:pPr>
      <w:r>
        <w:rPr>
          <w:rStyle w:val="FootnoteReference"/>
        </w:rPr>
        <w:footnoteRef/>
      </w:r>
      <w:r>
        <w:t xml:space="preserve"> </w:t>
      </w:r>
      <w:r w:rsidR="00917056">
        <w:t>Simone Schroff, ‘</w:t>
      </w:r>
      <w:r w:rsidR="009357B2">
        <w:t>The Purpose of Copyright</w:t>
      </w:r>
      <w:r w:rsidR="00A95E49" w:rsidRPr="00A95E49">
        <w:rPr>
          <w:b/>
          <w:bCs/>
        </w:rPr>
        <w:t>—</w:t>
      </w:r>
      <w:r w:rsidR="009357B2">
        <w:t>Moving Beyond the Theory</w:t>
      </w:r>
      <w:r w:rsidR="00917056">
        <w:t>’</w:t>
      </w:r>
      <w:r w:rsidR="009357B2">
        <w:t xml:space="preserve"> </w:t>
      </w:r>
      <w:r w:rsidR="00BD3A73">
        <w:rPr>
          <w:rFonts w:eastAsia="Microsoft YaHei" w:cs="Times New Roman"/>
          <w:lang w:eastAsia="zh-CN"/>
        </w:rPr>
        <w:t xml:space="preserve">(2021) 16 </w:t>
      </w:r>
      <w:r w:rsidR="00BD3A73">
        <w:t xml:space="preserve">Journal of Intellectual Property Law &amp; Practice </w:t>
      </w:r>
      <w:r w:rsidR="00556FEF">
        <w:t xml:space="preserve">1262, </w:t>
      </w:r>
      <w:r w:rsidR="005D44BB">
        <w:t>1263</w:t>
      </w:r>
      <w:r w:rsidR="001F0C63">
        <w:rPr>
          <w:rFonts w:eastAsia="Microsoft YaHei" w:cs="Times New Roman"/>
          <w:lang w:eastAsia="zh-CN"/>
        </w:rPr>
        <w:t xml:space="preserve">, </w:t>
      </w:r>
      <w:r w:rsidR="009077CC">
        <w:rPr>
          <w:rFonts w:eastAsia="Microsoft YaHei" w:cs="Times New Roman"/>
          <w:lang w:eastAsia="zh-CN"/>
        </w:rPr>
        <w:t>1269</w:t>
      </w:r>
      <w:r w:rsidR="00556FEF">
        <w:t>.</w:t>
      </w:r>
    </w:p>
  </w:footnote>
  <w:footnote w:id="14">
    <w:p w14:paraId="3EAAAB8F" w14:textId="483A082D" w:rsidR="008F53D9" w:rsidRDefault="008F53D9" w:rsidP="00EB06F4">
      <w:pPr>
        <w:pStyle w:val="FootnoteText"/>
        <w:spacing w:line="360" w:lineRule="auto"/>
        <w:rPr>
          <w:lang w:eastAsia="zh-CN"/>
        </w:rPr>
      </w:pPr>
      <w:r>
        <w:rPr>
          <w:rStyle w:val="FootnoteReference"/>
        </w:rPr>
        <w:footnoteRef/>
      </w:r>
      <w:r>
        <w:t xml:space="preserve"> </w:t>
      </w:r>
      <w:r w:rsidR="00E447E6">
        <w:rPr>
          <w:lang w:eastAsia="zh-CN"/>
        </w:rPr>
        <w:t xml:space="preserve">CDPA, ss </w:t>
      </w:r>
      <w:r w:rsidR="003C0DB6">
        <w:rPr>
          <w:lang w:eastAsia="zh-CN"/>
        </w:rPr>
        <w:t>96(2)</w:t>
      </w:r>
      <w:r w:rsidR="003C0DB6" w:rsidRPr="002E6CB7">
        <w:t>–</w:t>
      </w:r>
      <w:r w:rsidR="003C0DB6">
        <w:t>97(1).</w:t>
      </w:r>
    </w:p>
  </w:footnote>
  <w:footnote w:id="15">
    <w:p w14:paraId="4A17F2A3" w14:textId="77777777" w:rsidR="002718D3" w:rsidRPr="00F360A0" w:rsidRDefault="002718D3" w:rsidP="002718D3">
      <w:pPr>
        <w:rPr>
          <w:rFonts w:eastAsia="SimSun" w:cs="Times New Roman"/>
          <w:sz w:val="20"/>
          <w:szCs w:val="20"/>
          <w:u w:val="single"/>
          <w:lang w:eastAsia="zh-CN"/>
        </w:rPr>
      </w:pPr>
      <w:r w:rsidRPr="00F360A0">
        <w:rPr>
          <w:rStyle w:val="FootnoteReference"/>
          <w:sz w:val="20"/>
          <w:szCs w:val="20"/>
        </w:rPr>
        <w:footnoteRef/>
      </w:r>
      <w:r w:rsidRPr="00F360A0">
        <w:rPr>
          <w:sz w:val="20"/>
          <w:szCs w:val="20"/>
        </w:rPr>
        <w:t xml:space="preserve"> </w:t>
      </w:r>
      <w:r w:rsidRPr="00F360A0">
        <w:rPr>
          <w:rFonts w:eastAsia="Times New Roman" w:cs="Times New Roman"/>
          <w:sz w:val="20"/>
          <w:szCs w:val="20"/>
          <w:lang w:eastAsia="zh-CN"/>
        </w:rPr>
        <w:t>Abbe Brown and others,</w:t>
      </w:r>
      <w:r>
        <w:rPr>
          <w:rFonts w:eastAsia="Times New Roman" w:cs="Times New Roman"/>
          <w:sz w:val="20"/>
          <w:szCs w:val="20"/>
          <w:lang w:eastAsia="zh-CN"/>
        </w:rPr>
        <w:t xml:space="preserve"> </w:t>
      </w:r>
      <w:r w:rsidRPr="00F360A0">
        <w:rPr>
          <w:rFonts w:eastAsia="Times New Roman" w:cs="Times New Roman"/>
          <w:i/>
          <w:iCs/>
          <w:sz w:val="20"/>
          <w:szCs w:val="20"/>
          <w:lang w:eastAsia="zh-CN"/>
        </w:rPr>
        <w:t>Contemporary Intellectual Property: Law and Policy</w:t>
      </w:r>
      <w:r>
        <w:rPr>
          <w:rFonts w:eastAsia="Times New Roman" w:cs="Times New Roman"/>
          <w:sz w:val="20"/>
          <w:szCs w:val="20"/>
          <w:lang w:eastAsia="zh-CN"/>
        </w:rPr>
        <w:t xml:space="preserve"> </w:t>
      </w:r>
      <w:r w:rsidRPr="00F360A0">
        <w:rPr>
          <w:rFonts w:eastAsia="Times New Roman" w:cs="Times New Roman"/>
          <w:sz w:val="20"/>
          <w:szCs w:val="20"/>
          <w:lang w:eastAsia="zh-CN"/>
        </w:rPr>
        <w:t>(6th edn, Oxford University Press 2023)</w:t>
      </w:r>
      <w:r>
        <w:rPr>
          <w:rFonts w:eastAsia="Times New Roman" w:cs="Times New Roman"/>
          <w:sz w:val="20"/>
          <w:szCs w:val="20"/>
          <w:lang w:eastAsia="zh-CN"/>
        </w:rPr>
        <w:t xml:space="preserve"> </w:t>
      </w:r>
      <w:r w:rsidRPr="00172855">
        <w:rPr>
          <w:rFonts w:eastAsia="Times New Roman" w:cs="Times New Roman"/>
          <w:sz w:val="20"/>
          <w:szCs w:val="20"/>
          <w:lang w:eastAsia="zh-CN"/>
        </w:rPr>
        <w:t>218</w:t>
      </w:r>
      <w:r w:rsidRPr="00172855">
        <w:rPr>
          <w:rFonts w:eastAsia="SimSun" w:cs="Times New Roman"/>
          <w:sz w:val="20"/>
          <w:szCs w:val="20"/>
          <w:lang w:eastAsia="zh-CN"/>
        </w:rPr>
        <w:t>.</w:t>
      </w:r>
    </w:p>
  </w:footnote>
  <w:footnote w:id="16">
    <w:p w14:paraId="315FF858" w14:textId="10CFE88B" w:rsidR="00883CF3" w:rsidRDefault="00883CF3" w:rsidP="00A8414E">
      <w:pPr>
        <w:pStyle w:val="FootnoteText"/>
        <w:spacing w:line="360" w:lineRule="auto"/>
        <w:rPr>
          <w:lang w:eastAsia="zh-CN"/>
        </w:rPr>
      </w:pPr>
      <w:r>
        <w:rPr>
          <w:rStyle w:val="FootnoteReference"/>
        </w:rPr>
        <w:footnoteRef/>
      </w:r>
      <w:r>
        <w:t xml:space="preserve"> </w:t>
      </w:r>
      <w:r w:rsidR="00AC4003">
        <w:t>CDPA,</w:t>
      </w:r>
      <w:r w:rsidR="00C2661E">
        <w:t xml:space="preserve"> </w:t>
      </w:r>
      <w:r w:rsidR="00812AE2">
        <w:t>s 78.</w:t>
      </w:r>
    </w:p>
  </w:footnote>
  <w:footnote w:id="17">
    <w:p w14:paraId="7EB8F998" w14:textId="781EE281" w:rsidR="0083694F" w:rsidRDefault="0083694F" w:rsidP="00A8414E">
      <w:pPr>
        <w:pStyle w:val="FootnoteText"/>
        <w:spacing w:line="360" w:lineRule="auto"/>
        <w:rPr>
          <w:lang w:eastAsia="zh-CN"/>
        </w:rPr>
      </w:pPr>
      <w:r>
        <w:rPr>
          <w:rStyle w:val="FootnoteReference"/>
        </w:rPr>
        <w:footnoteRef/>
      </w:r>
      <w:r>
        <w:t xml:space="preserve"> </w:t>
      </w:r>
      <w:r w:rsidR="003E1867">
        <w:t>ibid</w:t>
      </w:r>
      <w:r w:rsidR="00AC4003">
        <w:t>,</w:t>
      </w:r>
      <w:r w:rsidR="00C2661E">
        <w:t xml:space="preserve"> </w:t>
      </w:r>
      <w:r w:rsidR="00A0269A">
        <w:t>s 87.</w:t>
      </w:r>
    </w:p>
  </w:footnote>
  <w:footnote w:id="18">
    <w:p w14:paraId="7C6B3A07" w14:textId="1AFF97B8" w:rsidR="00617F20" w:rsidRDefault="00617F20" w:rsidP="00A8414E">
      <w:pPr>
        <w:pStyle w:val="FootnoteText"/>
        <w:spacing w:line="360" w:lineRule="auto"/>
      </w:pPr>
      <w:r>
        <w:rPr>
          <w:rStyle w:val="FootnoteReference"/>
        </w:rPr>
        <w:footnoteRef/>
      </w:r>
      <w:r>
        <w:t xml:space="preserve"> </w:t>
      </w:r>
      <w:r w:rsidR="00776CD5">
        <w:t>Jane C</w:t>
      </w:r>
      <w:r w:rsidR="00F932DE">
        <w:t>.</w:t>
      </w:r>
      <w:r w:rsidR="00776CD5">
        <w:t xml:space="preserve"> Ginsburg, </w:t>
      </w:r>
      <w:r w:rsidR="00F932DE">
        <w:t>‘</w:t>
      </w:r>
      <w:r w:rsidR="00776CD5">
        <w:t>The Most Moral of Rights: The Right to Be Recognized as the Author of One</w:t>
      </w:r>
      <w:r w:rsidR="00494ED3">
        <w:t>’</w:t>
      </w:r>
      <w:r w:rsidR="00776CD5">
        <w:t>s Work</w:t>
      </w:r>
      <w:r w:rsidR="00F932DE">
        <w:t>’</w:t>
      </w:r>
      <w:r w:rsidR="00776CD5">
        <w:t xml:space="preserve"> (2016) 8 </w:t>
      </w:r>
      <w:r w:rsidR="00F932DE">
        <w:t>George Mason Journal of International Commercial Law</w:t>
      </w:r>
      <w:r w:rsidR="00776CD5">
        <w:t xml:space="preserve"> 44, 65.</w:t>
      </w:r>
    </w:p>
  </w:footnote>
  <w:footnote w:id="19">
    <w:p w14:paraId="477A7544" w14:textId="30150E89" w:rsidR="0015735C" w:rsidRDefault="0015735C" w:rsidP="00A8414E">
      <w:pPr>
        <w:pStyle w:val="FootnoteText"/>
        <w:spacing w:line="360" w:lineRule="auto"/>
      </w:pPr>
      <w:r>
        <w:rPr>
          <w:rStyle w:val="FootnoteReference"/>
        </w:rPr>
        <w:footnoteRef/>
      </w:r>
      <w:r>
        <w:t xml:space="preserve"> </w:t>
      </w:r>
      <w:r w:rsidR="00D93D1A" w:rsidRPr="00D93D1A">
        <w:t>Loizos Petrides and Madalena Vila de Brito</w:t>
      </w:r>
      <w:r>
        <w:t>, ‘The Impact of Digital Presence on the Careers of Emerging Visual Artists’</w:t>
      </w:r>
      <w:r w:rsidR="00D93D1A">
        <w:t xml:space="preserve"> (2024) 13 </w:t>
      </w:r>
      <w:r w:rsidR="000420BE">
        <w:t>Social Sciences 313</w:t>
      </w:r>
      <w:r w:rsidR="002B64DD">
        <w:t>, 313.</w:t>
      </w:r>
    </w:p>
  </w:footnote>
  <w:footnote w:id="20">
    <w:p w14:paraId="7DA7090A" w14:textId="77777777" w:rsidR="0028313D" w:rsidRDefault="0028313D" w:rsidP="00A8414E">
      <w:pPr>
        <w:pStyle w:val="FootnoteText"/>
        <w:spacing w:line="360" w:lineRule="auto"/>
      </w:pPr>
      <w:r>
        <w:rPr>
          <w:rStyle w:val="FootnoteReference"/>
        </w:rPr>
        <w:footnoteRef/>
      </w:r>
      <w:r>
        <w:t xml:space="preserve"> Nishchal Soni, ‘Forensic Value of Exif Data: An Analytical Evaluation of Metadata Integrity across Image Transfer Methods’ (2025) 2 Perspectives in Legal and Forensic Sciences 1, 9.</w:t>
      </w:r>
    </w:p>
  </w:footnote>
  <w:footnote w:id="21">
    <w:p w14:paraId="66ECA475" w14:textId="2B8F4EC1" w:rsidR="00714887" w:rsidRDefault="00714887" w:rsidP="00F72FF9">
      <w:pPr>
        <w:pStyle w:val="FootnoteText"/>
        <w:spacing w:line="360" w:lineRule="auto"/>
      </w:pPr>
      <w:r>
        <w:rPr>
          <w:rStyle w:val="FootnoteReference"/>
        </w:rPr>
        <w:footnoteRef/>
      </w:r>
      <w:r>
        <w:t xml:space="preserve"> </w:t>
      </w:r>
      <w:r w:rsidR="00C16BEE" w:rsidRPr="00C16BEE">
        <w:t>Yongxuan Wang</w:t>
      </w:r>
      <w:r w:rsidR="00C16BEE">
        <w:t xml:space="preserve">, </w:t>
      </w:r>
      <w:r w:rsidR="00CA3792" w:rsidRPr="00CA3792">
        <w:t>Ning Li</w:t>
      </w:r>
      <w:r w:rsidR="00CA3792">
        <w:t xml:space="preserve">, and </w:t>
      </w:r>
      <w:r w:rsidR="00CA3792" w:rsidRPr="00CA3792">
        <w:t>Yingai Tian</w:t>
      </w:r>
      <w:r w:rsidR="00C16BEE">
        <w:t>, ‘</w:t>
      </w:r>
      <w:r w:rsidR="00C16BEE" w:rsidRPr="00C16BEE">
        <w:t>Semantic Metadata Integration Support Method for Editable</w:t>
      </w:r>
      <w:r w:rsidR="00C16BEE">
        <w:t xml:space="preserve"> </w:t>
      </w:r>
      <w:r w:rsidR="00C16BEE" w:rsidRPr="00C16BEE">
        <w:t>Re-flowable Document OOXML and Fixed-layout Document PDF</w:t>
      </w:r>
      <w:r w:rsidR="00C16BEE">
        <w:t>’</w:t>
      </w:r>
      <w:r w:rsidR="00CA3792">
        <w:t xml:space="preserve"> (</w:t>
      </w:r>
      <w:r w:rsidR="005647AD">
        <w:t xml:space="preserve">The </w:t>
      </w:r>
      <w:r w:rsidR="00AA4D33" w:rsidRPr="00AA4D33">
        <w:t>7th International Conference on Computer Science and Application Engineering</w:t>
      </w:r>
      <w:r w:rsidR="00F70A38">
        <w:t xml:space="preserve">, </w:t>
      </w:r>
      <w:r w:rsidR="00D9553A">
        <w:t>Virtual Event</w:t>
      </w:r>
      <w:r w:rsidR="00F70A38">
        <w:t xml:space="preserve">, </w:t>
      </w:r>
      <w:r w:rsidR="0074054B">
        <w:t xml:space="preserve">October </w:t>
      </w:r>
      <w:r w:rsidR="00F70A38">
        <w:t>2023</w:t>
      </w:r>
      <w:r w:rsidR="00CA3792">
        <w:t>)</w:t>
      </w:r>
      <w:r w:rsidR="005647AD">
        <w:t>.</w:t>
      </w:r>
    </w:p>
  </w:footnote>
  <w:footnote w:id="22">
    <w:p w14:paraId="1EDFA590" w14:textId="5AD5B647" w:rsidR="00E70A3B" w:rsidRDefault="00E70A3B" w:rsidP="00F72FF9">
      <w:pPr>
        <w:pStyle w:val="FootnoteText"/>
        <w:spacing w:line="360" w:lineRule="auto"/>
      </w:pPr>
      <w:r>
        <w:rPr>
          <w:rStyle w:val="FootnoteReference"/>
        </w:rPr>
        <w:footnoteRef/>
      </w:r>
      <w:r>
        <w:t xml:space="preserve"> </w:t>
      </w:r>
      <w:r w:rsidR="00CF7A92">
        <w:t>H. Bosher and S. Yeşiloğlu, ‘</w:t>
      </w:r>
      <w:r w:rsidR="00F72FF9" w:rsidRPr="00F72FF9">
        <w:t>An Analysis of the Fundamental Tensions Between Copyright and Social Media: The Legal Implications of Sharing Images on Instagram</w:t>
      </w:r>
      <w:r w:rsidR="00CF7A92">
        <w:t>’</w:t>
      </w:r>
      <w:r w:rsidR="00F72FF9">
        <w:t xml:space="preserve"> (</w:t>
      </w:r>
      <w:r w:rsidR="00444B82">
        <w:t>2019</w:t>
      </w:r>
      <w:r w:rsidR="00F72FF9">
        <w:t>)</w:t>
      </w:r>
      <w:r w:rsidR="00444B82">
        <w:t xml:space="preserve"> 33 International Review of Law, Computers &amp; Technology 164, </w:t>
      </w:r>
      <w:r w:rsidR="005732C2">
        <w:t>165.</w:t>
      </w:r>
    </w:p>
  </w:footnote>
  <w:footnote w:id="23">
    <w:p w14:paraId="4637BBDB" w14:textId="504FB2A5" w:rsidR="001A6491" w:rsidRPr="001A6491" w:rsidRDefault="001A6491" w:rsidP="008C4A16">
      <w:pPr>
        <w:pStyle w:val="FootnoteText"/>
        <w:spacing w:line="360" w:lineRule="auto"/>
      </w:pPr>
      <w:r>
        <w:rPr>
          <w:rStyle w:val="FootnoteReference"/>
        </w:rPr>
        <w:footnoteRef/>
      </w:r>
      <w:r>
        <w:t xml:space="preserve"> </w:t>
      </w:r>
      <w:r w:rsidR="0091467F">
        <w:t>Jhonny Antonio Cadavid</w:t>
      </w:r>
      <w:r w:rsidR="00DD22B7">
        <w:t>, ‘The Origin and Purpose of Legal Protection for the Integrity of Copyright Metadata’</w:t>
      </w:r>
      <w:r w:rsidR="0091467F">
        <w:t xml:space="preserve"> (2023) 54 </w:t>
      </w:r>
      <w:r w:rsidR="00EF243B" w:rsidRPr="00EF243B">
        <w:t>International Review of Intellectual Property and Competition Law</w:t>
      </w:r>
      <w:r w:rsidR="00473340">
        <w:t xml:space="preserve"> </w:t>
      </w:r>
      <w:r w:rsidR="0059144D">
        <w:t>1179</w:t>
      </w:r>
      <w:r w:rsidR="00EF243B">
        <w:t xml:space="preserve">, </w:t>
      </w:r>
      <w:r w:rsidR="00473340">
        <w:t>1193.</w:t>
      </w:r>
    </w:p>
  </w:footnote>
  <w:footnote w:id="24">
    <w:p w14:paraId="004AA604" w14:textId="1DC126DE" w:rsidR="00A634E0" w:rsidRDefault="00A634E0" w:rsidP="008C4A16">
      <w:pPr>
        <w:pStyle w:val="FootnoteText"/>
        <w:spacing w:line="360" w:lineRule="auto"/>
      </w:pPr>
      <w:r>
        <w:rPr>
          <w:rStyle w:val="FootnoteReference"/>
        </w:rPr>
        <w:footnoteRef/>
      </w:r>
      <w:r>
        <w:t xml:space="preserve"> </w:t>
      </w:r>
      <w:r w:rsidR="005013D6" w:rsidRPr="00D93D1A">
        <w:t>Loizos Petrides and Madalena Vila de Brito</w:t>
      </w:r>
      <w:r w:rsidR="005013D6">
        <w:t xml:space="preserve"> (n 18), 313.</w:t>
      </w:r>
    </w:p>
  </w:footnote>
  <w:footnote w:id="25">
    <w:p w14:paraId="7B00C3DF" w14:textId="03D02475" w:rsidR="008C4A16" w:rsidRDefault="008C4A16" w:rsidP="008C4A16">
      <w:pPr>
        <w:pStyle w:val="FootnoteText"/>
        <w:spacing w:line="360" w:lineRule="auto"/>
      </w:pPr>
      <w:r>
        <w:rPr>
          <w:rStyle w:val="FootnoteReference"/>
        </w:rPr>
        <w:footnoteRef/>
      </w:r>
      <w:r>
        <w:t xml:space="preserve"> CDPA, s 80</w:t>
      </w:r>
      <w:r w:rsidR="00DA0360">
        <w:t>(2)(b)</w:t>
      </w:r>
      <w:r>
        <w:t>.</w:t>
      </w:r>
    </w:p>
  </w:footnote>
  <w:footnote w:id="26">
    <w:p w14:paraId="3C137C70" w14:textId="1274BF1B" w:rsidR="004229B4" w:rsidRDefault="004229B4" w:rsidP="00375C66">
      <w:pPr>
        <w:pStyle w:val="FootnoteText"/>
        <w:spacing w:line="360" w:lineRule="auto"/>
      </w:pPr>
      <w:r>
        <w:rPr>
          <w:rStyle w:val="FootnoteReference"/>
        </w:rPr>
        <w:footnoteRef/>
      </w:r>
      <w:r>
        <w:t xml:space="preserve"> </w:t>
      </w:r>
      <w:r w:rsidR="001C6506" w:rsidRPr="00FE0662">
        <w:rPr>
          <w:i/>
          <w:iCs/>
        </w:rPr>
        <w:t>Confetti Records v. Warner Music UK Ltd</w:t>
      </w:r>
      <w:r w:rsidR="001C6506">
        <w:t xml:space="preserve"> </w:t>
      </w:r>
      <w:r w:rsidR="00377F06" w:rsidRPr="00377F06">
        <w:t>[2003] EWHC 1274 (Ch)</w:t>
      </w:r>
      <w:r w:rsidR="00DE2CDD">
        <w:t xml:space="preserve"> (</w:t>
      </w:r>
      <w:r w:rsidR="00DE2CDD" w:rsidRPr="00FE0662">
        <w:rPr>
          <w:i/>
          <w:iCs/>
        </w:rPr>
        <w:t>Confetti</w:t>
      </w:r>
      <w:r w:rsidR="00DE2CDD">
        <w:t>)</w:t>
      </w:r>
      <w:r w:rsidR="00377F06" w:rsidRPr="00377F06">
        <w:t xml:space="preserve"> </w:t>
      </w:r>
      <w:r w:rsidR="001C6506">
        <w:t>[150].</w:t>
      </w:r>
    </w:p>
  </w:footnote>
  <w:footnote w:id="27">
    <w:p w14:paraId="43D96D3E" w14:textId="01B988C0" w:rsidR="009D410C" w:rsidRPr="00A3780C" w:rsidRDefault="009D410C" w:rsidP="00375C66">
      <w:pPr>
        <w:pStyle w:val="FootnoteText"/>
        <w:spacing w:line="360" w:lineRule="auto"/>
        <w:rPr>
          <w:lang w:eastAsia="zh-CN"/>
        </w:rPr>
      </w:pPr>
      <w:r>
        <w:rPr>
          <w:rStyle w:val="FootnoteReference"/>
        </w:rPr>
        <w:footnoteRef/>
      </w:r>
      <w:r>
        <w:t xml:space="preserve"> </w:t>
      </w:r>
      <w:r w:rsidR="00FC6621" w:rsidRPr="00FC6621">
        <w:t>Mira T. Sundara Rajan</w:t>
      </w:r>
      <w:r w:rsidR="00FC6621">
        <w:t>,</w:t>
      </w:r>
      <w:r w:rsidR="00FC6621" w:rsidRPr="00FC6621">
        <w:t xml:space="preserve"> </w:t>
      </w:r>
      <w:r w:rsidR="0029043A">
        <w:rPr>
          <w:lang w:eastAsia="zh-CN"/>
        </w:rPr>
        <w:t>‘</w:t>
      </w:r>
      <w:r w:rsidR="0029043A">
        <w:t>Moral Rights in the Digital Age: New Possibilities for the Democratization of Culture’</w:t>
      </w:r>
      <w:r w:rsidR="00FC6621">
        <w:t xml:space="preserve"> (</w:t>
      </w:r>
      <w:r w:rsidR="00983AEB" w:rsidRPr="00983AEB">
        <w:t>2010</w:t>
      </w:r>
      <w:r w:rsidR="00FC6621">
        <w:t>)</w:t>
      </w:r>
      <w:r w:rsidR="00983AEB">
        <w:t xml:space="preserve"> </w:t>
      </w:r>
      <w:r w:rsidR="00983AEB" w:rsidRPr="00983AEB">
        <w:t>16 International Review of Law, Computers &amp; Technology</w:t>
      </w:r>
      <w:r w:rsidR="00983AEB">
        <w:rPr>
          <w:b/>
          <w:bCs/>
        </w:rPr>
        <w:t xml:space="preserve"> </w:t>
      </w:r>
      <w:r w:rsidR="00A3780C" w:rsidRPr="00A3780C">
        <w:t>187, 187.</w:t>
      </w:r>
    </w:p>
  </w:footnote>
  <w:footnote w:id="28">
    <w:p w14:paraId="0024B689" w14:textId="77777777" w:rsidR="00CD7DB1" w:rsidRDefault="00CD7DB1" w:rsidP="00375C66">
      <w:pPr>
        <w:pStyle w:val="FootnoteText"/>
        <w:spacing w:line="360" w:lineRule="auto"/>
        <w:rPr>
          <w:lang w:eastAsia="zh-CN"/>
        </w:rPr>
      </w:pPr>
      <w:r>
        <w:rPr>
          <w:rStyle w:val="FootnoteReference"/>
        </w:rPr>
        <w:footnoteRef/>
      </w:r>
      <w:r>
        <w:t xml:space="preserve"> </w:t>
      </w:r>
      <w:r w:rsidRPr="00C00D22">
        <w:t>Gerald Dworkin, ‘The Moral Right of the Author: Moral Rights and the Common Law Countries’ (1994) 19 Columbia-VLA Journal of Law &amp; the Arts 229,</w:t>
      </w:r>
      <w:r>
        <w:rPr>
          <w:rFonts w:hint="eastAsia"/>
          <w:lang w:eastAsia="zh-CN"/>
        </w:rPr>
        <w:t xml:space="preserve"> 249</w:t>
      </w:r>
      <w:r w:rsidRPr="00C00D22">
        <w:t>.</w:t>
      </w:r>
    </w:p>
  </w:footnote>
  <w:footnote w:id="29">
    <w:p w14:paraId="102B650E" w14:textId="4A4BA43E" w:rsidR="00375C66" w:rsidRPr="00C73C38" w:rsidRDefault="00375C66" w:rsidP="00375C66">
      <w:pPr>
        <w:pStyle w:val="FootnoteText"/>
        <w:spacing w:line="360" w:lineRule="auto"/>
        <w:rPr>
          <w:rFonts w:eastAsia="Microsoft YaHei" w:cs="Times New Roman"/>
          <w:lang w:eastAsia="zh-CN"/>
        </w:rPr>
      </w:pPr>
      <w:r>
        <w:rPr>
          <w:rStyle w:val="FootnoteReference"/>
        </w:rPr>
        <w:footnoteRef/>
      </w:r>
      <w:r>
        <w:t xml:space="preserve"> </w:t>
      </w:r>
      <w:r w:rsidR="00FA5333" w:rsidRPr="001E0BE4">
        <w:rPr>
          <w:i/>
          <w:iCs/>
        </w:rPr>
        <w:t>Morrison Leahy Music Ltd v. Lightbond Ltd</w:t>
      </w:r>
      <w:r w:rsidR="00FA5333">
        <w:t xml:space="preserve"> </w:t>
      </w:r>
      <w:r w:rsidR="001038A9" w:rsidRPr="001038A9">
        <w:t>[1993] EMLR 144</w:t>
      </w:r>
      <w:r w:rsidR="000307F8">
        <w:t xml:space="preserve">, </w:t>
      </w:r>
      <w:r w:rsidR="003A0637">
        <w:t>151</w:t>
      </w:r>
      <w:r w:rsidR="003632E0">
        <w:t xml:space="preserve">; </w:t>
      </w:r>
      <w:r w:rsidR="00C25A99" w:rsidRPr="00C25A99">
        <w:t>Sophie Eastwood</w:t>
      </w:r>
      <w:r w:rsidR="00C25A99">
        <w:rPr>
          <w:rFonts w:eastAsia="Microsoft YaHei" w:cs="Times New Roman"/>
          <w:lang w:eastAsia="zh-CN"/>
        </w:rPr>
        <w:t>, ‘</w:t>
      </w:r>
      <w:r w:rsidR="00C6198F" w:rsidRPr="00C6198F">
        <w:rPr>
          <w:rFonts w:eastAsia="Microsoft YaHei"/>
          <w:lang w:eastAsia="zh-CN"/>
        </w:rPr>
        <w:t>Tidy v Trustees of the Natural History Museum [1996] 39 IPR 501</w:t>
      </w:r>
      <w:r w:rsidR="00C25A99">
        <w:rPr>
          <w:rFonts w:eastAsia="Microsoft YaHei" w:cs="Times New Roman"/>
          <w:lang w:eastAsia="zh-CN"/>
        </w:rPr>
        <w:t>’</w:t>
      </w:r>
      <w:r w:rsidR="00C6198F">
        <w:rPr>
          <w:rFonts w:eastAsia="Microsoft YaHei" w:cs="Times New Roman"/>
          <w:lang w:eastAsia="zh-CN"/>
        </w:rPr>
        <w:t xml:space="preserve"> (</w:t>
      </w:r>
      <w:r w:rsidR="00C73C38" w:rsidRPr="00CD6D13">
        <w:rPr>
          <w:rFonts w:eastAsia="Microsoft YaHei" w:cs="Times New Roman"/>
          <w:i/>
          <w:iCs/>
          <w:lang w:eastAsia="zh-CN"/>
        </w:rPr>
        <w:t>Centre for Intellectual Property and Information Law</w:t>
      </w:r>
      <w:r w:rsidR="00CD6D13">
        <w:rPr>
          <w:rFonts w:eastAsia="Microsoft YaHei" w:cs="Times New Roman"/>
          <w:lang w:eastAsia="zh-CN"/>
        </w:rPr>
        <w:t xml:space="preserve">, </w:t>
      </w:r>
      <w:r w:rsidR="00CD6D13" w:rsidRPr="00CD6D13">
        <w:rPr>
          <w:rFonts w:eastAsia="Microsoft YaHei" w:cs="Times New Roman"/>
          <w:lang w:eastAsia="zh-CN"/>
        </w:rPr>
        <w:t>June 2015</w:t>
      </w:r>
      <w:r w:rsidR="00C6198F">
        <w:rPr>
          <w:rFonts w:eastAsia="Microsoft YaHei" w:cs="Times New Roman"/>
          <w:lang w:eastAsia="zh-CN"/>
        </w:rPr>
        <w:t>)</w:t>
      </w:r>
      <w:r w:rsidR="00CD6D13">
        <w:rPr>
          <w:rFonts w:eastAsia="Microsoft YaHei" w:cs="Times New Roman"/>
          <w:lang w:eastAsia="zh-CN"/>
        </w:rPr>
        <w:t xml:space="preserve"> &lt;</w:t>
      </w:r>
      <w:r w:rsidR="00CD6D13" w:rsidRPr="00CD6D13">
        <w:rPr>
          <w:rFonts w:eastAsia="Microsoft YaHei" w:cs="Times New Roman"/>
          <w:lang w:eastAsia="zh-CN"/>
        </w:rPr>
        <w:t>https://www.cipil.law.cam.ac.uk/virtual-museum/tidy-v-trustees-natural-history-museum-1996-39-ipr-501</w:t>
      </w:r>
      <w:r w:rsidR="00CD6D13">
        <w:rPr>
          <w:rFonts w:eastAsia="Microsoft YaHei" w:cs="Times New Roman"/>
          <w:lang w:eastAsia="zh-CN"/>
        </w:rPr>
        <w:t>&gt; accessed 15 March 2026.</w:t>
      </w:r>
    </w:p>
  </w:footnote>
  <w:footnote w:id="30">
    <w:p w14:paraId="3C066F7D" w14:textId="4E8E843E" w:rsidR="00BA5A98" w:rsidRDefault="00BA5A98" w:rsidP="007C173A">
      <w:pPr>
        <w:pStyle w:val="FootnoteText"/>
        <w:spacing w:line="360" w:lineRule="auto"/>
      </w:pPr>
      <w:r>
        <w:rPr>
          <w:rStyle w:val="FootnoteReference"/>
        </w:rPr>
        <w:footnoteRef/>
      </w:r>
      <w:r>
        <w:t xml:space="preserve"> </w:t>
      </w:r>
      <w:r w:rsidR="00803393">
        <w:t>Elisabetta Adami, ‘</w:t>
      </w:r>
      <w:r w:rsidR="00226F90" w:rsidRPr="00226F90">
        <w:t>The Rhetoric of the Implicit and the Politics of Representation in the Age of Copy-and-Paste</w:t>
      </w:r>
      <w:r w:rsidR="00803393">
        <w:t>’</w:t>
      </w:r>
      <w:r w:rsidR="00226F90">
        <w:t xml:space="preserve"> (</w:t>
      </w:r>
      <w:r w:rsidR="0013646A">
        <w:t>2012</w:t>
      </w:r>
      <w:r w:rsidR="00226F90">
        <w:t>)</w:t>
      </w:r>
      <w:r w:rsidR="0013646A">
        <w:t xml:space="preserve"> 37 Learning, Media and Technology 131, 131.</w:t>
      </w:r>
    </w:p>
  </w:footnote>
  <w:footnote w:id="31">
    <w:p w14:paraId="5CA3E096" w14:textId="7C8621A7" w:rsidR="007C173A" w:rsidRPr="00DE2CDD" w:rsidRDefault="007C173A" w:rsidP="007C173A">
      <w:pPr>
        <w:pStyle w:val="FootnoteText"/>
        <w:spacing w:line="360" w:lineRule="auto"/>
        <w:rPr>
          <w:lang w:eastAsia="zh-CN"/>
        </w:rPr>
      </w:pPr>
      <w:r>
        <w:rPr>
          <w:rStyle w:val="FootnoteReference"/>
        </w:rPr>
        <w:footnoteRef/>
      </w:r>
      <w:r>
        <w:t xml:space="preserve"> </w:t>
      </w:r>
      <w:r w:rsidR="00AA3663">
        <w:t>Sharon Bar-Ziv and Niva Elkin-Koren, ‘</w:t>
      </w:r>
      <w:r w:rsidR="00827E80">
        <w:t>Behind the Scenes of Online Copyright Enforcement: Empirical Evidence on Notice &amp; Takedown</w:t>
      </w:r>
      <w:r w:rsidR="00AA3663">
        <w:t>’</w:t>
      </w:r>
      <w:r w:rsidR="00827E80">
        <w:t xml:space="preserve"> (2018) 50 Connecticut Law Review </w:t>
      </w:r>
      <w:r w:rsidR="004B0312">
        <w:t xml:space="preserve">339, </w:t>
      </w:r>
      <w:r w:rsidR="003043CA">
        <w:t>349.</w:t>
      </w:r>
    </w:p>
  </w:footnote>
  <w:footnote w:id="32">
    <w:p w14:paraId="09AE1195" w14:textId="4A50381F" w:rsidR="00EC5DC1" w:rsidRDefault="00EC5DC1" w:rsidP="007C173A">
      <w:pPr>
        <w:pStyle w:val="FootnoteText"/>
        <w:spacing w:line="360" w:lineRule="auto"/>
        <w:rPr>
          <w:lang w:eastAsia="zh-CN"/>
        </w:rPr>
      </w:pPr>
      <w:r>
        <w:rPr>
          <w:rStyle w:val="FootnoteReference"/>
        </w:rPr>
        <w:footnoteRef/>
      </w:r>
      <w:r>
        <w:t xml:space="preserve"> </w:t>
      </w:r>
      <w:r w:rsidR="00E01BD5" w:rsidRPr="00FE0662">
        <w:rPr>
          <w:i/>
          <w:iCs/>
        </w:rPr>
        <w:t>Confetti</w:t>
      </w:r>
      <w:r w:rsidR="00E01BD5">
        <w:rPr>
          <w:i/>
          <w:iCs/>
        </w:rPr>
        <w:t xml:space="preserve"> </w:t>
      </w:r>
      <w:r w:rsidR="00E01BD5">
        <w:t>(n 25) [150].</w:t>
      </w:r>
    </w:p>
  </w:footnote>
  <w:footnote w:id="33">
    <w:p w14:paraId="0F652D6B" w14:textId="0F6CBCD1" w:rsidR="004C47AE" w:rsidRPr="00075B06" w:rsidRDefault="004C47AE" w:rsidP="004C47AE">
      <w:pPr>
        <w:pStyle w:val="FootnoteText"/>
        <w:spacing w:line="360" w:lineRule="auto"/>
      </w:pPr>
      <w:r>
        <w:rPr>
          <w:rStyle w:val="FootnoteReference"/>
        </w:rPr>
        <w:footnoteRef/>
      </w:r>
      <w:r>
        <w:t xml:space="preserve"> </w:t>
      </w:r>
      <w:r w:rsidR="00075B06">
        <w:t>CDPA, ss 78, 87.</w:t>
      </w:r>
    </w:p>
  </w:footnote>
  <w:footnote w:id="34">
    <w:p w14:paraId="529CBA8A" w14:textId="40886F0D" w:rsidR="003123C0" w:rsidRDefault="003123C0" w:rsidP="00C714C7">
      <w:pPr>
        <w:pStyle w:val="FootnoteText"/>
        <w:spacing w:line="360" w:lineRule="auto"/>
        <w:rPr>
          <w:lang w:eastAsia="zh-CN"/>
        </w:rPr>
      </w:pPr>
      <w:r>
        <w:rPr>
          <w:rStyle w:val="FootnoteReference"/>
        </w:rPr>
        <w:footnoteRef/>
      </w:r>
      <w:r>
        <w:t xml:space="preserve"> </w:t>
      </w:r>
      <w:r w:rsidR="00BD5393">
        <w:rPr>
          <w:lang w:eastAsia="zh-CN"/>
        </w:rPr>
        <w:t>ibid</w:t>
      </w:r>
      <w:r>
        <w:rPr>
          <w:lang w:eastAsia="zh-CN"/>
        </w:rPr>
        <w:t>, s 16.</w:t>
      </w:r>
    </w:p>
  </w:footnote>
  <w:footnote w:id="35">
    <w:p w14:paraId="4D4EB9DC" w14:textId="2E6DA27D" w:rsidR="00CE5BCD" w:rsidRDefault="00CE5BCD" w:rsidP="00C714C7">
      <w:pPr>
        <w:pStyle w:val="FootnoteText"/>
        <w:spacing w:line="360" w:lineRule="auto"/>
        <w:rPr>
          <w:lang w:eastAsia="zh-CN"/>
        </w:rPr>
      </w:pPr>
      <w:r>
        <w:rPr>
          <w:rStyle w:val="FootnoteReference"/>
        </w:rPr>
        <w:footnoteRef/>
      </w:r>
      <w:r>
        <w:t xml:space="preserve"> </w:t>
      </w:r>
      <w:proofErr w:type="spellStart"/>
      <w:r w:rsidR="00E42AF9" w:rsidRPr="00E20920">
        <w:rPr>
          <w:i/>
          <w:iCs/>
        </w:rPr>
        <w:t>Tunein</w:t>
      </w:r>
      <w:proofErr w:type="spellEnd"/>
      <w:r w:rsidR="00E42AF9" w:rsidRPr="00E20920">
        <w:rPr>
          <w:i/>
          <w:iCs/>
        </w:rPr>
        <w:t xml:space="preserve"> Inc v</w:t>
      </w:r>
      <w:r w:rsidR="00E20920">
        <w:rPr>
          <w:rFonts w:eastAsia="Microsoft YaHei" w:cs="Times New Roman"/>
          <w:i/>
          <w:iCs/>
          <w:lang w:eastAsia="zh-CN"/>
        </w:rPr>
        <w:t>.</w:t>
      </w:r>
      <w:r w:rsidR="00E42AF9" w:rsidRPr="00E20920">
        <w:rPr>
          <w:i/>
          <w:iCs/>
        </w:rPr>
        <w:t xml:space="preserve"> Warner Music UK </w:t>
      </w:r>
      <w:r w:rsidR="00990528">
        <w:rPr>
          <w:rFonts w:hint="eastAsia"/>
          <w:i/>
          <w:iCs/>
          <w:lang w:eastAsia="zh-CN"/>
        </w:rPr>
        <w:t xml:space="preserve">Ltd </w:t>
      </w:r>
      <w:r w:rsidR="00E20920">
        <w:t xml:space="preserve">[2021] EWCA </w:t>
      </w:r>
      <w:proofErr w:type="spellStart"/>
      <w:r w:rsidR="00E20920">
        <w:t>Civ</w:t>
      </w:r>
      <w:proofErr w:type="spellEnd"/>
      <w:r w:rsidR="00E20920">
        <w:t xml:space="preserve"> 441</w:t>
      </w:r>
      <w:r w:rsidR="00AD46D7">
        <w:t xml:space="preserve"> </w:t>
      </w:r>
      <w:r w:rsidR="009A661F">
        <w:t>(</w:t>
      </w:r>
      <w:proofErr w:type="spellStart"/>
      <w:r w:rsidR="009A661F" w:rsidRPr="00E20920">
        <w:rPr>
          <w:i/>
          <w:iCs/>
        </w:rPr>
        <w:t>Tunein</w:t>
      </w:r>
      <w:proofErr w:type="spellEnd"/>
      <w:r w:rsidR="009A661F">
        <w:t>)</w:t>
      </w:r>
      <w:r w:rsidR="00E20920">
        <w:t xml:space="preserve"> [</w:t>
      </w:r>
      <w:r w:rsidR="004A3433">
        <w:t>169</w:t>
      </w:r>
      <w:r w:rsidR="00E20920">
        <w:t>]</w:t>
      </w:r>
      <w:r w:rsidR="009A7BB4">
        <w:t>, [171]</w:t>
      </w:r>
      <w:r w:rsidR="00E20920">
        <w:t>.</w:t>
      </w:r>
    </w:p>
  </w:footnote>
  <w:footnote w:id="36">
    <w:p w14:paraId="3AF2816B" w14:textId="0260CAFF" w:rsidR="00D9154B" w:rsidRPr="00295644" w:rsidRDefault="00D9154B" w:rsidP="00C714C7">
      <w:pPr>
        <w:pStyle w:val="FootnoteText"/>
        <w:spacing w:line="360" w:lineRule="auto"/>
        <w:rPr>
          <w:rFonts w:eastAsia="Microsoft YaHei" w:cs="Times New Roman"/>
          <w:lang w:eastAsia="zh-CN"/>
        </w:rPr>
      </w:pPr>
      <w:r>
        <w:rPr>
          <w:rStyle w:val="FootnoteReference"/>
        </w:rPr>
        <w:footnoteRef/>
      </w:r>
      <w:r>
        <w:t xml:space="preserve"> H. Bosher and S. </w:t>
      </w:r>
      <w:proofErr w:type="spellStart"/>
      <w:r>
        <w:t>Yeşiloğlu</w:t>
      </w:r>
      <w:proofErr w:type="spellEnd"/>
      <w:r>
        <w:rPr>
          <w:rFonts w:hint="eastAsia"/>
          <w:lang w:eastAsia="zh-CN"/>
        </w:rPr>
        <w:t xml:space="preserve"> </w:t>
      </w:r>
      <w:r>
        <w:rPr>
          <w:rFonts w:eastAsia="Microsoft YaHei" w:cs="Times New Roman"/>
          <w:lang w:eastAsia="zh-CN"/>
        </w:rPr>
        <w:t>(n 21)</w:t>
      </w:r>
      <w:r w:rsidR="007576B6">
        <w:rPr>
          <w:rFonts w:eastAsia="Microsoft YaHei" w:cs="Times New Roman"/>
          <w:lang w:eastAsia="zh-CN"/>
        </w:rPr>
        <w:t>, 167.</w:t>
      </w:r>
    </w:p>
  </w:footnote>
  <w:footnote w:id="37">
    <w:p w14:paraId="687E1A6D" w14:textId="24187234" w:rsidR="000279F1" w:rsidRPr="00B946C8" w:rsidRDefault="000279F1" w:rsidP="00C714C7">
      <w:pPr>
        <w:pStyle w:val="FootnoteText"/>
        <w:spacing w:line="360" w:lineRule="auto"/>
        <w:rPr>
          <w:i/>
          <w:iCs/>
          <w:lang w:eastAsia="zh-CN"/>
        </w:rPr>
      </w:pPr>
      <w:r>
        <w:rPr>
          <w:rStyle w:val="FootnoteReference"/>
        </w:rPr>
        <w:footnoteRef/>
      </w:r>
      <w:r>
        <w:t xml:space="preserve"> </w:t>
      </w:r>
      <w:r w:rsidR="003271F3">
        <w:t xml:space="preserve">Case </w:t>
      </w:r>
      <w:r w:rsidR="00142B6B">
        <w:t>C-607/11</w:t>
      </w:r>
      <w:r w:rsidR="00142B6B" w:rsidRPr="00F718FE">
        <w:rPr>
          <w:i/>
          <w:iCs/>
        </w:rPr>
        <w:t xml:space="preserve"> </w:t>
      </w:r>
      <w:r w:rsidR="002F0754" w:rsidRPr="00F718FE">
        <w:rPr>
          <w:i/>
          <w:iCs/>
        </w:rPr>
        <w:t>ITV Broadcasting</w:t>
      </w:r>
      <w:r w:rsidR="002F0754">
        <w:rPr>
          <w:i/>
          <w:iCs/>
        </w:rPr>
        <w:t xml:space="preserve"> Ltd v</w:t>
      </w:r>
      <w:r w:rsidR="002F0754" w:rsidRPr="00B946C8">
        <w:rPr>
          <w:i/>
          <w:iCs/>
        </w:rPr>
        <w:t xml:space="preserve">. </w:t>
      </w:r>
      <w:proofErr w:type="spellStart"/>
      <w:r w:rsidR="00B946C8" w:rsidRPr="00B946C8">
        <w:rPr>
          <w:i/>
          <w:iCs/>
        </w:rPr>
        <w:t>TVCatchup</w:t>
      </w:r>
      <w:proofErr w:type="spellEnd"/>
      <w:r w:rsidR="00B946C8" w:rsidRPr="00B946C8">
        <w:rPr>
          <w:i/>
          <w:iCs/>
        </w:rPr>
        <w:t xml:space="preserve"> Ltd </w:t>
      </w:r>
      <w:r w:rsidR="00D17AC5">
        <w:t>EU:</w:t>
      </w:r>
      <w:proofErr w:type="gramStart"/>
      <w:r w:rsidR="00D17AC5">
        <w:t>C:2013:147</w:t>
      </w:r>
      <w:proofErr w:type="gramEnd"/>
      <w:r w:rsidR="004A2CD8">
        <w:t xml:space="preserve"> (</w:t>
      </w:r>
      <w:r w:rsidR="004A2CD8" w:rsidRPr="004A2CD8">
        <w:rPr>
          <w:i/>
          <w:iCs/>
        </w:rPr>
        <w:t>ITV</w:t>
      </w:r>
      <w:r w:rsidR="004A2CD8">
        <w:t xml:space="preserve"> </w:t>
      </w:r>
      <w:r w:rsidR="004A2CD8" w:rsidRPr="00F718FE">
        <w:rPr>
          <w:i/>
          <w:iCs/>
        </w:rPr>
        <w:t>Broadcasting</w:t>
      </w:r>
      <w:r w:rsidR="004A2CD8">
        <w:t>)</w:t>
      </w:r>
      <w:r w:rsidR="00D17AC5">
        <w:t xml:space="preserve"> [26], [40].</w:t>
      </w:r>
    </w:p>
  </w:footnote>
  <w:footnote w:id="38">
    <w:p w14:paraId="5D6F427C" w14:textId="6C7FD7B2" w:rsidR="00C714C7" w:rsidRPr="00744A80" w:rsidRDefault="00C714C7" w:rsidP="00C714C7">
      <w:pPr>
        <w:pStyle w:val="FootnoteText"/>
        <w:spacing w:line="360" w:lineRule="auto"/>
        <w:rPr>
          <w:b/>
          <w:bCs/>
        </w:rPr>
      </w:pPr>
      <w:r>
        <w:rPr>
          <w:rStyle w:val="FootnoteReference"/>
        </w:rPr>
        <w:footnoteRef/>
      </w:r>
      <w:r>
        <w:t xml:space="preserve"> </w:t>
      </w:r>
      <w:r w:rsidR="001621D2">
        <w:t>CDPA, s 90(1)</w:t>
      </w:r>
      <w:proofErr w:type="gramStart"/>
      <w:r w:rsidR="00744A80" w:rsidRPr="00744A80">
        <w:t>–</w:t>
      </w:r>
      <w:r w:rsidR="001621D2">
        <w:t>(</w:t>
      </w:r>
      <w:proofErr w:type="gramEnd"/>
      <w:r w:rsidR="001621D2">
        <w:t>2).</w:t>
      </w:r>
    </w:p>
  </w:footnote>
  <w:footnote w:id="39">
    <w:p w14:paraId="36B33181" w14:textId="02FCC791" w:rsidR="00FA6B5A" w:rsidRPr="00C20F75" w:rsidRDefault="00FA6B5A" w:rsidP="00994F8D">
      <w:pPr>
        <w:rPr>
          <w:color w:val="000000" w:themeColor="text1"/>
          <w:sz w:val="20"/>
          <w:szCs w:val="20"/>
        </w:rPr>
      </w:pPr>
      <w:r w:rsidRPr="00C20F75">
        <w:rPr>
          <w:rStyle w:val="FootnoteReference"/>
          <w:sz w:val="20"/>
          <w:szCs w:val="20"/>
        </w:rPr>
        <w:footnoteRef/>
      </w:r>
      <w:r w:rsidRPr="00C20F75">
        <w:rPr>
          <w:sz w:val="20"/>
          <w:szCs w:val="20"/>
        </w:rPr>
        <w:t xml:space="preserve"> </w:t>
      </w:r>
      <w:r w:rsidR="00C16390" w:rsidRPr="00C20F75">
        <w:rPr>
          <w:sz w:val="20"/>
          <w:szCs w:val="20"/>
        </w:rPr>
        <w:t>Enrico Bonadio, N</w:t>
      </w:r>
      <w:r w:rsidR="00C16390" w:rsidRPr="00C20F75">
        <w:rPr>
          <w:rFonts w:cs="Times New Roman"/>
          <w:sz w:val="20"/>
          <w:szCs w:val="20"/>
        </w:rPr>
        <w:t>icola Lucchi,</w:t>
      </w:r>
      <w:r w:rsidR="007C57C8" w:rsidRPr="00C20F75">
        <w:rPr>
          <w:rFonts w:cs="Times New Roman"/>
          <w:sz w:val="20"/>
          <w:szCs w:val="20"/>
        </w:rPr>
        <w:t xml:space="preserve"> and</w:t>
      </w:r>
      <w:r w:rsidR="00C16390" w:rsidRPr="00C20F75">
        <w:rPr>
          <w:rFonts w:cs="Times New Roman"/>
          <w:sz w:val="20"/>
          <w:szCs w:val="20"/>
        </w:rPr>
        <w:t xml:space="preserve"> Giuseppe Mazziotti</w:t>
      </w:r>
      <w:r w:rsidR="007C57C8" w:rsidRPr="00C20F75">
        <w:rPr>
          <w:rFonts w:cs="Times New Roman"/>
          <w:sz w:val="20"/>
          <w:szCs w:val="20"/>
        </w:rPr>
        <w:t xml:space="preserve">, ‘Will Technology-Aided </w:t>
      </w:r>
      <w:r w:rsidR="007C57C8" w:rsidRPr="00C20F75">
        <w:rPr>
          <w:rFonts w:cs="Times New Roman"/>
          <w:color w:val="000000" w:themeColor="text1"/>
          <w:sz w:val="20"/>
          <w:szCs w:val="20"/>
        </w:rPr>
        <w:t>Creativity Force Us to Rethink Copyright’s Fundamentals? Highlights from the Platform Economy and Artificial Intelligence’ (</w:t>
      </w:r>
      <w:r w:rsidR="00372C5A" w:rsidRPr="00C20F75">
        <w:rPr>
          <w:rFonts w:cs="Times New Roman"/>
          <w:color w:val="000000" w:themeColor="text1"/>
          <w:sz w:val="20"/>
          <w:szCs w:val="20"/>
        </w:rPr>
        <w:t>2022</w:t>
      </w:r>
      <w:r w:rsidR="007C57C8" w:rsidRPr="00C20F75">
        <w:rPr>
          <w:rFonts w:cs="Times New Roman"/>
          <w:color w:val="000000" w:themeColor="text1"/>
          <w:sz w:val="20"/>
          <w:szCs w:val="20"/>
        </w:rPr>
        <w:t>)</w:t>
      </w:r>
      <w:r w:rsidR="00372C5A" w:rsidRPr="00C20F75">
        <w:rPr>
          <w:rFonts w:cs="Times New Roman"/>
          <w:color w:val="000000" w:themeColor="text1"/>
          <w:sz w:val="20"/>
          <w:szCs w:val="20"/>
        </w:rPr>
        <w:t xml:space="preserve"> 53 </w:t>
      </w:r>
      <w:r w:rsidR="00372C5A" w:rsidRPr="00C20F75">
        <w:rPr>
          <w:rStyle w:val="app-article-mastheadjournal-title"/>
          <w:rFonts w:cs="Times New Roman"/>
          <w:color w:val="000000" w:themeColor="text1"/>
          <w:sz w:val="20"/>
          <w:szCs w:val="20"/>
        </w:rPr>
        <w:t>International Review of Intellectual Property and Competition Law</w:t>
      </w:r>
      <w:r w:rsidR="00372C5A" w:rsidRPr="00C20F75">
        <w:rPr>
          <w:rFonts w:cs="Times New Roman"/>
          <w:color w:val="000000" w:themeColor="text1"/>
          <w:sz w:val="20"/>
          <w:szCs w:val="20"/>
        </w:rPr>
        <w:t xml:space="preserve"> </w:t>
      </w:r>
      <w:r w:rsidR="00E3609A" w:rsidRPr="00C20F75">
        <w:rPr>
          <w:rFonts w:cs="Times New Roman"/>
          <w:color w:val="000000" w:themeColor="text1"/>
          <w:sz w:val="20"/>
          <w:szCs w:val="20"/>
        </w:rPr>
        <w:t xml:space="preserve">1174, </w:t>
      </w:r>
      <w:r w:rsidR="00227350" w:rsidRPr="00C20F75">
        <w:rPr>
          <w:rFonts w:cs="Times New Roman"/>
          <w:color w:val="000000" w:themeColor="text1"/>
          <w:sz w:val="20"/>
          <w:szCs w:val="20"/>
        </w:rPr>
        <w:t>1179</w:t>
      </w:r>
      <w:r w:rsidR="00D85F3C" w:rsidRPr="00C20F75">
        <w:rPr>
          <w:rFonts w:cs="Times New Roman"/>
          <w:color w:val="000000" w:themeColor="text1"/>
          <w:sz w:val="20"/>
          <w:szCs w:val="20"/>
        </w:rPr>
        <w:t>–</w:t>
      </w:r>
      <w:r w:rsidR="00227350" w:rsidRPr="00C20F75">
        <w:rPr>
          <w:rFonts w:cs="Times New Roman"/>
          <w:color w:val="000000" w:themeColor="text1"/>
          <w:sz w:val="20"/>
          <w:szCs w:val="20"/>
        </w:rPr>
        <w:t>1180.</w:t>
      </w:r>
    </w:p>
  </w:footnote>
  <w:footnote w:id="40">
    <w:p w14:paraId="478560EA" w14:textId="31C63257" w:rsidR="009F0EE6" w:rsidRPr="00C20F75" w:rsidRDefault="009F0EE6" w:rsidP="00994F8D">
      <w:pPr>
        <w:pStyle w:val="FootnoteText"/>
        <w:spacing w:line="360" w:lineRule="auto"/>
        <w:rPr>
          <w:lang w:eastAsia="zh-CN"/>
        </w:rPr>
      </w:pPr>
      <w:r w:rsidRPr="00C20F75">
        <w:rPr>
          <w:rStyle w:val="FootnoteReference"/>
        </w:rPr>
        <w:footnoteRef/>
      </w:r>
      <w:r w:rsidRPr="00C20F75">
        <w:t xml:space="preserve"> </w:t>
      </w:r>
      <w:r w:rsidR="00A360C8" w:rsidRPr="00C20F75">
        <w:t>CDPA, s 17, 20.</w:t>
      </w:r>
    </w:p>
  </w:footnote>
  <w:footnote w:id="41">
    <w:p w14:paraId="363BF2DE" w14:textId="50DC1245" w:rsidR="00E00E37" w:rsidRPr="00C20F75" w:rsidRDefault="00C10D86" w:rsidP="00994F8D">
      <w:pPr>
        <w:pStyle w:val="FootnoteText"/>
        <w:spacing w:line="360" w:lineRule="auto"/>
        <w:rPr>
          <w:lang w:eastAsia="zh-CN"/>
        </w:rPr>
      </w:pPr>
      <w:r w:rsidRPr="00C20F75">
        <w:rPr>
          <w:rStyle w:val="FootnoteReference"/>
        </w:rPr>
        <w:footnoteRef/>
      </w:r>
      <w:r w:rsidRPr="00C20F75">
        <w:t xml:space="preserve"> </w:t>
      </w:r>
      <w:r w:rsidR="00E00E37" w:rsidRPr="00C20F75">
        <w:rPr>
          <w:i/>
          <w:iCs/>
        </w:rPr>
        <w:t xml:space="preserve">Twentieth Century Fox Film </w:t>
      </w:r>
      <w:r w:rsidR="00E00E37" w:rsidRPr="00C20F75">
        <w:rPr>
          <w:rFonts w:hint="eastAsia"/>
          <w:i/>
          <w:iCs/>
          <w:lang w:eastAsia="zh-CN"/>
        </w:rPr>
        <w:t>Co</w:t>
      </w:r>
      <w:r w:rsidR="00E00E37" w:rsidRPr="00C20F75">
        <w:rPr>
          <w:i/>
          <w:iCs/>
          <w:lang w:eastAsia="zh-CN"/>
        </w:rPr>
        <w:t>r</w:t>
      </w:r>
      <w:r w:rsidR="008B4FD0" w:rsidRPr="00C20F75">
        <w:rPr>
          <w:i/>
          <w:iCs/>
          <w:lang w:eastAsia="zh-CN"/>
        </w:rPr>
        <w:t xml:space="preserve">p v. </w:t>
      </w:r>
      <w:r w:rsidR="008B4FD0" w:rsidRPr="00C20F75">
        <w:rPr>
          <w:i/>
          <w:iCs/>
        </w:rPr>
        <w:t>British Telecommunications plc</w:t>
      </w:r>
      <w:r w:rsidR="008B4FD0" w:rsidRPr="00C20F75">
        <w:t xml:space="preserve"> [2011] EWHC 1981 (Ch)</w:t>
      </w:r>
      <w:r w:rsidR="008356B0">
        <w:t xml:space="preserve"> (</w:t>
      </w:r>
      <w:r w:rsidR="00C615CB" w:rsidRPr="00C615CB">
        <w:rPr>
          <w:i/>
          <w:iCs/>
        </w:rPr>
        <w:t>Newzbin2</w:t>
      </w:r>
      <w:r w:rsidR="008356B0">
        <w:t>)</w:t>
      </w:r>
      <w:r w:rsidR="00C16C71" w:rsidRPr="00C20F75">
        <w:t xml:space="preserve"> [</w:t>
      </w:r>
      <w:r w:rsidR="00EE1CFB" w:rsidRPr="00C20F75">
        <w:t>2</w:t>
      </w:r>
      <w:r w:rsidR="00C16C71" w:rsidRPr="00C20F75">
        <w:t>].</w:t>
      </w:r>
    </w:p>
  </w:footnote>
  <w:footnote w:id="42">
    <w:p w14:paraId="065464EA" w14:textId="53AAB400" w:rsidR="00994F8D" w:rsidRDefault="00994F8D" w:rsidP="00994F8D">
      <w:pPr>
        <w:pStyle w:val="FootnoteText"/>
        <w:spacing w:line="360" w:lineRule="auto"/>
        <w:rPr>
          <w:lang w:eastAsia="zh-CN"/>
        </w:rPr>
      </w:pPr>
      <w:r>
        <w:rPr>
          <w:rStyle w:val="FootnoteReference"/>
        </w:rPr>
        <w:footnoteRef/>
      </w:r>
      <w:r>
        <w:t xml:space="preserve"> </w:t>
      </w:r>
      <w:r w:rsidR="002A68F8">
        <w:t xml:space="preserve">Tarleton Gillespie, </w:t>
      </w:r>
      <w:r w:rsidR="000616E9" w:rsidRPr="00195D73">
        <w:rPr>
          <w:i/>
          <w:iCs/>
        </w:rPr>
        <w:t>Custodians of the Internet:</w:t>
      </w:r>
      <w:r w:rsidR="00195D73" w:rsidRPr="00195D73">
        <w:rPr>
          <w:i/>
          <w:iCs/>
        </w:rPr>
        <w:t xml:space="preserve"> P</w:t>
      </w:r>
      <w:r w:rsidR="000616E9" w:rsidRPr="00195D73">
        <w:rPr>
          <w:i/>
          <w:iCs/>
        </w:rPr>
        <w:t xml:space="preserve">latforms, </w:t>
      </w:r>
      <w:r w:rsidR="00195D73" w:rsidRPr="00195D73">
        <w:rPr>
          <w:i/>
          <w:iCs/>
        </w:rPr>
        <w:t>C</w:t>
      </w:r>
      <w:r w:rsidR="000616E9" w:rsidRPr="00195D73">
        <w:rPr>
          <w:i/>
          <w:iCs/>
        </w:rPr>
        <w:t xml:space="preserve">ontent </w:t>
      </w:r>
      <w:r w:rsidR="00195D73" w:rsidRPr="00195D73">
        <w:rPr>
          <w:i/>
          <w:iCs/>
        </w:rPr>
        <w:t>M</w:t>
      </w:r>
      <w:r w:rsidR="000616E9" w:rsidRPr="00195D73">
        <w:rPr>
          <w:i/>
          <w:iCs/>
        </w:rPr>
        <w:t xml:space="preserve">oderation, and the </w:t>
      </w:r>
      <w:r w:rsidR="00195D73" w:rsidRPr="00195D73">
        <w:rPr>
          <w:i/>
          <w:iCs/>
        </w:rPr>
        <w:t>H</w:t>
      </w:r>
      <w:r w:rsidR="000616E9" w:rsidRPr="00195D73">
        <w:rPr>
          <w:i/>
          <w:iCs/>
        </w:rPr>
        <w:t xml:space="preserve">idden </w:t>
      </w:r>
      <w:r w:rsidR="00195D73" w:rsidRPr="00195D73">
        <w:rPr>
          <w:i/>
          <w:iCs/>
        </w:rPr>
        <w:t>D</w:t>
      </w:r>
      <w:r w:rsidR="000616E9" w:rsidRPr="00195D73">
        <w:rPr>
          <w:i/>
          <w:iCs/>
        </w:rPr>
        <w:t xml:space="preserve">ecisions that </w:t>
      </w:r>
      <w:r w:rsidR="00195D73" w:rsidRPr="00195D73">
        <w:rPr>
          <w:i/>
          <w:iCs/>
        </w:rPr>
        <w:t>S</w:t>
      </w:r>
      <w:r w:rsidR="000616E9" w:rsidRPr="00195D73">
        <w:rPr>
          <w:i/>
          <w:iCs/>
        </w:rPr>
        <w:t xml:space="preserve">hape </w:t>
      </w:r>
      <w:proofErr w:type="gramStart"/>
      <w:r w:rsidR="00195D73" w:rsidRPr="00195D73">
        <w:rPr>
          <w:i/>
          <w:iCs/>
        </w:rPr>
        <w:t>S</w:t>
      </w:r>
      <w:r w:rsidR="000616E9" w:rsidRPr="00195D73">
        <w:rPr>
          <w:i/>
          <w:iCs/>
        </w:rPr>
        <w:t xml:space="preserve">ocial </w:t>
      </w:r>
      <w:r w:rsidR="00195D73" w:rsidRPr="00195D73">
        <w:rPr>
          <w:i/>
          <w:iCs/>
        </w:rPr>
        <w:t>M</w:t>
      </w:r>
      <w:r w:rsidR="000616E9" w:rsidRPr="00195D73">
        <w:rPr>
          <w:i/>
          <w:iCs/>
        </w:rPr>
        <w:t>edia</w:t>
      </w:r>
      <w:proofErr w:type="gramEnd"/>
      <w:r w:rsidR="00195D73">
        <w:t xml:space="preserve"> (</w:t>
      </w:r>
      <w:r w:rsidR="00BF7435">
        <w:t>Yale University Press 2018</w:t>
      </w:r>
      <w:r w:rsidR="00195D73">
        <w:t>)</w:t>
      </w:r>
      <w:r w:rsidR="00BF7435">
        <w:t xml:space="preserve"> 16, </w:t>
      </w:r>
      <w:r w:rsidR="009945B4">
        <w:t>178</w:t>
      </w:r>
      <w:r w:rsidR="00BF7435">
        <w:t>.</w:t>
      </w:r>
    </w:p>
  </w:footnote>
  <w:footnote w:id="43">
    <w:p w14:paraId="23FB68F2" w14:textId="2F51BF1B" w:rsidR="00C20F75" w:rsidRPr="00E24227" w:rsidRDefault="00C20F75" w:rsidP="00994F8D">
      <w:pPr>
        <w:pStyle w:val="FootnoteText"/>
        <w:spacing w:line="360" w:lineRule="auto"/>
        <w:rPr>
          <w:lang w:eastAsia="zh-CN"/>
        </w:rPr>
      </w:pPr>
      <w:r w:rsidRPr="00E24227">
        <w:rPr>
          <w:rStyle w:val="FootnoteReference"/>
        </w:rPr>
        <w:footnoteRef/>
      </w:r>
      <w:r w:rsidRPr="00E24227">
        <w:t xml:space="preserve"> </w:t>
      </w:r>
      <w:r w:rsidR="00E24227" w:rsidRPr="00E24227">
        <w:rPr>
          <w:i/>
          <w:iCs/>
        </w:rPr>
        <w:t>Cartier International AG v British Sky Broadcasting Ltd</w:t>
      </w:r>
      <w:r w:rsidR="00E24227">
        <w:t xml:space="preserve"> </w:t>
      </w:r>
      <w:r w:rsidR="00AD4E2F">
        <w:t xml:space="preserve">[2016] EWCA </w:t>
      </w:r>
      <w:proofErr w:type="spellStart"/>
      <w:r w:rsidR="00AD4E2F">
        <w:t>Civ</w:t>
      </w:r>
      <w:proofErr w:type="spellEnd"/>
      <w:r w:rsidR="00AD4E2F">
        <w:t xml:space="preserve"> 658 </w:t>
      </w:r>
      <w:r w:rsidR="00E24227">
        <w:t>[</w:t>
      </w:r>
      <w:r w:rsidR="004262BA">
        <w:t>161</w:t>
      </w:r>
      <w:r w:rsidR="00E24227">
        <w:t>]</w:t>
      </w:r>
      <w:r w:rsidR="004262BA">
        <w:t>.</w:t>
      </w:r>
    </w:p>
  </w:footnote>
  <w:footnote w:id="44">
    <w:p w14:paraId="4B036069" w14:textId="270DAC9A" w:rsidR="00056F1B" w:rsidRDefault="00056F1B" w:rsidP="004962DF">
      <w:pPr>
        <w:pStyle w:val="FootnoteText"/>
        <w:spacing w:line="360" w:lineRule="auto"/>
        <w:rPr>
          <w:lang w:eastAsia="zh-CN"/>
        </w:rPr>
      </w:pPr>
      <w:r>
        <w:rPr>
          <w:rStyle w:val="FootnoteReference"/>
        </w:rPr>
        <w:footnoteRef/>
      </w:r>
      <w:r>
        <w:t xml:space="preserve"> </w:t>
      </w:r>
      <w:r w:rsidR="007B5416">
        <w:t>British Academy and the Publishers Association, ‘</w:t>
      </w:r>
      <w:r w:rsidR="00EA25BA">
        <w:t>Joint Guidelines on Copyright and Academic Research</w:t>
      </w:r>
      <w:r w:rsidR="007B5416">
        <w:t>’</w:t>
      </w:r>
      <w:r w:rsidR="00EA25BA">
        <w:t xml:space="preserve"> (</w:t>
      </w:r>
      <w:r w:rsidR="003C7760">
        <w:t xml:space="preserve">British Academy </w:t>
      </w:r>
      <w:r w:rsidR="009D4AE4">
        <w:t xml:space="preserve">and the Publishers Association </w:t>
      </w:r>
      <w:r w:rsidR="00EA25BA">
        <w:t>2008)</w:t>
      </w:r>
      <w:r w:rsidR="003C7760">
        <w:t xml:space="preserve"> 16.</w:t>
      </w:r>
    </w:p>
  </w:footnote>
  <w:footnote w:id="45">
    <w:p w14:paraId="1044B450" w14:textId="4F9E9F18" w:rsidR="00107BAF" w:rsidRDefault="00107BAF" w:rsidP="004962DF">
      <w:pPr>
        <w:pStyle w:val="FootnoteText"/>
        <w:spacing w:line="360" w:lineRule="auto"/>
      </w:pPr>
      <w:r>
        <w:rPr>
          <w:rStyle w:val="FootnoteReference"/>
        </w:rPr>
        <w:footnoteRef/>
      </w:r>
      <w:r>
        <w:t xml:space="preserve"> </w:t>
      </w:r>
      <w:proofErr w:type="spellStart"/>
      <w:r w:rsidR="00C12DF4" w:rsidRPr="00A42354">
        <w:rPr>
          <w:i/>
          <w:iCs/>
        </w:rPr>
        <w:t>Tunein</w:t>
      </w:r>
      <w:proofErr w:type="spellEnd"/>
      <w:r w:rsidR="009A661F" w:rsidRPr="009A661F">
        <w:t xml:space="preserve"> (n 34)</w:t>
      </w:r>
      <w:r w:rsidR="00C12DF4" w:rsidRPr="00C12DF4">
        <w:rPr>
          <w:i/>
          <w:iCs/>
        </w:rPr>
        <w:t>,</w:t>
      </w:r>
      <w:r w:rsidR="009A661F">
        <w:rPr>
          <w:rFonts w:eastAsia="Microsoft YaHei" w:cs="Times New Roman"/>
          <w:lang w:eastAsia="zh-CN"/>
        </w:rPr>
        <w:t xml:space="preserve"> </w:t>
      </w:r>
      <w:r w:rsidR="0082768C">
        <w:rPr>
          <w:rFonts w:eastAsia="Microsoft YaHei" w:cs="Times New Roman"/>
          <w:lang w:eastAsia="zh-CN"/>
        </w:rPr>
        <w:t>[</w:t>
      </w:r>
      <w:r w:rsidR="0082768C">
        <w:rPr>
          <w:rFonts w:hint="eastAsia"/>
          <w:lang w:eastAsia="zh-CN"/>
        </w:rPr>
        <w:t>138</w:t>
      </w:r>
      <w:r w:rsidR="0082768C">
        <w:rPr>
          <w:lang w:eastAsia="zh-CN"/>
        </w:rPr>
        <w:t>]</w:t>
      </w:r>
      <w:r w:rsidR="0082768C">
        <w:rPr>
          <w:rFonts w:hint="eastAsia"/>
          <w:lang w:eastAsia="zh-CN"/>
        </w:rPr>
        <w:t>.</w:t>
      </w:r>
    </w:p>
  </w:footnote>
  <w:footnote w:id="46">
    <w:p w14:paraId="7D535CD7" w14:textId="00C91B5C" w:rsidR="00F52FD8" w:rsidRDefault="00F52FD8" w:rsidP="004962DF">
      <w:pPr>
        <w:pStyle w:val="FootnoteText"/>
        <w:spacing w:line="360" w:lineRule="auto"/>
      </w:pPr>
      <w:r>
        <w:rPr>
          <w:rStyle w:val="FootnoteReference"/>
        </w:rPr>
        <w:footnoteRef/>
      </w:r>
      <w:r>
        <w:t xml:space="preserve"> </w:t>
      </w:r>
      <w:r w:rsidR="00647CF7">
        <w:t>Ruth Towse</w:t>
      </w:r>
      <w:r w:rsidR="00020C7C">
        <w:t>, ‘</w:t>
      </w:r>
      <w:r w:rsidR="00020C7C" w:rsidRPr="00020C7C">
        <w:t>Economics of Copyright Collecting Societies and Digital Rights: Is There a Case for a Centralised Digital Copyright Exchange?</w:t>
      </w:r>
      <w:r w:rsidR="00020C7C">
        <w:t xml:space="preserve">’ </w:t>
      </w:r>
      <w:r w:rsidR="007C5C60">
        <w:t>(2012) 9 Review of Economic Research on Copyright Issues 3</w:t>
      </w:r>
      <w:r w:rsidR="007815E2">
        <w:t>, 12.</w:t>
      </w:r>
    </w:p>
  </w:footnote>
  <w:footnote w:id="47">
    <w:p w14:paraId="304C5786" w14:textId="008500A2" w:rsidR="00583868" w:rsidRDefault="00583868" w:rsidP="004962DF">
      <w:pPr>
        <w:pStyle w:val="FootnoteText"/>
        <w:spacing w:line="360" w:lineRule="auto"/>
        <w:rPr>
          <w:lang w:eastAsia="zh-CN"/>
        </w:rPr>
      </w:pPr>
      <w:r>
        <w:rPr>
          <w:rStyle w:val="FootnoteReference"/>
        </w:rPr>
        <w:footnoteRef/>
      </w:r>
      <w:r>
        <w:t xml:space="preserve"> </w:t>
      </w:r>
      <w:r w:rsidR="00511F49">
        <w:t>Christian H</w:t>
      </w:r>
      <w:r w:rsidR="00511F49">
        <w:rPr>
          <w:rFonts w:hint="eastAsia"/>
          <w:lang w:eastAsia="zh-CN"/>
        </w:rPr>
        <w:t xml:space="preserve">andke, </w:t>
      </w:r>
      <w:r w:rsidR="00511F49">
        <w:rPr>
          <w:lang w:eastAsia="zh-CN"/>
        </w:rPr>
        <w:t>‘</w:t>
      </w:r>
      <w:r w:rsidR="004962DF" w:rsidRPr="004962DF">
        <w:rPr>
          <w:lang w:eastAsia="zh-CN"/>
        </w:rPr>
        <w:t>Joint Copyrights Management by Collecting Societies and Online Platforms: An Economic Analysis</w:t>
      </w:r>
      <w:r w:rsidR="00511F49">
        <w:rPr>
          <w:lang w:eastAsia="zh-CN"/>
        </w:rPr>
        <w:t>’</w:t>
      </w:r>
      <w:r w:rsidR="000A0117">
        <w:rPr>
          <w:rFonts w:hint="eastAsia"/>
          <w:lang w:eastAsia="zh-CN"/>
        </w:rPr>
        <w:t xml:space="preserve"> </w:t>
      </w:r>
      <w:r w:rsidR="004962DF">
        <w:rPr>
          <w:rFonts w:eastAsia="Microsoft YaHei" w:cs="Times New Roman"/>
          <w:lang w:eastAsia="zh-CN"/>
        </w:rPr>
        <w:t>(</w:t>
      </w:r>
      <w:r w:rsidR="00000AD7">
        <w:rPr>
          <w:rFonts w:eastAsia="Microsoft YaHei" w:cs="Times New Roman"/>
          <w:lang w:eastAsia="zh-CN"/>
        </w:rPr>
        <w:t xml:space="preserve">SSRN </w:t>
      </w:r>
      <w:r w:rsidR="00000AD7">
        <w:t>2016</w:t>
      </w:r>
      <w:r w:rsidR="004962DF">
        <w:rPr>
          <w:rFonts w:eastAsia="Microsoft YaHei" w:cs="Times New Roman"/>
          <w:lang w:eastAsia="zh-CN"/>
        </w:rPr>
        <w:t>)</w:t>
      </w:r>
      <w:r w:rsidR="000A0117">
        <w:rPr>
          <w:rFonts w:hint="eastAsia"/>
          <w:lang w:eastAsia="zh-CN"/>
        </w:rPr>
        <w:t xml:space="preserve"> 1.</w:t>
      </w:r>
    </w:p>
  </w:footnote>
  <w:footnote w:id="48">
    <w:p w14:paraId="46D5DAD2" w14:textId="2C5D720D" w:rsidR="00F52FD8" w:rsidRDefault="00F52FD8" w:rsidP="004962DF">
      <w:pPr>
        <w:pStyle w:val="FootnoteText"/>
        <w:spacing w:line="360" w:lineRule="auto"/>
      </w:pPr>
      <w:r>
        <w:rPr>
          <w:rStyle w:val="FootnoteReference"/>
        </w:rPr>
        <w:footnoteRef/>
      </w:r>
      <w:r>
        <w:t xml:space="preserve"> </w:t>
      </w:r>
      <w:proofErr w:type="spellStart"/>
      <w:r w:rsidR="004563D8" w:rsidRPr="00A42354">
        <w:rPr>
          <w:i/>
          <w:iCs/>
        </w:rPr>
        <w:t>Tunein</w:t>
      </w:r>
      <w:proofErr w:type="spellEnd"/>
      <w:r w:rsidR="004563D8" w:rsidRPr="009A661F">
        <w:t xml:space="preserve"> (n 34)</w:t>
      </w:r>
      <w:r w:rsidR="004563D8" w:rsidRPr="00C12DF4">
        <w:rPr>
          <w:i/>
          <w:iCs/>
        </w:rPr>
        <w:t>,</w:t>
      </w:r>
      <w:r w:rsidR="004563D8">
        <w:rPr>
          <w:rFonts w:eastAsia="Microsoft YaHei" w:cs="Times New Roman"/>
          <w:lang w:eastAsia="zh-CN"/>
        </w:rPr>
        <w:t xml:space="preserve"> [</w:t>
      </w:r>
      <w:r w:rsidR="00491EBA">
        <w:rPr>
          <w:lang w:eastAsia="zh-CN"/>
        </w:rPr>
        <w:t>138</w:t>
      </w:r>
      <w:r w:rsidR="004563D8">
        <w:rPr>
          <w:lang w:eastAsia="zh-CN"/>
        </w:rPr>
        <w:t>]</w:t>
      </w:r>
      <w:r w:rsidR="004563D8">
        <w:rPr>
          <w:rFonts w:hint="eastAsia"/>
          <w:lang w:eastAsia="zh-CN"/>
        </w:rPr>
        <w:t>.</w:t>
      </w:r>
    </w:p>
  </w:footnote>
  <w:footnote w:id="49">
    <w:p w14:paraId="4175B4DE" w14:textId="61E203AB" w:rsidR="00454946" w:rsidRDefault="00454946" w:rsidP="00F25957">
      <w:pPr>
        <w:pStyle w:val="FootnoteText"/>
        <w:spacing w:line="360" w:lineRule="auto"/>
      </w:pPr>
      <w:r>
        <w:rPr>
          <w:rStyle w:val="FootnoteReference"/>
        </w:rPr>
        <w:footnoteRef/>
      </w:r>
      <w:r>
        <w:t xml:space="preserve"> </w:t>
      </w:r>
      <w:r w:rsidR="00830D4F" w:rsidRPr="00830D4F">
        <w:t>D. Bondy Valdovinos Kaye</w:t>
      </w:r>
      <w:r w:rsidR="00CD4158">
        <w:t xml:space="preserve"> and others</w:t>
      </w:r>
      <w:r w:rsidR="00AB2418">
        <w:rPr>
          <w:rFonts w:eastAsia="Microsoft YaHei" w:cs="Times New Roman"/>
          <w:lang w:eastAsia="zh-CN"/>
        </w:rPr>
        <w:t>, ‘</w:t>
      </w:r>
      <w:r w:rsidR="006E39C9">
        <w:t>You Made This? I Made This: Practices of Authorship and (Mis)Attribution on TikTok</w:t>
      </w:r>
      <w:r w:rsidR="00AB2418">
        <w:t>’</w:t>
      </w:r>
      <w:r w:rsidR="00830D4F">
        <w:t xml:space="preserve"> (</w:t>
      </w:r>
      <w:r w:rsidR="00C62730">
        <w:t>2021</w:t>
      </w:r>
      <w:r w:rsidR="00830D4F">
        <w:t>)</w:t>
      </w:r>
      <w:r w:rsidR="00C62730">
        <w:t xml:space="preserve"> </w:t>
      </w:r>
      <w:r w:rsidR="00AB493E">
        <w:t xml:space="preserve">15 International Journal of Communication 3195, </w:t>
      </w:r>
      <w:r w:rsidR="00265566">
        <w:t>3198</w:t>
      </w:r>
      <w:r w:rsidR="00AB493E">
        <w:t>.</w:t>
      </w:r>
    </w:p>
  </w:footnote>
  <w:footnote w:id="50">
    <w:p w14:paraId="19F85B9D" w14:textId="75D78671" w:rsidR="00701D24" w:rsidRDefault="00701D24" w:rsidP="00F25957">
      <w:pPr>
        <w:pStyle w:val="FootnoteText"/>
        <w:spacing w:line="360" w:lineRule="auto"/>
      </w:pPr>
      <w:r>
        <w:rPr>
          <w:rStyle w:val="FootnoteReference"/>
        </w:rPr>
        <w:footnoteRef/>
      </w:r>
      <w:r>
        <w:t xml:space="preserve"> CDPA, s 78.</w:t>
      </w:r>
    </w:p>
  </w:footnote>
  <w:footnote w:id="51">
    <w:p w14:paraId="30F55CD9" w14:textId="16E2E084" w:rsidR="00701D24" w:rsidRDefault="00701D24" w:rsidP="00F25957">
      <w:pPr>
        <w:pStyle w:val="FootnoteText"/>
        <w:spacing w:line="360" w:lineRule="auto"/>
      </w:pPr>
      <w:r>
        <w:rPr>
          <w:rStyle w:val="FootnoteReference"/>
        </w:rPr>
        <w:footnoteRef/>
      </w:r>
      <w:r>
        <w:t xml:space="preserve"> </w:t>
      </w:r>
      <w:r w:rsidR="00342787">
        <w:t>ibid</w:t>
      </w:r>
      <w:r>
        <w:t>, s 87.</w:t>
      </w:r>
    </w:p>
  </w:footnote>
  <w:footnote w:id="52">
    <w:p w14:paraId="4FE6CF37" w14:textId="470B5BA4" w:rsidR="00F25957" w:rsidRPr="00F25957" w:rsidRDefault="00F25957" w:rsidP="00F25957">
      <w:pPr>
        <w:pStyle w:val="FootnoteText"/>
        <w:spacing w:line="360" w:lineRule="auto"/>
        <w:rPr>
          <w:rFonts w:eastAsia="Microsoft YaHei" w:cs="Times New Roman"/>
          <w:lang w:eastAsia="zh-CN"/>
        </w:rPr>
      </w:pPr>
      <w:r>
        <w:rPr>
          <w:rStyle w:val="FootnoteReference"/>
        </w:rPr>
        <w:footnoteRef/>
      </w:r>
      <w:r>
        <w:t xml:space="preserve"> </w:t>
      </w:r>
      <w:r w:rsidRPr="00830D4F">
        <w:t>D. Bondy Valdovinos Kaye</w:t>
      </w:r>
      <w:r>
        <w:rPr>
          <w:rFonts w:hint="eastAsia"/>
          <w:lang w:eastAsia="zh-CN"/>
        </w:rPr>
        <w:t xml:space="preserve"> </w:t>
      </w:r>
      <w:r>
        <w:rPr>
          <w:rFonts w:eastAsia="Microsoft YaHei" w:cs="Times New Roman"/>
          <w:lang w:eastAsia="zh-CN"/>
        </w:rPr>
        <w:t>(n 48), 3198.</w:t>
      </w:r>
    </w:p>
  </w:footnote>
  <w:footnote w:id="53">
    <w:p w14:paraId="69DCD23A" w14:textId="09553D7D" w:rsidR="00FE69F5" w:rsidRDefault="00FE69F5">
      <w:pPr>
        <w:pStyle w:val="FootnoteText"/>
        <w:rPr>
          <w:lang w:eastAsia="zh-CN"/>
        </w:rPr>
      </w:pPr>
      <w:r>
        <w:rPr>
          <w:rStyle w:val="FootnoteReference"/>
        </w:rPr>
        <w:footnoteRef/>
      </w:r>
      <w:r>
        <w:t xml:space="preserve"> </w:t>
      </w:r>
      <w:r w:rsidR="00F57EE2">
        <w:rPr>
          <w:rFonts w:hint="eastAsia"/>
          <w:lang w:eastAsia="zh-CN"/>
        </w:rPr>
        <w:t>CDPA</w:t>
      </w:r>
      <w:r w:rsidR="00F57EE2">
        <w:rPr>
          <w:lang w:eastAsia="zh-CN"/>
        </w:rPr>
        <w:t>, s 80(2)(b)</w:t>
      </w:r>
    </w:p>
  </w:footnote>
  <w:footnote w:id="54">
    <w:p w14:paraId="3469B202" w14:textId="0A152EB1" w:rsidR="00814C9F" w:rsidRDefault="00814C9F" w:rsidP="005F28E6">
      <w:pPr>
        <w:pStyle w:val="FootnoteText"/>
        <w:spacing w:line="360" w:lineRule="auto"/>
      </w:pPr>
      <w:r>
        <w:rPr>
          <w:rStyle w:val="FootnoteReference"/>
        </w:rPr>
        <w:footnoteRef/>
      </w:r>
      <w:r>
        <w:t xml:space="preserve"> </w:t>
      </w:r>
      <w:r w:rsidRPr="00814C9F">
        <w:rPr>
          <w:i/>
          <w:iCs/>
        </w:rPr>
        <w:t>Confetti</w:t>
      </w:r>
      <w:r>
        <w:t xml:space="preserve"> (n </w:t>
      </w:r>
      <w:r w:rsidR="006D2055">
        <w:t>25</w:t>
      </w:r>
      <w:r>
        <w:t>)</w:t>
      </w:r>
      <w:r w:rsidR="008A2E49">
        <w:t xml:space="preserve"> [</w:t>
      </w:r>
      <w:r w:rsidR="00242768">
        <w:t>150</w:t>
      </w:r>
      <w:r w:rsidR="008A2E49">
        <w:t>].</w:t>
      </w:r>
    </w:p>
  </w:footnote>
  <w:footnote w:id="55">
    <w:p w14:paraId="7DDF7988" w14:textId="68ED70E1" w:rsidR="00191E7B" w:rsidRDefault="00191E7B" w:rsidP="005F28E6">
      <w:pPr>
        <w:pStyle w:val="FootnoteText"/>
        <w:spacing w:line="360" w:lineRule="auto"/>
      </w:pPr>
      <w:r>
        <w:rPr>
          <w:rStyle w:val="FootnoteReference"/>
        </w:rPr>
        <w:footnoteRef/>
      </w:r>
      <w:r>
        <w:t xml:space="preserve"> </w:t>
      </w:r>
      <w:r w:rsidR="00465A57">
        <w:t>Jonas Brown-Pedersen, ‘</w:t>
      </w:r>
      <w:r w:rsidR="00D23321">
        <w:t xml:space="preserve">The Inadequacy of UK Moral Rights Protection: A Comparative Study on the </w:t>
      </w:r>
      <w:proofErr w:type="spellStart"/>
      <w:r w:rsidR="00D23321">
        <w:t>Waivability</w:t>
      </w:r>
      <w:proofErr w:type="spellEnd"/>
      <w:r w:rsidR="00D23321">
        <w:t xml:space="preserve"> of Rights and </w:t>
      </w:r>
      <w:proofErr w:type="spellStart"/>
      <w:r w:rsidR="00D23321">
        <w:t>Recontextualisation</w:t>
      </w:r>
      <w:proofErr w:type="spellEnd"/>
      <w:r w:rsidR="00D23321">
        <w:t xml:space="preserve"> of Works in Copyright and Droit </w:t>
      </w:r>
      <w:proofErr w:type="spellStart"/>
      <w:r w:rsidR="00D23321">
        <w:t>D’auteurs</w:t>
      </w:r>
      <w:proofErr w:type="spellEnd"/>
      <w:r w:rsidR="00D23321">
        <w:t xml:space="preserve"> Systems</w:t>
      </w:r>
      <w:r w:rsidR="00465A57">
        <w:t>’ (</w:t>
      </w:r>
      <w:r w:rsidR="0064484F">
        <w:t>2018</w:t>
      </w:r>
      <w:r w:rsidR="00465A57">
        <w:t>)</w:t>
      </w:r>
      <w:r w:rsidR="0064484F">
        <w:t xml:space="preserve"> </w:t>
      </w:r>
      <w:r w:rsidR="001A28C5">
        <w:t xml:space="preserve">3 </w:t>
      </w:r>
      <w:r w:rsidR="0064484F">
        <w:t xml:space="preserve">LSE Law Review </w:t>
      </w:r>
      <w:r w:rsidR="001275FF">
        <w:t>115, 116.</w:t>
      </w:r>
    </w:p>
  </w:footnote>
  <w:footnote w:id="56">
    <w:p w14:paraId="483BE181" w14:textId="0EC55920" w:rsidR="005F28E6" w:rsidRDefault="005F28E6" w:rsidP="005F28E6">
      <w:pPr>
        <w:pStyle w:val="FootnoteText"/>
        <w:spacing w:line="360" w:lineRule="auto"/>
        <w:rPr>
          <w:lang w:eastAsia="zh-CN"/>
        </w:rPr>
      </w:pPr>
      <w:r>
        <w:rPr>
          <w:rStyle w:val="FootnoteReference"/>
        </w:rPr>
        <w:footnoteRef/>
      </w:r>
      <w:r>
        <w:t xml:space="preserve"> </w:t>
      </w:r>
      <w:r w:rsidR="008321C3">
        <w:t>Tanya F. Aplin and Ahmed Shaffan Mohamed (n 4),</w:t>
      </w:r>
      <w:r w:rsidR="008321C3">
        <w:rPr>
          <w:rFonts w:hint="eastAsia"/>
          <w:lang w:eastAsia="zh-CN"/>
        </w:rPr>
        <w:t xml:space="preserve"> </w:t>
      </w:r>
      <w:r>
        <w:rPr>
          <w:rFonts w:hint="eastAsia"/>
          <w:lang w:eastAsia="zh-CN"/>
        </w:rPr>
        <w:t>270.</w:t>
      </w:r>
    </w:p>
  </w:footnote>
  <w:footnote w:id="57">
    <w:p w14:paraId="77A2E45F" w14:textId="44618B1E" w:rsidR="00B50AEF" w:rsidRDefault="00B50AEF" w:rsidP="005F28E6">
      <w:pPr>
        <w:pStyle w:val="FootnoteText"/>
        <w:spacing w:line="360" w:lineRule="auto"/>
        <w:rPr>
          <w:lang w:eastAsia="zh-CN"/>
        </w:rPr>
      </w:pPr>
      <w:r>
        <w:rPr>
          <w:rStyle w:val="FootnoteReference"/>
        </w:rPr>
        <w:footnoteRef/>
      </w:r>
      <w:r>
        <w:t xml:space="preserve"> </w:t>
      </w:r>
      <w:r w:rsidR="00B051F4">
        <w:rPr>
          <w:lang w:eastAsia="zh-CN"/>
        </w:rPr>
        <w:t>CDPA, s 78.</w:t>
      </w:r>
    </w:p>
  </w:footnote>
  <w:footnote w:id="58">
    <w:p w14:paraId="42E50E43" w14:textId="7DE54B6B" w:rsidR="00B50AEF" w:rsidRDefault="00B50AEF" w:rsidP="005F28E6">
      <w:pPr>
        <w:pStyle w:val="FootnoteText"/>
        <w:spacing w:line="360" w:lineRule="auto"/>
        <w:rPr>
          <w:lang w:eastAsia="zh-CN"/>
        </w:rPr>
      </w:pPr>
      <w:r>
        <w:rPr>
          <w:rStyle w:val="FootnoteReference"/>
        </w:rPr>
        <w:footnoteRef/>
      </w:r>
      <w:r>
        <w:t xml:space="preserve"> </w:t>
      </w:r>
      <w:r w:rsidR="00AF7BDA">
        <w:t>ibid</w:t>
      </w:r>
      <w:r w:rsidR="00B051F4">
        <w:t>, s 87.</w:t>
      </w:r>
    </w:p>
  </w:footnote>
  <w:footnote w:id="59">
    <w:p w14:paraId="5B9E485E" w14:textId="56E557FD" w:rsidR="00C02D99" w:rsidRDefault="00C02D99" w:rsidP="00140D23">
      <w:pPr>
        <w:pStyle w:val="FootnoteText"/>
        <w:spacing w:line="360" w:lineRule="auto"/>
        <w:rPr>
          <w:lang w:eastAsia="zh-CN"/>
        </w:rPr>
      </w:pPr>
      <w:r>
        <w:rPr>
          <w:rStyle w:val="FootnoteReference"/>
        </w:rPr>
        <w:footnoteRef/>
      </w:r>
      <w:r>
        <w:t xml:space="preserve"> </w:t>
      </w:r>
      <w:r w:rsidR="00AF7BDA">
        <w:rPr>
          <w:lang w:eastAsia="zh-CN"/>
        </w:rPr>
        <w:t>ibid</w:t>
      </w:r>
      <w:r>
        <w:rPr>
          <w:lang w:eastAsia="zh-CN"/>
        </w:rPr>
        <w:t>, s 16.</w:t>
      </w:r>
    </w:p>
  </w:footnote>
  <w:footnote w:id="60">
    <w:p w14:paraId="1B37F3D8" w14:textId="4954FC53" w:rsidR="00C02D99" w:rsidRDefault="00C02D99" w:rsidP="00140D23">
      <w:pPr>
        <w:pStyle w:val="FootnoteText"/>
        <w:spacing w:line="360" w:lineRule="auto"/>
      </w:pPr>
      <w:r>
        <w:rPr>
          <w:rStyle w:val="FootnoteReference"/>
        </w:rPr>
        <w:footnoteRef/>
      </w:r>
      <w:r>
        <w:t xml:space="preserve"> ibid, s 20.</w:t>
      </w:r>
    </w:p>
  </w:footnote>
  <w:footnote w:id="61">
    <w:p w14:paraId="7B882850" w14:textId="1494E0E5" w:rsidR="00BD6D1B" w:rsidRDefault="00BD6D1B" w:rsidP="00140D23">
      <w:pPr>
        <w:pStyle w:val="FootnoteText"/>
        <w:spacing w:line="360" w:lineRule="auto"/>
      </w:pPr>
      <w:r>
        <w:rPr>
          <w:rStyle w:val="FootnoteReference"/>
        </w:rPr>
        <w:footnoteRef/>
      </w:r>
      <w:r>
        <w:t xml:space="preserve"> </w:t>
      </w:r>
      <w:r w:rsidR="001F6841" w:rsidRPr="003E69AE">
        <w:rPr>
          <w:i/>
          <w:iCs/>
          <w:lang w:eastAsia="zh-CN"/>
        </w:rPr>
        <w:t>ITV Broadcasting</w:t>
      </w:r>
      <w:r w:rsidR="004A2CD8">
        <w:rPr>
          <w:i/>
          <w:iCs/>
          <w:lang w:eastAsia="zh-CN"/>
        </w:rPr>
        <w:t xml:space="preserve"> </w:t>
      </w:r>
      <w:r w:rsidR="004A2CD8" w:rsidRPr="004A2CD8">
        <w:rPr>
          <w:lang w:eastAsia="zh-CN"/>
        </w:rPr>
        <w:t>(n 36)</w:t>
      </w:r>
      <w:r w:rsidR="004A2CD8">
        <w:rPr>
          <w:lang w:eastAsia="zh-CN"/>
        </w:rPr>
        <w:t xml:space="preserve"> [</w:t>
      </w:r>
      <w:r w:rsidR="00DE4982">
        <w:rPr>
          <w:lang w:eastAsia="zh-CN"/>
        </w:rPr>
        <w:t>2</w:t>
      </w:r>
      <w:r w:rsidR="004A2CD8">
        <w:rPr>
          <w:lang w:eastAsia="zh-CN"/>
        </w:rPr>
        <w:t>6]</w:t>
      </w:r>
      <w:r w:rsidR="00DE4982">
        <w:rPr>
          <w:lang w:eastAsia="zh-CN"/>
        </w:rPr>
        <w:t>, [40]</w:t>
      </w:r>
      <w:r w:rsidR="004A2CD8">
        <w:rPr>
          <w:lang w:eastAsia="zh-CN"/>
        </w:rPr>
        <w:t>.</w:t>
      </w:r>
    </w:p>
  </w:footnote>
  <w:footnote w:id="62">
    <w:p w14:paraId="1EA33C23" w14:textId="2E0A3E22" w:rsidR="00BD6D1B" w:rsidRDefault="00BD6D1B" w:rsidP="00140D23">
      <w:pPr>
        <w:pStyle w:val="FootnoteText"/>
        <w:spacing w:line="360" w:lineRule="auto"/>
      </w:pPr>
      <w:r>
        <w:rPr>
          <w:rStyle w:val="FootnoteReference"/>
        </w:rPr>
        <w:footnoteRef/>
      </w:r>
      <w:r>
        <w:t xml:space="preserve"> </w:t>
      </w:r>
      <w:r w:rsidR="00B262D7" w:rsidRPr="003E69AE">
        <w:rPr>
          <w:i/>
          <w:iCs/>
          <w:lang w:eastAsia="zh-CN"/>
        </w:rPr>
        <w:t>TuneIn</w:t>
      </w:r>
      <w:r w:rsidR="00B262D7">
        <w:t xml:space="preserve"> </w:t>
      </w:r>
      <w:r w:rsidR="00063696">
        <w:t xml:space="preserve">(n </w:t>
      </w:r>
      <w:r w:rsidR="00B262D7">
        <w:t>34</w:t>
      </w:r>
      <w:r w:rsidR="00063696">
        <w:t>) [38].</w:t>
      </w:r>
    </w:p>
  </w:footnote>
  <w:footnote w:id="63">
    <w:p w14:paraId="6222CEC8" w14:textId="7E0A6759" w:rsidR="00140D23" w:rsidRDefault="00140D23" w:rsidP="00507F30">
      <w:pPr>
        <w:pStyle w:val="FootnoteText"/>
        <w:spacing w:line="360" w:lineRule="auto"/>
        <w:rPr>
          <w:rFonts w:hint="eastAsia"/>
          <w:lang w:eastAsia="zh-CN"/>
        </w:rPr>
      </w:pPr>
      <w:r>
        <w:rPr>
          <w:rStyle w:val="FootnoteReference"/>
        </w:rPr>
        <w:footnoteRef/>
      </w:r>
      <w:r>
        <w:t xml:space="preserve"> </w:t>
      </w:r>
      <w:r w:rsidR="0035429A">
        <w:t xml:space="preserve">H. Bosher and S. </w:t>
      </w:r>
      <w:proofErr w:type="spellStart"/>
      <w:r w:rsidR="0035429A">
        <w:t>Yeşiloğlu</w:t>
      </w:r>
      <w:proofErr w:type="spellEnd"/>
      <w:r w:rsidR="0035429A">
        <w:t xml:space="preserve"> (n 21), 177.</w:t>
      </w:r>
    </w:p>
  </w:footnote>
  <w:footnote w:id="64">
    <w:p w14:paraId="10A5DCDE" w14:textId="7B0D189D" w:rsidR="00140D23" w:rsidRDefault="00140D23" w:rsidP="00507F30">
      <w:pPr>
        <w:pStyle w:val="FootnoteText"/>
        <w:spacing w:line="360" w:lineRule="auto"/>
        <w:rPr>
          <w:rFonts w:hint="eastAsia"/>
          <w:lang w:eastAsia="zh-CN"/>
        </w:rPr>
      </w:pPr>
      <w:r>
        <w:rPr>
          <w:rStyle w:val="FootnoteReference"/>
        </w:rPr>
        <w:footnoteRef/>
      </w:r>
      <w:r>
        <w:t xml:space="preserve"> </w:t>
      </w:r>
      <w:r w:rsidR="00264EA4" w:rsidRPr="001E1F3D">
        <w:rPr>
          <w:i/>
          <w:iCs/>
        </w:rPr>
        <w:t>Newzbin2</w:t>
      </w:r>
      <w:r w:rsidR="00264EA4">
        <w:t xml:space="preserve"> (n 40) [2].</w:t>
      </w:r>
    </w:p>
  </w:footnote>
  <w:footnote w:id="65">
    <w:p w14:paraId="172FD6EE" w14:textId="752FA476" w:rsidR="00507F30" w:rsidRDefault="00507F30" w:rsidP="00507F30">
      <w:pPr>
        <w:pStyle w:val="FootnoteText"/>
        <w:spacing w:line="360" w:lineRule="auto"/>
      </w:pPr>
      <w:r>
        <w:rPr>
          <w:rStyle w:val="FootnoteReference"/>
        </w:rPr>
        <w:footnoteRef/>
      </w:r>
      <w:r>
        <w:t xml:space="preserve"> </w:t>
      </w:r>
      <w:r w:rsidR="00B84037" w:rsidRPr="00B84037">
        <w:rPr>
          <w:i/>
          <w:iCs/>
        </w:rPr>
        <w:t>Confetti</w:t>
      </w:r>
      <w:r w:rsidR="00B84037">
        <w:t xml:space="preserve"> (n </w:t>
      </w:r>
      <w:r w:rsidR="00081C39">
        <w:t>25</w:t>
      </w:r>
      <w:r w:rsidR="00B84037">
        <w:t>) [153].</w:t>
      </w:r>
    </w:p>
  </w:footnote>
  <w:footnote w:id="66">
    <w:p w14:paraId="1DD30CF8" w14:textId="549EADD0" w:rsidR="00507F30" w:rsidRDefault="00507F30" w:rsidP="00507F30">
      <w:pPr>
        <w:pStyle w:val="FootnoteText"/>
        <w:spacing w:line="360" w:lineRule="auto"/>
        <w:rPr>
          <w:lang w:eastAsia="zh-CN"/>
        </w:rPr>
      </w:pPr>
      <w:r>
        <w:rPr>
          <w:rStyle w:val="FootnoteReference"/>
        </w:rPr>
        <w:footnoteRef/>
      </w:r>
      <w:r>
        <w:t xml:space="preserve"> </w:t>
      </w:r>
      <w:r w:rsidR="00F24D16">
        <w:rPr>
          <w:lang w:eastAsia="zh-CN"/>
        </w:rPr>
        <w:t>ibid [154].</w:t>
      </w:r>
    </w:p>
  </w:footnote>
  <w:footnote w:id="67">
    <w:p w14:paraId="774171F0" w14:textId="6F444BC7" w:rsidR="00507F30" w:rsidRDefault="00507F30" w:rsidP="00507F30">
      <w:pPr>
        <w:pStyle w:val="FootnoteText"/>
        <w:spacing w:line="360" w:lineRule="auto"/>
      </w:pPr>
      <w:r>
        <w:rPr>
          <w:rStyle w:val="FootnoteReference"/>
        </w:rPr>
        <w:footnoteRef/>
      </w:r>
      <w:r>
        <w:t xml:space="preserve"> </w:t>
      </w:r>
      <w:proofErr w:type="spellStart"/>
      <w:r w:rsidR="00AA78F5" w:rsidRPr="003B2463">
        <w:rPr>
          <w:i/>
          <w:iCs/>
        </w:rPr>
        <w:t>Pasterfield</w:t>
      </w:r>
      <w:proofErr w:type="spellEnd"/>
      <w:r w:rsidR="00AA78F5" w:rsidRPr="003B2463">
        <w:rPr>
          <w:i/>
          <w:iCs/>
        </w:rPr>
        <w:t xml:space="preserve"> v</w:t>
      </w:r>
      <w:r w:rsidR="00AA78F5" w:rsidRPr="003B2463">
        <w:rPr>
          <w:i/>
          <w:iCs/>
        </w:rPr>
        <w:t>.</w:t>
      </w:r>
      <w:r w:rsidR="00AA78F5" w:rsidRPr="003B2463">
        <w:rPr>
          <w:i/>
          <w:iCs/>
        </w:rPr>
        <w:t xml:space="preserve"> Denham</w:t>
      </w:r>
      <w:r w:rsidR="00AA78F5">
        <w:t xml:space="preserve"> </w:t>
      </w:r>
      <w:r w:rsidR="003B2463">
        <w:t>[1999] FSR 168</w:t>
      </w:r>
      <w:r w:rsidR="009A516A">
        <w:t xml:space="preserve">, </w:t>
      </w:r>
      <w:r w:rsidR="00A25B95">
        <w:t>182</w:t>
      </w:r>
      <w:r w:rsidR="009A516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7CCB" w14:textId="719AFB73" w:rsidR="00833800" w:rsidRDefault="008338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01C4B">
      <w:rPr>
        <w:rStyle w:val="PageNumber"/>
        <w:noProof/>
      </w:rPr>
      <w:t>1</w:t>
    </w:r>
    <w:r>
      <w:rPr>
        <w:rStyle w:val="PageNumber"/>
      </w:rPr>
      <w:fldChar w:fldCharType="end"/>
    </w:r>
  </w:p>
  <w:p w14:paraId="49386AE9" w14:textId="77777777" w:rsidR="00833800" w:rsidRDefault="0083380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28B1" w14:textId="4746CD5B" w:rsidR="00833800" w:rsidRPr="00DA6CDE" w:rsidRDefault="00833800" w:rsidP="005E3099">
    <w:pPr>
      <w:pStyle w:val="Header"/>
      <w:ind w:right="360"/>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78B9" w14:textId="77777777" w:rsidR="00833800" w:rsidRDefault="00833800">
    <w:pPr>
      <w:pStyle w:val="Header"/>
      <w:jc w:val="right"/>
      <w:rPr>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9AF2" w14:textId="5CF1D2F6" w:rsidR="005E3099" w:rsidRPr="00E32A41" w:rsidRDefault="00740C07" w:rsidP="00740C07">
    <w:pPr>
      <w:pStyle w:val="Header"/>
      <w:ind w:right="360"/>
      <w:jc w:val="center"/>
      <w:rPr>
        <w:b/>
        <w:bCs/>
        <w:sz w:val="18"/>
        <w:szCs w:val="18"/>
      </w:rPr>
    </w:pPr>
    <w:r w:rsidRPr="00C7792D">
      <w:rPr>
        <w:sz w:val="18"/>
        <w:szCs w:val="18"/>
      </w:rPr>
      <w:t>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6203" w14:textId="2611A65C" w:rsidR="000C59E0" w:rsidRPr="000C59E0" w:rsidRDefault="000C59E0" w:rsidP="00740C07">
    <w:pPr>
      <w:pStyle w:val="Header"/>
      <w:ind w:right="360"/>
      <w:jc w:val="center"/>
      <w:rPr>
        <w:sz w:val="18"/>
        <w:szCs w:val="18"/>
      </w:rPr>
    </w:pPr>
    <w:r w:rsidRPr="000C59E0">
      <w:rPr>
        <w:sz w:val="18"/>
        <w:szCs w:val="18"/>
      </w:rPr>
      <w:t>1. Introduction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C5A6" w14:textId="169E9C89" w:rsidR="001B051B" w:rsidRPr="000C59E0" w:rsidRDefault="001B051B" w:rsidP="00740C07">
    <w:pPr>
      <w:pStyle w:val="Header"/>
      <w:ind w:right="360"/>
      <w:jc w:val="center"/>
      <w:rPr>
        <w:sz w:val="18"/>
        <w:szCs w:val="18"/>
      </w:rPr>
    </w:pPr>
    <w:r>
      <w:rPr>
        <w:sz w:val="18"/>
        <w:szCs w:val="18"/>
      </w:rPr>
      <w:t>2. Definitions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1DDE" w14:textId="2167ED00" w:rsidR="00CB361E" w:rsidRPr="000C59E0" w:rsidRDefault="00CB361E" w:rsidP="00740C07">
    <w:pPr>
      <w:pStyle w:val="Header"/>
      <w:ind w:right="360"/>
      <w:jc w:val="center"/>
      <w:rPr>
        <w:sz w:val="18"/>
        <w:szCs w:val="18"/>
      </w:rPr>
    </w:pPr>
    <w:r>
      <w:rPr>
        <w:sz w:val="18"/>
        <w:szCs w:val="18"/>
      </w:rPr>
      <w:t xml:space="preserve">3. </w:t>
    </w:r>
    <w:r w:rsidR="003D03B1" w:rsidRPr="003D03B1">
      <w:rPr>
        <w:sz w:val="18"/>
        <w:szCs w:val="18"/>
      </w:rPr>
      <w:t>Moral Rights in the Digital Environment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4B10" w14:textId="6CC4C943" w:rsidR="00004AB3" w:rsidRPr="000C59E0" w:rsidRDefault="00004AB3" w:rsidP="00740C07">
    <w:pPr>
      <w:pStyle w:val="Header"/>
      <w:ind w:right="360"/>
      <w:jc w:val="center"/>
      <w:rPr>
        <w:sz w:val="18"/>
        <w:szCs w:val="18"/>
      </w:rPr>
    </w:pPr>
    <w:r>
      <w:rPr>
        <w:sz w:val="18"/>
        <w:szCs w:val="18"/>
      </w:rPr>
      <w:t xml:space="preserve">4. </w:t>
    </w:r>
    <w:r w:rsidR="00553620" w:rsidRPr="00553620">
      <w:rPr>
        <w:sz w:val="18"/>
        <w:szCs w:val="18"/>
      </w:rPr>
      <w:t xml:space="preserve">Economic Rights </w:t>
    </w:r>
    <w:r w:rsidR="001530BE">
      <w:rPr>
        <w:sz w:val="18"/>
        <w:szCs w:val="18"/>
      </w:rPr>
      <w:t>in the</w:t>
    </w:r>
    <w:r w:rsidR="00553620" w:rsidRPr="00553620">
      <w:rPr>
        <w:sz w:val="18"/>
        <w:szCs w:val="18"/>
      </w:rPr>
      <w:t xml:space="preserve"> </w:t>
    </w:r>
    <w:r w:rsidR="001530BE">
      <w:rPr>
        <w:sz w:val="18"/>
        <w:szCs w:val="18"/>
      </w:rPr>
      <w:t>Digital</w:t>
    </w:r>
    <w:r w:rsidR="00553620" w:rsidRPr="00553620">
      <w:rPr>
        <w:sz w:val="18"/>
        <w:szCs w:val="18"/>
      </w:rPr>
      <w:t xml:space="preserve"> </w:t>
    </w:r>
    <w:r w:rsidR="001530BE">
      <w:rPr>
        <w:sz w:val="18"/>
        <w:szCs w:val="18"/>
      </w:rPr>
      <w:t>Environment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E5F1" w14:textId="33235AA5" w:rsidR="00B56592" w:rsidRPr="000C59E0" w:rsidRDefault="004157A7" w:rsidP="00740C07">
    <w:pPr>
      <w:pStyle w:val="Header"/>
      <w:ind w:right="360"/>
      <w:jc w:val="center"/>
      <w:rPr>
        <w:sz w:val="18"/>
        <w:szCs w:val="18"/>
      </w:rPr>
    </w:pPr>
    <w:r>
      <w:rPr>
        <w:sz w:val="18"/>
        <w:szCs w:val="18"/>
        <w:lang w:eastAsia="zh-CN"/>
      </w:rPr>
      <w:t xml:space="preserve">5. </w:t>
    </w:r>
    <w:r w:rsidR="00AC6634" w:rsidRPr="00AC6634">
      <w:rPr>
        <w:sz w:val="18"/>
        <w:szCs w:val="18"/>
        <w:lang w:eastAsia="zh-CN"/>
      </w:rPr>
      <w:t>Viral Culture and Copyright Priorities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1C27" w14:textId="77777777" w:rsidR="004157A7" w:rsidRPr="000C59E0" w:rsidRDefault="004157A7" w:rsidP="00740C07">
    <w:pPr>
      <w:pStyle w:val="Header"/>
      <w:ind w:right="360"/>
      <w:jc w:val="center"/>
      <w:rPr>
        <w:sz w:val="18"/>
        <w:szCs w:val="18"/>
      </w:rPr>
    </w:pPr>
    <w:r>
      <w:rPr>
        <w:sz w:val="18"/>
        <w:szCs w:val="18"/>
        <w:lang w:eastAsia="zh-CN"/>
      </w:rPr>
      <w:t>6</w:t>
    </w:r>
    <w:r>
      <w:rPr>
        <w:sz w:val="18"/>
        <w:szCs w:val="18"/>
      </w:rPr>
      <w:t>. Conclusion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AD81" w14:textId="524A0100" w:rsidR="001B522F" w:rsidRPr="000C59E0" w:rsidRDefault="001B522F" w:rsidP="00740C07">
    <w:pPr>
      <w:pStyle w:val="Header"/>
      <w:ind w:right="360"/>
      <w:jc w:val="center"/>
      <w:rPr>
        <w:sz w:val="18"/>
        <w:szCs w:val="18"/>
      </w:rPr>
    </w:pPr>
    <w:r>
      <w:rPr>
        <w:sz w:val="18"/>
        <w:szCs w:val="18"/>
      </w:rPr>
      <w:t>Bibliography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FFD"/>
    <w:multiLevelType w:val="multilevel"/>
    <w:tmpl w:val="8D9A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CE3A2B"/>
    <w:multiLevelType w:val="multilevel"/>
    <w:tmpl w:val="9BD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6D221F"/>
    <w:multiLevelType w:val="hybridMultilevel"/>
    <w:tmpl w:val="5FD8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228433">
    <w:abstractNumId w:val="2"/>
  </w:num>
  <w:num w:numId="2" w16cid:durableId="275600164">
    <w:abstractNumId w:val="0"/>
  </w:num>
  <w:num w:numId="3" w16cid:durableId="587546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DF"/>
    <w:rsid w:val="000007A1"/>
    <w:rsid w:val="00000AD7"/>
    <w:rsid w:val="00001A82"/>
    <w:rsid w:val="00002A94"/>
    <w:rsid w:val="00002C99"/>
    <w:rsid w:val="000034A2"/>
    <w:rsid w:val="000036EB"/>
    <w:rsid w:val="00004AB3"/>
    <w:rsid w:val="00007C93"/>
    <w:rsid w:val="000102E7"/>
    <w:rsid w:val="00010F60"/>
    <w:rsid w:val="0001406A"/>
    <w:rsid w:val="0001538A"/>
    <w:rsid w:val="00015671"/>
    <w:rsid w:val="000172C8"/>
    <w:rsid w:val="00020C7C"/>
    <w:rsid w:val="00021E46"/>
    <w:rsid w:val="0002230D"/>
    <w:rsid w:val="00022BAF"/>
    <w:rsid w:val="0002698D"/>
    <w:rsid w:val="000279F1"/>
    <w:rsid w:val="00027B3B"/>
    <w:rsid w:val="000307DB"/>
    <w:rsid w:val="000307F8"/>
    <w:rsid w:val="00032F2B"/>
    <w:rsid w:val="00034A39"/>
    <w:rsid w:val="00034CD6"/>
    <w:rsid w:val="00034F22"/>
    <w:rsid w:val="00035F44"/>
    <w:rsid w:val="00036A6C"/>
    <w:rsid w:val="00037601"/>
    <w:rsid w:val="00041A2B"/>
    <w:rsid w:val="000420BE"/>
    <w:rsid w:val="00043CDF"/>
    <w:rsid w:val="00045006"/>
    <w:rsid w:val="00050703"/>
    <w:rsid w:val="00051836"/>
    <w:rsid w:val="0005344F"/>
    <w:rsid w:val="00054714"/>
    <w:rsid w:val="00054C9C"/>
    <w:rsid w:val="000554EA"/>
    <w:rsid w:val="00055A10"/>
    <w:rsid w:val="00055C02"/>
    <w:rsid w:val="00056A1B"/>
    <w:rsid w:val="00056F1B"/>
    <w:rsid w:val="000604BC"/>
    <w:rsid w:val="000612E3"/>
    <w:rsid w:val="000616E9"/>
    <w:rsid w:val="00061A46"/>
    <w:rsid w:val="00063696"/>
    <w:rsid w:val="00063857"/>
    <w:rsid w:val="00064C59"/>
    <w:rsid w:val="000653A7"/>
    <w:rsid w:val="000661AA"/>
    <w:rsid w:val="00067AF7"/>
    <w:rsid w:val="00071842"/>
    <w:rsid w:val="00072EB1"/>
    <w:rsid w:val="000731A1"/>
    <w:rsid w:val="0007334B"/>
    <w:rsid w:val="00073D0B"/>
    <w:rsid w:val="000749D9"/>
    <w:rsid w:val="00074BC3"/>
    <w:rsid w:val="00074CD5"/>
    <w:rsid w:val="00074CDC"/>
    <w:rsid w:val="0007597A"/>
    <w:rsid w:val="00075B06"/>
    <w:rsid w:val="000761A1"/>
    <w:rsid w:val="00080181"/>
    <w:rsid w:val="000807C9"/>
    <w:rsid w:val="0008157D"/>
    <w:rsid w:val="00081676"/>
    <w:rsid w:val="00081C39"/>
    <w:rsid w:val="00082F81"/>
    <w:rsid w:val="0008324C"/>
    <w:rsid w:val="000915E5"/>
    <w:rsid w:val="000936B3"/>
    <w:rsid w:val="00093A63"/>
    <w:rsid w:val="000972A6"/>
    <w:rsid w:val="00097414"/>
    <w:rsid w:val="000974E0"/>
    <w:rsid w:val="000A0117"/>
    <w:rsid w:val="000A0504"/>
    <w:rsid w:val="000A4115"/>
    <w:rsid w:val="000A5515"/>
    <w:rsid w:val="000A5813"/>
    <w:rsid w:val="000A5973"/>
    <w:rsid w:val="000A7903"/>
    <w:rsid w:val="000B0300"/>
    <w:rsid w:val="000B1540"/>
    <w:rsid w:val="000B1B19"/>
    <w:rsid w:val="000B1BAE"/>
    <w:rsid w:val="000B1D04"/>
    <w:rsid w:val="000B4661"/>
    <w:rsid w:val="000B4A6C"/>
    <w:rsid w:val="000B53C1"/>
    <w:rsid w:val="000B668D"/>
    <w:rsid w:val="000C03ED"/>
    <w:rsid w:val="000C05E3"/>
    <w:rsid w:val="000C09AC"/>
    <w:rsid w:val="000C0AD7"/>
    <w:rsid w:val="000C1AAC"/>
    <w:rsid w:val="000C2CDB"/>
    <w:rsid w:val="000C48B8"/>
    <w:rsid w:val="000C517B"/>
    <w:rsid w:val="000C59E0"/>
    <w:rsid w:val="000C6764"/>
    <w:rsid w:val="000C6A96"/>
    <w:rsid w:val="000C7476"/>
    <w:rsid w:val="000D19E9"/>
    <w:rsid w:val="000D21EA"/>
    <w:rsid w:val="000D2656"/>
    <w:rsid w:val="000D2F31"/>
    <w:rsid w:val="000D3660"/>
    <w:rsid w:val="000D3A6F"/>
    <w:rsid w:val="000D4D4C"/>
    <w:rsid w:val="000D7E2D"/>
    <w:rsid w:val="000E0BBB"/>
    <w:rsid w:val="000E0C44"/>
    <w:rsid w:val="000E1473"/>
    <w:rsid w:val="000E1F0E"/>
    <w:rsid w:val="000E306C"/>
    <w:rsid w:val="000E4410"/>
    <w:rsid w:val="000E478A"/>
    <w:rsid w:val="000E4C43"/>
    <w:rsid w:val="000E620C"/>
    <w:rsid w:val="000E63A0"/>
    <w:rsid w:val="000E64C4"/>
    <w:rsid w:val="000E6E48"/>
    <w:rsid w:val="000E710D"/>
    <w:rsid w:val="000E738E"/>
    <w:rsid w:val="000F264B"/>
    <w:rsid w:val="000F2C4C"/>
    <w:rsid w:val="000F4D59"/>
    <w:rsid w:val="000F71FC"/>
    <w:rsid w:val="00100EDC"/>
    <w:rsid w:val="001031B0"/>
    <w:rsid w:val="001038A9"/>
    <w:rsid w:val="0010410F"/>
    <w:rsid w:val="00104766"/>
    <w:rsid w:val="00104F75"/>
    <w:rsid w:val="00104FD4"/>
    <w:rsid w:val="001059E6"/>
    <w:rsid w:val="00106724"/>
    <w:rsid w:val="00106A99"/>
    <w:rsid w:val="00107BAF"/>
    <w:rsid w:val="00112493"/>
    <w:rsid w:val="00113299"/>
    <w:rsid w:val="001138A3"/>
    <w:rsid w:val="00114A4E"/>
    <w:rsid w:val="00115058"/>
    <w:rsid w:val="00116253"/>
    <w:rsid w:val="00117B85"/>
    <w:rsid w:val="0012006E"/>
    <w:rsid w:val="001205C5"/>
    <w:rsid w:val="00120C5F"/>
    <w:rsid w:val="001215B2"/>
    <w:rsid w:val="00121B6D"/>
    <w:rsid w:val="00121F2A"/>
    <w:rsid w:val="00122264"/>
    <w:rsid w:val="00122B29"/>
    <w:rsid w:val="00122DA0"/>
    <w:rsid w:val="001245EC"/>
    <w:rsid w:val="00125857"/>
    <w:rsid w:val="00125ECD"/>
    <w:rsid w:val="00126648"/>
    <w:rsid w:val="001275FF"/>
    <w:rsid w:val="00130CCC"/>
    <w:rsid w:val="00130D49"/>
    <w:rsid w:val="00131BE5"/>
    <w:rsid w:val="001339CF"/>
    <w:rsid w:val="0013452B"/>
    <w:rsid w:val="001345C4"/>
    <w:rsid w:val="00135B58"/>
    <w:rsid w:val="0013646A"/>
    <w:rsid w:val="00136D25"/>
    <w:rsid w:val="001375F3"/>
    <w:rsid w:val="00137EB4"/>
    <w:rsid w:val="00140D23"/>
    <w:rsid w:val="0014112E"/>
    <w:rsid w:val="00142B6B"/>
    <w:rsid w:val="00143B21"/>
    <w:rsid w:val="00146244"/>
    <w:rsid w:val="001463FE"/>
    <w:rsid w:val="001465D9"/>
    <w:rsid w:val="001530BE"/>
    <w:rsid w:val="00153CD1"/>
    <w:rsid w:val="00155492"/>
    <w:rsid w:val="001559F8"/>
    <w:rsid w:val="00155A15"/>
    <w:rsid w:val="00155C17"/>
    <w:rsid w:val="001561AE"/>
    <w:rsid w:val="0015735C"/>
    <w:rsid w:val="001621D2"/>
    <w:rsid w:val="00163006"/>
    <w:rsid w:val="001633F6"/>
    <w:rsid w:val="00165BCD"/>
    <w:rsid w:val="0016675F"/>
    <w:rsid w:val="0017031F"/>
    <w:rsid w:val="001710CE"/>
    <w:rsid w:val="001713BC"/>
    <w:rsid w:val="00171E54"/>
    <w:rsid w:val="00172298"/>
    <w:rsid w:val="00172855"/>
    <w:rsid w:val="001736F5"/>
    <w:rsid w:val="00173B48"/>
    <w:rsid w:val="0017573E"/>
    <w:rsid w:val="00175B32"/>
    <w:rsid w:val="00175CCF"/>
    <w:rsid w:val="00177980"/>
    <w:rsid w:val="00177A41"/>
    <w:rsid w:val="001812BA"/>
    <w:rsid w:val="0018175F"/>
    <w:rsid w:val="001823BE"/>
    <w:rsid w:val="00182525"/>
    <w:rsid w:val="001832D8"/>
    <w:rsid w:val="001832FA"/>
    <w:rsid w:val="00183905"/>
    <w:rsid w:val="00185661"/>
    <w:rsid w:val="00185CCE"/>
    <w:rsid w:val="00191E7B"/>
    <w:rsid w:val="00192116"/>
    <w:rsid w:val="00192B39"/>
    <w:rsid w:val="00195A4E"/>
    <w:rsid w:val="00195D73"/>
    <w:rsid w:val="00196EC2"/>
    <w:rsid w:val="001A0071"/>
    <w:rsid w:val="001A13AA"/>
    <w:rsid w:val="001A152E"/>
    <w:rsid w:val="001A1AB7"/>
    <w:rsid w:val="001A214C"/>
    <w:rsid w:val="001A2410"/>
    <w:rsid w:val="001A28C5"/>
    <w:rsid w:val="001A4A58"/>
    <w:rsid w:val="001A4BCC"/>
    <w:rsid w:val="001A6491"/>
    <w:rsid w:val="001A6B23"/>
    <w:rsid w:val="001A7216"/>
    <w:rsid w:val="001B0076"/>
    <w:rsid w:val="001B051B"/>
    <w:rsid w:val="001B1185"/>
    <w:rsid w:val="001B238A"/>
    <w:rsid w:val="001B2F1C"/>
    <w:rsid w:val="001B30AC"/>
    <w:rsid w:val="001B4306"/>
    <w:rsid w:val="001B522F"/>
    <w:rsid w:val="001B5E64"/>
    <w:rsid w:val="001B604A"/>
    <w:rsid w:val="001B666E"/>
    <w:rsid w:val="001B7B0E"/>
    <w:rsid w:val="001C0055"/>
    <w:rsid w:val="001C055A"/>
    <w:rsid w:val="001C1CF0"/>
    <w:rsid w:val="001C2C33"/>
    <w:rsid w:val="001C34EA"/>
    <w:rsid w:val="001C4473"/>
    <w:rsid w:val="001C46A9"/>
    <w:rsid w:val="001C5051"/>
    <w:rsid w:val="001C6506"/>
    <w:rsid w:val="001C72C9"/>
    <w:rsid w:val="001C7F32"/>
    <w:rsid w:val="001D08C3"/>
    <w:rsid w:val="001D3F03"/>
    <w:rsid w:val="001D45DA"/>
    <w:rsid w:val="001D49C7"/>
    <w:rsid w:val="001D56B5"/>
    <w:rsid w:val="001D5BBB"/>
    <w:rsid w:val="001D6ED1"/>
    <w:rsid w:val="001D7078"/>
    <w:rsid w:val="001D7864"/>
    <w:rsid w:val="001E0BE4"/>
    <w:rsid w:val="001E1CDE"/>
    <w:rsid w:val="001E1D05"/>
    <w:rsid w:val="001E1F3D"/>
    <w:rsid w:val="001E26F8"/>
    <w:rsid w:val="001E49B4"/>
    <w:rsid w:val="001E506A"/>
    <w:rsid w:val="001E71BB"/>
    <w:rsid w:val="001F0C63"/>
    <w:rsid w:val="001F1665"/>
    <w:rsid w:val="001F2D44"/>
    <w:rsid w:val="001F34CE"/>
    <w:rsid w:val="001F37E8"/>
    <w:rsid w:val="001F4642"/>
    <w:rsid w:val="001F4889"/>
    <w:rsid w:val="001F6841"/>
    <w:rsid w:val="001F7878"/>
    <w:rsid w:val="001F7D92"/>
    <w:rsid w:val="0020025F"/>
    <w:rsid w:val="002023DF"/>
    <w:rsid w:val="0020243B"/>
    <w:rsid w:val="00202989"/>
    <w:rsid w:val="00202C88"/>
    <w:rsid w:val="00203194"/>
    <w:rsid w:val="00203625"/>
    <w:rsid w:val="00204875"/>
    <w:rsid w:val="00204B51"/>
    <w:rsid w:val="00204BDB"/>
    <w:rsid w:val="00206A62"/>
    <w:rsid w:val="00207F05"/>
    <w:rsid w:val="00210D4A"/>
    <w:rsid w:val="00211CDA"/>
    <w:rsid w:val="00212BEC"/>
    <w:rsid w:val="0021360E"/>
    <w:rsid w:val="0021384C"/>
    <w:rsid w:val="00213E11"/>
    <w:rsid w:val="0021487B"/>
    <w:rsid w:val="00220977"/>
    <w:rsid w:val="002215AE"/>
    <w:rsid w:val="002217E9"/>
    <w:rsid w:val="00221F01"/>
    <w:rsid w:val="00222659"/>
    <w:rsid w:val="00224E74"/>
    <w:rsid w:val="00225272"/>
    <w:rsid w:val="00226F90"/>
    <w:rsid w:val="00227350"/>
    <w:rsid w:val="0022770D"/>
    <w:rsid w:val="00230223"/>
    <w:rsid w:val="002316E1"/>
    <w:rsid w:val="0023283D"/>
    <w:rsid w:val="0023344C"/>
    <w:rsid w:val="002343BD"/>
    <w:rsid w:val="00237881"/>
    <w:rsid w:val="0024052B"/>
    <w:rsid w:val="00242768"/>
    <w:rsid w:val="00242C68"/>
    <w:rsid w:val="00242CDF"/>
    <w:rsid w:val="00242CFE"/>
    <w:rsid w:val="002435B8"/>
    <w:rsid w:val="00251E2D"/>
    <w:rsid w:val="00252643"/>
    <w:rsid w:val="00254E6B"/>
    <w:rsid w:val="00260220"/>
    <w:rsid w:val="0026055B"/>
    <w:rsid w:val="00261698"/>
    <w:rsid w:val="00261A50"/>
    <w:rsid w:val="00264EA4"/>
    <w:rsid w:val="00265075"/>
    <w:rsid w:val="00265566"/>
    <w:rsid w:val="002718D3"/>
    <w:rsid w:val="00273767"/>
    <w:rsid w:val="00275472"/>
    <w:rsid w:val="00275E11"/>
    <w:rsid w:val="00277C01"/>
    <w:rsid w:val="002804C1"/>
    <w:rsid w:val="00281404"/>
    <w:rsid w:val="002816CA"/>
    <w:rsid w:val="00281B46"/>
    <w:rsid w:val="0028313D"/>
    <w:rsid w:val="00284DAD"/>
    <w:rsid w:val="00285620"/>
    <w:rsid w:val="00286AB8"/>
    <w:rsid w:val="00286D29"/>
    <w:rsid w:val="00286D79"/>
    <w:rsid w:val="00286DA0"/>
    <w:rsid w:val="0029043A"/>
    <w:rsid w:val="00290C49"/>
    <w:rsid w:val="00291AE7"/>
    <w:rsid w:val="00292202"/>
    <w:rsid w:val="00292355"/>
    <w:rsid w:val="00292E24"/>
    <w:rsid w:val="002936E7"/>
    <w:rsid w:val="0029429F"/>
    <w:rsid w:val="002951A2"/>
    <w:rsid w:val="00295644"/>
    <w:rsid w:val="002975C8"/>
    <w:rsid w:val="002A36C1"/>
    <w:rsid w:val="002A4DB7"/>
    <w:rsid w:val="002A50F9"/>
    <w:rsid w:val="002A56E8"/>
    <w:rsid w:val="002A67BD"/>
    <w:rsid w:val="002A68F8"/>
    <w:rsid w:val="002B4B32"/>
    <w:rsid w:val="002B60A9"/>
    <w:rsid w:val="002B64DD"/>
    <w:rsid w:val="002C0177"/>
    <w:rsid w:val="002C08C6"/>
    <w:rsid w:val="002C0BD1"/>
    <w:rsid w:val="002C1808"/>
    <w:rsid w:val="002C2188"/>
    <w:rsid w:val="002C24B1"/>
    <w:rsid w:val="002C2E52"/>
    <w:rsid w:val="002C35DA"/>
    <w:rsid w:val="002C446E"/>
    <w:rsid w:val="002C6609"/>
    <w:rsid w:val="002C7B92"/>
    <w:rsid w:val="002D2041"/>
    <w:rsid w:val="002D35DC"/>
    <w:rsid w:val="002D3B4C"/>
    <w:rsid w:val="002D3E06"/>
    <w:rsid w:val="002D4A92"/>
    <w:rsid w:val="002D4C7D"/>
    <w:rsid w:val="002D5F55"/>
    <w:rsid w:val="002D7C0D"/>
    <w:rsid w:val="002D7DF5"/>
    <w:rsid w:val="002E0128"/>
    <w:rsid w:val="002E27A7"/>
    <w:rsid w:val="002E366F"/>
    <w:rsid w:val="002E42D6"/>
    <w:rsid w:val="002E4BA5"/>
    <w:rsid w:val="002E6CB7"/>
    <w:rsid w:val="002F0754"/>
    <w:rsid w:val="002F0CA5"/>
    <w:rsid w:val="002F0FBB"/>
    <w:rsid w:val="002F163E"/>
    <w:rsid w:val="002F1821"/>
    <w:rsid w:val="002F1E17"/>
    <w:rsid w:val="002F2045"/>
    <w:rsid w:val="002F22CE"/>
    <w:rsid w:val="002F3AC1"/>
    <w:rsid w:val="002F3EF3"/>
    <w:rsid w:val="002F46F9"/>
    <w:rsid w:val="002F54BA"/>
    <w:rsid w:val="00300652"/>
    <w:rsid w:val="00303CF3"/>
    <w:rsid w:val="003043CA"/>
    <w:rsid w:val="00305B50"/>
    <w:rsid w:val="00306134"/>
    <w:rsid w:val="0030669C"/>
    <w:rsid w:val="0030731C"/>
    <w:rsid w:val="00310B2B"/>
    <w:rsid w:val="003123C0"/>
    <w:rsid w:val="0031272E"/>
    <w:rsid w:val="00312DA6"/>
    <w:rsid w:val="003143C0"/>
    <w:rsid w:val="00314C1A"/>
    <w:rsid w:val="00316472"/>
    <w:rsid w:val="00317466"/>
    <w:rsid w:val="00320A5A"/>
    <w:rsid w:val="0032554B"/>
    <w:rsid w:val="00326454"/>
    <w:rsid w:val="003271F3"/>
    <w:rsid w:val="00327A09"/>
    <w:rsid w:val="00331635"/>
    <w:rsid w:val="003319E8"/>
    <w:rsid w:val="00332C2A"/>
    <w:rsid w:val="00334B95"/>
    <w:rsid w:val="00336AE3"/>
    <w:rsid w:val="0033730C"/>
    <w:rsid w:val="00337839"/>
    <w:rsid w:val="003404F4"/>
    <w:rsid w:val="00340B46"/>
    <w:rsid w:val="003415E5"/>
    <w:rsid w:val="00341A13"/>
    <w:rsid w:val="0034209D"/>
    <w:rsid w:val="00342787"/>
    <w:rsid w:val="00350BCF"/>
    <w:rsid w:val="00352531"/>
    <w:rsid w:val="0035429A"/>
    <w:rsid w:val="0035579E"/>
    <w:rsid w:val="003569DB"/>
    <w:rsid w:val="0036167C"/>
    <w:rsid w:val="00362BAD"/>
    <w:rsid w:val="003632E0"/>
    <w:rsid w:val="0036461A"/>
    <w:rsid w:val="00364807"/>
    <w:rsid w:val="0036565B"/>
    <w:rsid w:val="00365986"/>
    <w:rsid w:val="0037004D"/>
    <w:rsid w:val="00370432"/>
    <w:rsid w:val="00370BD2"/>
    <w:rsid w:val="00371819"/>
    <w:rsid w:val="00372C5A"/>
    <w:rsid w:val="00374027"/>
    <w:rsid w:val="00375511"/>
    <w:rsid w:val="00375C66"/>
    <w:rsid w:val="0037604D"/>
    <w:rsid w:val="003768B3"/>
    <w:rsid w:val="00377386"/>
    <w:rsid w:val="00377AF0"/>
    <w:rsid w:val="00377F06"/>
    <w:rsid w:val="003822E0"/>
    <w:rsid w:val="00383347"/>
    <w:rsid w:val="003835D0"/>
    <w:rsid w:val="003874A2"/>
    <w:rsid w:val="003874DF"/>
    <w:rsid w:val="00391FDA"/>
    <w:rsid w:val="00395A8C"/>
    <w:rsid w:val="00397293"/>
    <w:rsid w:val="00397C0A"/>
    <w:rsid w:val="003A0637"/>
    <w:rsid w:val="003A0A38"/>
    <w:rsid w:val="003A1537"/>
    <w:rsid w:val="003A1A13"/>
    <w:rsid w:val="003A2AE2"/>
    <w:rsid w:val="003A57C0"/>
    <w:rsid w:val="003A602C"/>
    <w:rsid w:val="003A6279"/>
    <w:rsid w:val="003B196E"/>
    <w:rsid w:val="003B1E30"/>
    <w:rsid w:val="003B2161"/>
    <w:rsid w:val="003B2463"/>
    <w:rsid w:val="003B4426"/>
    <w:rsid w:val="003B4C5A"/>
    <w:rsid w:val="003B53AE"/>
    <w:rsid w:val="003B62AE"/>
    <w:rsid w:val="003B62DB"/>
    <w:rsid w:val="003B6798"/>
    <w:rsid w:val="003B7011"/>
    <w:rsid w:val="003C03E9"/>
    <w:rsid w:val="003C0DB6"/>
    <w:rsid w:val="003C1856"/>
    <w:rsid w:val="003C4A65"/>
    <w:rsid w:val="003C7333"/>
    <w:rsid w:val="003C7760"/>
    <w:rsid w:val="003D0117"/>
    <w:rsid w:val="003D03B1"/>
    <w:rsid w:val="003D0891"/>
    <w:rsid w:val="003D0DBA"/>
    <w:rsid w:val="003D1B1D"/>
    <w:rsid w:val="003D4E45"/>
    <w:rsid w:val="003D579F"/>
    <w:rsid w:val="003D5FAA"/>
    <w:rsid w:val="003D73A1"/>
    <w:rsid w:val="003E080D"/>
    <w:rsid w:val="003E0860"/>
    <w:rsid w:val="003E0D0A"/>
    <w:rsid w:val="003E1867"/>
    <w:rsid w:val="003E4B63"/>
    <w:rsid w:val="003E50DD"/>
    <w:rsid w:val="003E60EF"/>
    <w:rsid w:val="003E69AE"/>
    <w:rsid w:val="003E6EFB"/>
    <w:rsid w:val="003E767E"/>
    <w:rsid w:val="003F25C9"/>
    <w:rsid w:val="003F2B83"/>
    <w:rsid w:val="003F35FF"/>
    <w:rsid w:val="003F38D3"/>
    <w:rsid w:val="003F4528"/>
    <w:rsid w:val="003F5009"/>
    <w:rsid w:val="004013E4"/>
    <w:rsid w:val="00406791"/>
    <w:rsid w:val="00406B70"/>
    <w:rsid w:val="00410AE3"/>
    <w:rsid w:val="00414EB0"/>
    <w:rsid w:val="0041546E"/>
    <w:rsid w:val="004157A7"/>
    <w:rsid w:val="00416955"/>
    <w:rsid w:val="00416B44"/>
    <w:rsid w:val="00422472"/>
    <w:rsid w:val="004229B4"/>
    <w:rsid w:val="004262BA"/>
    <w:rsid w:val="00427115"/>
    <w:rsid w:val="00427474"/>
    <w:rsid w:val="00432772"/>
    <w:rsid w:val="004333F7"/>
    <w:rsid w:val="00433622"/>
    <w:rsid w:val="00433DC0"/>
    <w:rsid w:val="00434597"/>
    <w:rsid w:val="00434829"/>
    <w:rsid w:val="00434D90"/>
    <w:rsid w:val="0043564C"/>
    <w:rsid w:val="00436D8A"/>
    <w:rsid w:val="00440AB7"/>
    <w:rsid w:val="00440CB0"/>
    <w:rsid w:val="00441605"/>
    <w:rsid w:val="00441C08"/>
    <w:rsid w:val="00442952"/>
    <w:rsid w:val="00443D9A"/>
    <w:rsid w:val="00444AB1"/>
    <w:rsid w:val="00444B82"/>
    <w:rsid w:val="00444D3B"/>
    <w:rsid w:val="0044598E"/>
    <w:rsid w:val="0044641A"/>
    <w:rsid w:val="0045017B"/>
    <w:rsid w:val="00450F94"/>
    <w:rsid w:val="004515C4"/>
    <w:rsid w:val="00454461"/>
    <w:rsid w:val="00454946"/>
    <w:rsid w:val="00455880"/>
    <w:rsid w:val="004563D8"/>
    <w:rsid w:val="00460039"/>
    <w:rsid w:val="0046035C"/>
    <w:rsid w:val="00460434"/>
    <w:rsid w:val="00461877"/>
    <w:rsid w:val="004626AC"/>
    <w:rsid w:val="004637D8"/>
    <w:rsid w:val="004640E2"/>
    <w:rsid w:val="00464CF8"/>
    <w:rsid w:val="004651EB"/>
    <w:rsid w:val="00465A57"/>
    <w:rsid w:val="00465B24"/>
    <w:rsid w:val="00466404"/>
    <w:rsid w:val="004665AD"/>
    <w:rsid w:val="004675B4"/>
    <w:rsid w:val="004675C1"/>
    <w:rsid w:val="00470EA0"/>
    <w:rsid w:val="004713A6"/>
    <w:rsid w:val="00471443"/>
    <w:rsid w:val="00471A2D"/>
    <w:rsid w:val="004732F5"/>
    <w:rsid w:val="00473340"/>
    <w:rsid w:val="00474375"/>
    <w:rsid w:val="00474E37"/>
    <w:rsid w:val="00476807"/>
    <w:rsid w:val="00476F60"/>
    <w:rsid w:val="00477C1E"/>
    <w:rsid w:val="004804B6"/>
    <w:rsid w:val="00480CAC"/>
    <w:rsid w:val="00481B7C"/>
    <w:rsid w:val="00482EA3"/>
    <w:rsid w:val="0048460C"/>
    <w:rsid w:val="00484C16"/>
    <w:rsid w:val="0048519E"/>
    <w:rsid w:val="0048675E"/>
    <w:rsid w:val="00487242"/>
    <w:rsid w:val="004879CD"/>
    <w:rsid w:val="00490FE2"/>
    <w:rsid w:val="00491A28"/>
    <w:rsid w:val="00491EBA"/>
    <w:rsid w:val="00492109"/>
    <w:rsid w:val="004925C2"/>
    <w:rsid w:val="004945C4"/>
    <w:rsid w:val="00494ED3"/>
    <w:rsid w:val="00495D59"/>
    <w:rsid w:val="00496190"/>
    <w:rsid w:val="004962DF"/>
    <w:rsid w:val="004A19EC"/>
    <w:rsid w:val="004A21B0"/>
    <w:rsid w:val="004A2CD8"/>
    <w:rsid w:val="004A2FF3"/>
    <w:rsid w:val="004A3359"/>
    <w:rsid w:val="004A3433"/>
    <w:rsid w:val="004A4DFA"/>
    <w:rsid w:val="004A50B0"/>
    <w:rsid w:val="004A7519"/>
    <w:rsid w:val="004B0312"/>
    <w:rsid w:val="004B0641"/>
    <w:rsid w:val="004B11DC"/>
    <w:rsid w:val="004B2302"/>
    <w:rsid w:val="004B2DE9"/>
    <w:rsid w:val="004B3384"/>
    <w:rsid w:val="004B3725"/>
    <w:rsid w:val="004B3A9D"/>
    <w:rsid w:val="004B511C"/>
    <w:rsid w:val="004B5818"/>
    <w:rsid w:val="004C0131"/>
    <w:rsid w:val="004C0A88"/>
    <w:rsid w:val="004C15C6"/>
    <w:rsid w:val="004C2262"/>
    <w:rsid w:val="004C2AD6"/>
    <w:rsid w:val="004C2D65"/>
    <w:rsid w:val="004C31C2"/>
    <w:rsid w:val="004C36F4"/>
    <w:rsid w:val="004C3994"/>
    <w:rsid w:val="004C3A43"/>
    <w:rsid w:val="004C3D9B"/>
    <w:rsid w:val="004C3FD0"/>
    <w:rsid w:val="004C431C"/>
    <w:rsid w:val="004C4794"/>
    <w:rsid w:val="004C47AE"/>
    <w:rsid w:val="004C51DA"/>
    <w:rsid w:val="004C58A8"/>
    <w:rsid w:val="004C5BA2"/>
    <w:rsid w:val="004C60EC"/>
    <w:rsid w:val="004D153C"/>
    <w:rsid w:val="004D2A72"/>
    <w:rsid w:val="004D375E"/>
    <w:rsid w:val="004D48C9"/>
    <w:rsid w:val="004D4F51"/>
    <w:rsid w:val="004D53A4"/>
    <w:rsid w:val="004D60EB"/>
    <w:rsid w:val="004D65B1"/>
    <w:rsid w:val="004D6706"/>
    <w:rsid w:val="004D7A05"/>
    <w:rsid w:val="004D7A1B"/>
    <w:rsid w:val="004E0216"/>
    <w:rsid w:val="004E207B"/>
    <w:rsid w:val="004E21E0"/>
    <w:rsid w:val="004E2ACC"/>
    <w:rsid w:val="004E3B8D"/>
    <w:rsid w:val="004E3DAC"/>
    <w:rsid w:val="004E3FEB"/>
    <w:rsid w:val="004E496D"/>
    <w:rsid w:val="004E4C60"/>
    <w:rsid w:val="004E555F"/>
    <w:rsid w:val="004E6F97"/>
    <w:rsid w:val="004E7F13"/>
    <w:rsid w:val="004F0647"/>
    <w:rsid w:val="004F097D"/>
    <w:rsid w:val="004F108C"/>
    <w:rsid w:val="004F1EEB"/>
    <w:rsid w:val="004F2044"/>
    <w:rsid w:val="004F3368"/>
    <w:rsid w:val="004F36EE"/>
    <w:rsid w:val="004F3EA9"/>
    <w:rsid w:val="004F4D6C"/>
    <w:rsid w:val="004F5A05"/>
    <w:rsid w:val="004F7237"/>
    <w:rsid w:val="0050057A"/>
    <w:rsid w:val="0050108E"/>
    <w:rsid w:val="00501263"/>
    <w:rsid w:val="005013D6"/>
    <w:rsid w:val="005047EE"/>
    <w:rsid w:val="00504A4B"/>
    <w:rsid w:val="00506750"/>
    <w:rsid w:val="00506851"/>
    <w:rsid w:val="00507F30"/>
    <w:rsid w:val="00511172"/>
    <w:rsid w:val="00511A7A"/>
    <w:rsid w:val="00511F49"/>
    <w:rsid w:val="00512256"/>
    <w:rsid w:val="00512499"/>
    <w:rsid w:val="005131D0"/>
    <w:rsid w:val="005135F9"/>
    <w:rsid w:val="005171D7"/>
    <w:rsid w:val="0052370B"/>
    <w:rsid w:val="005242AD"/>
    <w:rsid w:val="00526768"/>
    <w:rsid w:val="00527E08"/>
    <w:rsid w:val="005315E1"/>
    <w:rsid w:val="00532033"/>
    <w:rsid w:val="00532931"/>
    <w:rsid w:val="00532E28"/>
    <w:rsid w:val="005403ED"/>
    <w:rsid w:val="00540FF3"/>
    <w:rsid w:val="00542D99"/>
    <w:rsid w:val="005474E2"/>
    <w:rsid w:val="00552FD8"/>
    <w:rsid w:val="00553071"/>
    <w:rsid w:val="00553620"/>
    <w:rsid w:val="005555BA"/>
    <w:rsid w:val="005558B1"/>
    <w:rsid w:val="00556FEF"/>
    <w:rsid w:val="00557243"/>
    <w:rsid w:val="00557AB9"/>
    <w:rsid w:val="00560859"/>
    <w:rsid w:val="0056086D"/>
    <w:rsid w:val="005623D4"/>
    <w:rsid w:val="00562D1B"/>
    <w:rsid w:val="00562D8B"/>
    <w:rsid w:val="005647AD"/>
    <w:rsid w:val="00564E70"/>
    <w:rsid w:val="00565C9F"/>
    <w:rsid w:val="00566B07"/>
    <w:rsid w:val="00567F60"/>
    <w:rsid w:val="0057093A"/>
    <w:rsid w:val="00570D19"/>
    <w:rsid w:val="00571BBF"/>
    <w:rsid w:val="005732C2"/>
    <w:rsid w:val="00574543"/>
    <w:rsid w:val="00574A13"/>
    <w:rsid w:val="00574B5A"/>
    <w:rsid w:val="00574BE4"/>
    <w:rsid w:val="005768DF"/>
    <w:rsid w:val="0057758B"/>
    <w:rsid w:val="0057792F"/>
    <w:rsid w:val="005816D0"/>
    <w:rsid w:val="00582FF1"/>
    <w:rsid w:val="00583868"/>
    <w:rsid w:val="0058476A"/>
    <w:rsid w:val="005877BF"/>
    <w:rsid w:val="0059144D"/>
    <w:rsid w:val="005918CE"/>
    <w:rsid w:val="00596B8C"/>
    <w:rsid w:val="0059702A"/>
    <w:rsid w:val="00597871"/>
    <w:rsid w:val="00597C03"/>
    <w:rsid w:val="005A02F1"/>
    <w:rsid w:val="005A1353"/>
    <w:rsid w:val="005A2C52"/>
    <w:rsid w:val="005A52DE"/>
    <w:rsid w:val="005A6926"/>
    <w:rsid w:val="005A74CB"/>
    <w:rsid w:val="005B0574"/>
    <w:rsid w:val="005B1D2F"/>
    <w:rsid w:val="005B1EC6"/>
    <w:rsid w:val="005B21EC"/>
    <w:rsid w:val="005B255C"/>
    <w:rsid w:val="005B46FB"/>
    <w:rsid w:val="005C2545"/>
    <w:rsid w:val="005C262F"/>
    <w:rsid w:val="005C3708"/>
    <w:rsid w:val="005C4CC1"/>
    <w:rsid w:val="005C56D8"/>
    <w:rsid w:val="005C5EAF"/>
    <w:rsid w:val="005C649F"/>
    <w:rsid w:val="005C6596"/>
    <w:rsid w:val="005C77F0"/>
    <w:rsid w:val="005D0D15"/>
    <w:rsid w:val="005D1B1A"/>
    <w:rsid w:val="005D1D49"/>
    <w:rsid w:val="005D44BB"/>
    <w:rsid w:val="005D5732"/>
    <w:rsid w:val="005D75BF"/>
    <w:rsid w:val="005E04F3"/>
    <w:rsid w:val="005E0C1F"/>
    <w:rsid w:val="005E13B7"/>
    <w:rsid w:val="005E3099"/>
    <w:rsid w:val="005E3B15"/>
    <w:rsid w:val="005E7515"/>
    <w:rsid w:val="005E770F"/>
    <w:rsid w:val="005E7D38"/>
    <w:rsid w:val="005F28E6"/>
    <w:rsid w:val="005F31D3"/>
    <w:rsid w:val="005F40BE"/>
    <w:rsid w:val="005F4998"/>
    <w:rsid w:val="005F62EE"/>
    <w:rsid w:val="005F63B2"/>
    <w:rsid w:val="006012A0"/>
    <w:rsid w:val="00611605"/>
    <w:rsid w:val="00613D90"/>
    <w:rsid w:val="0061427D"/>
    <w:rsid w:val="00614D32"/>
    <w:rsid w:val="00617F20"/>
    <w:rsid w:val="006206D3"/>
    <w:rsid w:val="00620AD9"/>
    <w:rsid w:val="006213B0"/>
    <w:rsid w:val="00622CEC"/>
    <w:rsid w:val="00625F1C"/>
    <w:rsid w:val="006316CA"/>
    <w:rsid w:val="0063217B"/>
    <w:rsid w:val="00632A52"/>
    <w:rsid w:val="00634141"/>
    <w:rsid w:val="00634899"/>
    <w:rsid w:val="00635243"/>
    <w:rsid w:val="006373FD"/>
    <w:rsid w:val="00643079"/>
    <w:rsid w:val="00644339"/>
    <w:rsid w:val="0064484F"/>
    <w:rsid w:val="00645560"/>
    <w:rsid w:val="00645EC8"/>
    <w:rsid w:val="00646D8D"/>
    <w:rsid w:val="00647CF7"/>
    <w:rsid w:val="00647ECB"/>
    <w:rsid w:val="0065063B"/>
    <w:rsid w:val="006517A5"/>
    <w:rsid w:val="006529B6"/>
    <w:rsid w:val="00652EF6"/>
    <w:rsid w:val="00653AE7"/>
    <w:rsid w:val="006546B4"/>
    <w:rsid w:val="00654B3F"/>
    <w:rsid w:val="006555DD"/>
    <w:rsid w:val="00655F8F"/>
    <w:rsid w:val="00660E5A"/>
    <w:rsid w:val="0066730C"/>
    <w:rsid w:val="006674DD"/>
    <w:rsid w:val="006704AC"/>
    <w:rsid w:val="006746E9"/>
    <w:rsid w:val="0067693F"/>
    <w:rsid w:val="006771BD"/>
    <w:rsid w:val="00677354"/>
    <w:rsid w:val="00680FFB"/>
    <w:rsid w:val="00681C89"/>
    <w:rsid w:val="006825DA"/>
    <w:rsid w:val="006846AB"/>
    <w:rsid w:val="00684CF5"/>
    <w:rsid w:val="0068573D"/>
    <w:rsid w:val="00686081"/>
    <w:rsid w:val="0068673B"/>
    <w:rsid w:val="00687CBC"/>
    <w:rsid w:val="00690146"/>
    <w:rsid w:val="0069230C"/>
    <w:rsid w:val="00693898"/>
    <w:rsid w:val="00693BFA"/>
    <w:rsid w:val="00694550"/>
    <w:rsid w:val="006A05B3"/>
    <w:rsid w:val="006A1BF0"/>
    <w:rsid w:val="006A3674"/>
    <w:rsid w:val="006A4D87"/>
    <w:rsid w:val="006A5EF0"/>
    <w:rsid w:val="006B1B33"/>
    <w:rsid w:val="006B1B50"/>
    <w:rsid w:val="006B2C74"/>
    <w:rsid w:val="006B2C9D"/>
    <w:rsid w:val="006B2EC1"/>
    <w:rsid w:val="006B31B8"/>
    <w:rsid w:val="006B3A89"/>
    <w:rsid w:val="006B4B83"/>
    <w:rsid w:val="006B56E9"/>
    <w:rsid w:val="006B5A21"/>
    <w:rsid w:val="006B797D"/>
    <w:rsid w:val="006B7B40"/>
    <w:rsid w:val="006C0F50"/>
    <w:rsid w:val="006C0FD0"/>
    <w:rsid w:val="006C1BD3"/>
    <w:rsid w:val="006C3851"/>
    <w:rsid w:val="006D0C53"/>
    <w:rsid w:val="006D0C69"/>
    <w:rsid w:val="006D0FAE"/>
    <w:rsid w:val="006D2055"/>
    <w:rsid w:val="006D2FC2"/>
    <w:rsid w:val="006D3E52"/>
    <w:rsid w:val="006D7C6E"/>
    <w:rsid w:val="006E15EE"/>
    <w:rsid w:val="006E1C75"/>
    <w:rsid w:val="006E395A"/>
    <w:rsid w:val="006E39C9"/>
    <w:rsid w:val="006E3CE4"/>
    <w:rsid w:val="006E48EA"/>
    <w:rsid w:val="006E4BC1"/>
    <w:rsid w:val="006E4CDB"/>
    <w:rsid w:val="006E7B6B"/>
    <w:rsid w:val="006F0C99"/>
    <w:rsid w:val="006F658C"/>
    <w:rsid w:val="006F66CB"/>
    <w:rsid w:val="006F706A"/>
    <w:rsid w:val="006F7285"/>
    <w:rsid w:val="00700F58"/>
    <w:rsid w:val="007015E8"/>
    <w:rsid w:val="00701AF1"/>
    <w:rsid w:val="00701C4B"/>
    <w:rsid w:val="00701D24"/>
    <w:rsid w:val="007020DD"/>
    <w:rsid w:val="007024A0"/>
    <w:rsid w:val="007024BC"/>
    <w:rsid w:val="00702E0D"/>
    <w:rsid w:val="00704141"/>
    <w:rsid w:val="00705BAA"/>
    <w:rsid w:val="0071010C"/>
    <w:rsid w:val="00711A40"/>
    <w:rsid w:val="00713ADB"/>
    <w:rsid w:val="007145DA"/>
    <w:rsid w:val="00714887"/>
    <w:rsid w:val="00714EB0"/>
    <w:rsid w:val="007219E9"/>
    <w:rsid w:val="007232D6"/>
    <w:rsid w:val="00724D01"/>
    <w:rsid w:val="007279AF"/>
    <w:rsid w:val="00730057"/>
    <w:rsid w:val="00730701"/>
    <w:rsid w:val="00730E85"/>
    <w:rsid w:val="00731126"/>
    <w:rsid w:val="00732347"/>
    <w:rsid w:val="00732916"/>
    <w:rsid w:val="0073316D"/>
    <w:rsid w:val="00736E0F"/>
    <w:rsid w:val="0073720B"/>
    <w:rsid w:val="007375D4"/>
    <w:rsid w:val="007379F0"/>
    <w:rsid w:val="0074054B"/>
    <w:rsid w:val="00740C07"/>
    <w:rsid w:val="00740E19"/>
    <w:rsid w:val="007416DF"/>
    <w:rsid w:val="00742730"/>
    <w:rsid w:val="00742B28"/>
    <w:rsid w:val="00743B43"/>
    <w:rsid w:val="0074441E"/>
    <w:rsid w:val="00744494"/>
    <w:rsid w:val="007448D7"/>
    <w:rsid w:val="00744A80"/>
    <w:rsid w:val="00744C9A"/>
    <w:rsid w:val="007509AC"/>
    <w:rsid w:val="0075219B"/>
    <w:rsid w:val="00752F9B"/>
    <w:rsid w:val="00753859"/>
    <w:rsid w:val="00754196"/>
    <w:rsid w:val="00756FD1"/>
    <w:rsid w:val="007576B6"/>
    <w:rsid w:val="00760AAD"/>
    <w:rsid w:val="00760C05"/>
    <w:rsid w:val="0076243D"/>
    <w:rsid w:val="0076549E"/>
    <w:rsid w:val="00765A70"/>
    <w:rsid w:val="00766ACB"/>
    <w:rsid w:val="007701F0"/>
    <w:rsid w:val="007714F6"/>
    <w:rsid w:val="00771ED0"/>
    <w:rsid w:val="00772358"/>
    <w:rsid w:val="00773A76"/>
    <w:rsid w:val="007740BC"/>
    <w:rsid w:val="0077476D"/>
    <w:rsid w:val="00774BBD"/>
    <w:rsid w:val="007751FE"/>
    <w:rsid w:val="00776CD5"/>
    <w:rsid w:val="00777C25"/>
    <w:rsid w:val="007809F4"/>
    <w:rsid w:val="007815E2"/>
    <w:rsid w:val="007836FC"/>
    <w:rsid w:val="00784280"/>
    <w:rsid w:val="007855A1"/>
    <w:rsid w:val="00785E93"/>
    <w:rsid w:val="00786B04"/>
    <w:rsid w:val="00787C69"/>
    <w:rsid w:val="007909F7"/>
    <w:rsid w:val="00790C06"/>
    <w:rsid w:val="00791D42"/>
    <w:rsid w:val="00791EBE"/>
    <w:rsid w:val="00792A59"/>
    <w:rsid w:val="00793BF6"/>
    <w:rsid w:val="00793EB0"/>
    <w:rsid w:val="007942A5"/>
    <w:rsid w:val="0079503D"/>
    <w:rsid w:val="0079581E"/>
    <w:rsid w:val="00795ED2"/>
    <w:rsid w:val="007A005E"/>
    <w:rsid w:val="007A11F1"/>
    <w:rsid w:val="007A2018"/>
    <w:rsid w:val="007A3793"/>
    <w:rsid w:val="007A4273"/>
    <w:rsid w:val="007A47D4"/>
    <w:rsid w:val="007A54DC"/>
    <w:rsid w:val="007A640D"/>
    <w:rsid w:val="007B0080"/>
    <w:rsid w:val="007B02E4"/>
    <w:rsid w:val="007B03F9"/>
    <w:rsid w:val="007B06CF"/>
    <w:rsid w:val="007B1874"/>
    <w:rsid w:val="007B3137"/>
    <w:rsid w:val="007B5416"/>
    <w:rsid w:val="007B64C9"/>
    <w:rsid w:val="007B672B"/>
    <w:rsid w:val="007C00F8"/>
    <w:rsid w:val="007C1470"/>
    <w:rsid w:val="007C173A"/>
    <w:rsid w:val="007C25F1"/>
    <w:rsid w:val="007C381B"/>
    <w:rsid w:val="007C3E47"/>
    <w:rsid w:val="007C44B7"/>
    <w:rsid w:val="007C57C8"/>
    <w:rsid w:val="007C5C60"/>
    <w:rsid w:val="007C6681"/>
    <w:rsid w:val="007D03B8"/>
    <w:rsid w:val="007D167F"/>
    <w:rsid w:val="007D17F7"/>
    <w:rsid w:val="007D26A2"/>
    <w:rsid w:val="007D31A5"/>
    <w:rsid w:val="007D3ECF"/>
    <w:rsid w:val="007D721B"/>
    <w:rsid w:val="007D721F"/>
    <w:rsid w:val="007E0597"/>
    <w:rsid w:val="007E1528"/>
    <w:rsid w:val="007E60DE"/>
    <w:rsid w:val="007F0043"/>
    <w:rsid w:val="007F1E9E"/>
    <w:rsid w:val="007F459C"/>
    <w:rsid w:val="007F474F"/>
    <w:rsid w:val="007F517E"/>
    <w:rsid w:val="007F6C60"/>
    <w:rsid w:val="007F7A1C"/>
    <w:rsid w:val="00800B3E"/>
    <w:rsid w:val="0080209D"/>
    <w:rsid w:val="008026AE"/>
    <w:rsid w:val="00803393"/>
    <w:rsid w:val="00806599"/>
    <w:rsid w:val="00806FB7"/>
    <w:rsid w:val="00812AE2"/>
    <w:rsid w:val="00814285"/>
    <w:rsid w:val="00814C9F"/>
    <w:rsid w:val="00815788"/>
    <w:rsid w:val="00815B06"/>
    <w:rsid w:val="0081632A"/>
    <w:rsid w:val="00820258"/>
    <w:rsid w:val="008204E3"/>
    <w:rsid w:val="008206A3"/>
    <w:rsid w:val="008208D1"/>
    <w:rsid w:val="00820B90"/>
    <w:rsid w:val="00821EFA"/>
    <w:rsid w:val="00822582"/>
    <w:rsid w:val="0082378B"/>
    <w:rsid w:val="00825CEE"/>
    <w:rsid w:val="0082604D"/>
    <w:rsid w:val="0082768C"/>
    <w:rsid w:val="00827E80"/>
    <w:rsid w:val="00830D4F"/>
    <w:rsid w:val="008321C3"/>
    <w:rsid w:val="0083372B"/>
    <w:rsid w:val="00833800"/>
    <w:rsid w:val="00833F0F"/>
    <w:rsid w:val="008350D3"/>
    <w:rsid w:val="008356B0"/>
    <w:rsid w:val="0083694F"/>
    <w:rsid w:val="00836CF3"/>
    <w:rsid w:val="00840132"/>
    <w:rsid w:val="00842C11"/>
    <w:rsid w:val="00843061"/>
    <w:rsid w:val="00844B4A"/>
    <w:rsid w:val="0085216A"/>
    <w:rsid w:val="008521AC"/>
    <w:rsid w:val="0085615D"/>
    <w:rsid w:val="008611B7"/>
    <w:rsid w:val="00861E33"/>
    <w:rsid w:val="00862274"/>
    <w:rsid w:val="00862FEA"/>
    <w:rsid w:val="00863E30"/>
    <w:rsid w:val="00864E2E"/>
    <w:rsid w:val="00864E3C"/>
    <w:rsid w:val="00866D2A"/>
    <w:rsid w:val="00867465"/>
    <w:rsid w:val="008753F6"/>
    <w:rsid w:val="008755F2"/>
    <w:rsid w:val="0087605E"/>
    <w:rsid w:val="008764B5"/>
    <w:rsid w:val="008766A4"/>
    <w:rsid w:val="0088037F"/>
    <w:rsid w:val="008818DC"/>
    <w:rsid w:val="008838A7"/>
    <w:rsid w:val="00883CE5"/>
    <w:rsid w:val="00883CF3"/>
    <w:rsid w:val="008858BA"/>
    <w:rsid w:val="00886320"/>
    <w:rsid w:val="00886B3C"/>
    <w:rsid w:val="008871FD"/>
    <w:rsid w:val="00891CEA"/>
    <w:rsid w:val="00891E3E"/>
    <w:rsid w:val="00892BCA"/>
    <w:rsid w:val="00892F61"/>
    <w:rsid w:val="00893601"/>
    <w:rsid w:val="00894D2B"/>
    <w:rsid w:val="008A0395"/>
    <w:rsid w:val="008A0C13"/>
    <w:rsid w:val="008A0DA7"/>
    <w:rsid w:val="008A11AE"/>
    <w:rsid w:val="008A18F4"/>
    <w:rsid w:val="008A2E49"/>
    <w:rsid w:val="008A47F0"/>
    <w:rsid w:val="008A70A2"/>
    <w:rsid w:val="008A75D0"/>
    <w:rsid w:val="008B0F53"/>
    <w:rsid w:val="008B2229"/>
    <w:rsid w:val="008B23E2"/>
    <w:rsid w:val="008B2E17"/>
    <w:rsid w:val="008B4FD0"/>
    <w:rsid w:val="008B6A95"/>
    <w:rsid w:val="008B7FEF"/>
    <w:rsid w:val="008C054C"/>
    <w:rsid w:val="008C2C16"/>
    <w:rsid w:val="008C4A16"/>
    <w:rsid w:val="008C4AC1"/>
    <w:rsid w:val="008C4B36"/>
    <w:rsid w:val="008C5100"/>
    <w:rsid w:val="008C5910"/>
    <w:rsid w:val="008C5DD1"/>
    <w:rsid w:val="008C6E6E"/>
    <w:rsid w:val="008C705A"/>
    <w:rsid w:val="008C706D"/>
    <w:rsid w:val="008D3BF5"/>
    <w:rsid w:val="008D3FE9"/>
    <w:rsid w:val="008D5B67"/>
    <w:rsid w:val="008D5DBA"/>
    <w:rsid w:val="008E1594"/>
    <w:rsid w:val="008E2D5F"/>
    <w:rsid w:val="008E373F"/>
    <w:rsid w:val="008E39FF"/>
    <w:rsid w:val="008E3D93"/>
    <w:rsid w:val="008E4F79"/>
    <w:rsid w:val="008E6BEC"/>
    <w:rsid w:val="008E7251"/>
    <w:rsid w:val="008F0681"/>
    <w:rsid w:val="008F0F06"/>
    <w:rsid w:val="008F1CB7"/>
    <w:rsid w:val="008F1DBF"/>
    <w:rsid w:val="008F4B89"/>
    <w:rsid w:val="008F53D9"/>
    <w:rsid w:val="008F6E50"/>
    <w:rsid w:val="008F7DBD"/>
    <w:rsid w:val="00900084"/>
    <w:rsid w:val="0090077F"/>
    <w:rsid w:val="00900A65"/>
    <w:rsid w:val="00900EFA"/>
    <w:rsid w:val="009030C2"/>
    <w:rsid w:val="0090372E"/>
    <w:rsid w:val="0090395B"/>
    <w:rsid w:val="00903F8E"/>
    <w:rsid w:val="0090409E"/>
    <w:rsid w:val="0090559F"/>
    <w:rsid w:val="009077CC"/>
    <w:rsid w:val="00910C7F"/>
    <w:rsid w:val="00910C95"/>
    <w:rsid w:val="0091115B"/>
    <w:rsid w:val="0091183F"/>
    <w:rsid w:val="0091467F"/>
    <w:rsid w:val="00917056"/>
    <w:rsid w:val="009174A8"/>
    <w:rsid w:val="00917B16"/>
    <w:rsid w:val="00920DCB"/>
    <w:rsid w:val="00922AC4"/>
    <w:rsid w:val="0092379A"/>
    <w:rsid w:val="009244FB"/>
    <w:rsid w:val="00925D14"/>
    <w:rsid w:val="00925FC9"/>
    <w:rsid w:val="00931FEE"/>
    <w:rsid w:val="00932C48"/>
    <w:rsid w:val="00933AFB"/>
    <w:rsid w:val="00935050"/>
    <w:rsid w:val="009356EE"/>
    <w:rsid w:val="009357B2"/>
    <w:rsid w:val="00935FF0"/>
    <w:rsid w:val="0093627D"/>
    <w:rsid w:val="0093665A"/>
    <w:rsid w:val="00937092"/>
    <w:rsid w:val="00937D5D"/>
    <w:rsid w:val="00937F08"/>
    <w:rsid w:val="009402C1"/>
    <w:rsid w:val="009403E1"/>
    <w:rsid w:val="0094153A"/>
    <w:rsid w:val="00943275"/>
    <w:rsid w:val="00944314"/>
    <w:rsid w:val="00944465"/>
    <w:rsid w:val="00946053"/>
    <w:rsid w:val="00946D01"/>
    <w:rsid w:val="0094781A"/>
    <w:rsid w:val="00950A05"/>
    <w:rsid w:val="00951002"/>
    <w:rsid w:val="00953056"/>
    <w:rsid w:val="00953B95"/>
    <w:rsid w:val="00955D89"/>
    <w:rsid w:val="00956B9C"/>
    <w:rsid w:val="00957742"/>
    <w:rsid w:val="009605EA"/>
    <w:rsid w:val="009611FC"/>
    <w:rsid w:val="00961C22"/>
    <w:rsid w:val="00963ACE"/>
    <w:rsid w:val="00963CC2"/>
    <w:rsid w:val="00964363"/>
    <w:rsid w:val="00965385"/>
    <w:rsid w:val="009657D6"/>
    <w:rsid w:val="00966E9F"/>
    <w:rsid w:val="009678CE"/>
    <w:rsid w:val="0097021E"/>
    <w:rsid w:val="009779D3"/>
    <w:rsid w:val="0098210E"/>
    <w:rsid w:val="00982E95"/>
    <w:rsid w:val="00982F6F"/>
    <w:rsid w:val="00983264"/>
    <w:rsid w:val="009838C3"/>
    <w:rsid w:val="00983AEB"/>
    <w:rsid w:val="009871BF"/>
    <w:rsid w:val="009904E9"/>
    <w:rsid w:val="00990528"/>
    <w:rsid w:val="00990C3F"/>
    <w:rsid w:val="00990DAD"/>
    <w:rsid w:val="00991C7F"/>
    <w:rsid w:val="00993FB9"/>
    <w:rsid w:val="009945B4"/>
    <w:rsid w:val="00994BF3"/>
    <w:rsid w:val="00994F8D"/>
    <w:rsid w:val="00995724"/>
    <w:rsid w:val="00995B1B"/>
    <w:rsid w:val="00997394"/>
    <w:rsid w:val="009A20B8"/>
    <w:rsid w:val="009A43C8"/>
    <w:rsid w:val="009A516A"/>
    <w:rsid w:val="009A5FA7"/>
    <w:rsid w:val="009A60BE"/>
    <w:rsid w:val="009A661F"/>
    <w:rsid w:val="009A70EE"/>
    <w:rsid w:val="009A7658"/>
    <w:rsid w:val="009A7BB4"/>
    <w:rsid w:val="009B117B"/>
    <w:rsid w:val="009B2C2D"/>
    <w:rsid w:val="009B49FC"/>
    <w:rsid w:val="009B5EC2"/>
    <w:rsid w:val="009B7D97"/>
    <w:rsid w:val="009C5658"/>
    <w:rsid w:val="009C7489"/>
    <w:rsid w:val="009D083B"/>
    <w:rsid w:val="009D0B94"/>
    <w:rsid w:val="009D0D3E"/>
    <w:rsid w:val="009D1D56"/>
    <w:rsid w:val="009D28DB"/>
    <w:rsid w:val="009D2B14"/>
    <w:rsid w:val="009D410C"/>
    <w:rsid w:val="009D4AE4"/>
    <w:rsid w:val="009D4E81"/>
    <w:rsid w:val="009D6A74"/>
    <w:rsid w:val="009E1DB6"/>
    <w:rsid w:val="009E27CB"/>
    <w:rsid w:val="009E344A"/>
    <w:rsid w:val="009E357B"/>
    <w:rsid w:val="009E3A03"/>
    <w:rsid w:val="009F0226"/>
    <w:rsid w:val="009F057F"/>
    <w:rsid w:val="009F0C7E"/>
    <w:rsid w:val="009F0E58"/>
    <w:rsid w:val="009F0EE6"/>
    <w:rsid w:val="009F171B"/>
    <w:rsid w:val="009F1856"/>
    <w:rsid w:val="009F24CE"/>
    <w:rsid w:val="009F3740"/>
    <w:rsid w:val="009F50DC"/>
    <w:rsid w:val="009F60BE"/>
    <w:rsid w:val="009F6109"/>
    <w:rsid w:val="009F79E9"/>
    <w:rsid w:val="00A005DA"/>
    <w:rsid w:val="00A019BA"/>
    <w:rsid w:val="00A0269A"/>
    <w:rsid w:val="00A0494C"/>
    <w:rsid w:val="00A05CC8"/>
    <w:rsid w:val="00A07C05"/>
    <w:rsid w:val="00A16743"/>
    <w:rsid w:val="00A24B53"/>
    <w:rsid w:val="00A25B95"/>
    <w:rsid w:val="00A26A4C"/>
    <w:rsid w:val="00A306BF"/>
    <w:rsid w:val="00A360C8"/>
    <w:rsid w:val="00A36906"/>
    <w:rsid w:val="00A3780C"/>
    <w:rsid w:val="00A41B5F"/>
    <w:rsid w:val="00A42354"/>
    <w:rsid w:val="00A42392"/>
    <w:rsid w:val="00A436C0"/>
    <w:rsid w:val="00A451B4"/>
    <w:rsid w:val="00A45B6C"/>
    <w:rsid w:val="00A4601A"/>
    <w:rsid w:val="00A460F7"/>
    <w:rsid w:val="00A470F2"/>
    <w:rsid w:val="00A47E74"/>
    <w:rsid w:val="00A5118B"/>
    <w:rsid w:val="00A5130F"/>
    <w:rsid w:val="00A51EC0"/>
    <w:rsid w:val="00A52543"/>
    <w:rsid w:val="00A538B6"/>
    <w:rsid w:val="00A5721E"/>
    <w:rsid w:val="00A634E0"/>
    <w:rsid w:val="00A635F9"/>
    <w:rsid w:val="00A65C8D"/>
    <w:rsid w:val="00A674A2"/>
    <w:rsid w:val="00A67619"/>
    <w:rsid w:val="00A70629"/>
    <w:rsid w:val="00A71B36"/>
    <w:rsid w:val="00A727B6"/>
    <w:rsid w:val="00A73F72"/>
    <w:rsid w:val="00A750B3"/>
    <w:rsid w:val="00A75E05"/>
    <w:rsid w:val="00A75E76"/>
    <w:rsid w:val="00A772E1"/>
    <w:rsid w:val="00A80466"/>
    <w:rsid w:val="00A80B82"/>
    <w:rsid w:val="00A80FB2"/>
    <w:rsid w:val="00A826F3"/>
    <w:rsid w:val="00A8414E"/>
    <w:rsid w:val="00A84BEE"/>
    <w:rsid w:val="00A86582"/>
    <w:rsid w:val="00A8664E"/>
    <w:rsid w:val="00A8775F"/>
    <w:rsid w:val="00A87B35"/>
    <w:rsid w:val="00A91657"/>
    <w:rsid w:val="00A927EE"/>
    <w:rsid w:val="00A93B07"/>
    <w:rsid w:val="00A93D87"/>
    <w:rsid w:val="00A9440D"/>
    <w:rsid w:val="00A95E49"/>
    <w:rsid w:val="00A966CA"/>
    <w:rsid w:val="00AA1CB3"/>
    <w:rsid w:val="00AA2F3C"/>
    <w:rsid w:val="00AA3663"/>
    <w:rsid w:val="00AA4C6B"/>
    <w:rsid w:val="00AA4D33"/>
    <w:rsid w:val="00AA7485"/>
    <w:rsid w:val="00AA76A2"/>
    <w:rsid w:val="00AA78F5"/>
    <w:rsid w:val="00AB0F9F"/>
    <w:rsid w:val="00AB2418"/>
    <w:rsid w:val="00AB29F6"/>
    <w:rsid w:val="00AB41AA"/>
    <w:rsid w:val="00AB45DD"/>
    <w:rsid w:val="00AB493E"/>
    <w:rsid w:val="00AB4A76"/>
    <w:rsid w:val="00AB4D2B"/>
    <w:rsid w:val="00AB4D36"/>
    <w:rsid w:val="00AB5915"/>
    <w:rsid w:val="00AB59B4"/>
    <w:rsid w:val="00AC099E"/>
    <w:rsid w:val="00AC2323"/>
    <w:rsid w:val="00AC3DBA"/>
    <w:rsid w:val="00AC4003"/>
    <w:rsid w:val="00AC4594"/>
    <w:rsid w:val="00AC5072"/>
    <w:rsid w:val="00AC5D3D"/>
    <w:rsid w:val="00AC6079"/>
    <w:rsid w:val="00AC6634"/>
    <w:rsid w:val="00AC71B1"/>
    <w:rsid w:val="00AD296D"/>
    <w:rsid w:val="00AD2AEF"/>
    <w:rsid w:val="00AD3454"/>
    <w:rsid w:val="00AD3467"/>
    <w:rsid w:val="00AD3A3D"/>
    <w:rsid w:val="00AD46D7"/>
    <w:rsid w:val="00AD4E2F"/>
    <w:rsid w:val="00AD6747"/>
    <w:rsid w:val="00AD6B85"/>
    <w:rsid w:val="00AE2796"/>
    <w:rsid w:val="00AE40A0"/>
    <w:rsid w:val="00AE507B"/>
    <w:rsid w:val="00AE55F4"/>
    <w:rsid w:val="00AF07D7"/>
    <w:rsid w:val="00AF1A19"/>
    <w:rsid w:val="00AF1B74"/>
    <w:rsid w:val="00AF5299"/>
    <w:rsid w:val="00AF56FA"/>
    <w:rsid w:val="00AF71C2"/>
    <w:rsid w:val="00AF75F6"/>
    <w:rsid w:val="00AF7BDA"/>
    <w:rsid w:val="00AF7ED7"/>
    <w:rsid w:val="00B006B2"/>
    <w:rsid w:val="00B01C2E"/>
    <w:rsid w:val="00B02891"/>
    <w:rsid w:val="00B028FE"/>
    <w:rsid w:val="00B03000"/>
    <w:rsid w:val="00B04C76"/>
    <w:rsid w:val="00B051F4"/>
    <w:rsid w:val="00B06939"/>
    <w:rsid w:val="00B10840"/>
    <w:rsid w:val="00B13675"/>
    <w:rsid w:val="00B13F73"/>
    <w:rsid w:val="00B14AE1"/>
    <w:rsid w:val="00B15951"/>
    <w:rsid w:val="00B17865"/>
    <w:rsid w:val="00B17897"/>
    <w:rsid w:val="00B20080"/>
    <w:rsid w:val="00B217B4"/>
    <w:rsid w:val="00B21CD9"/>
    <w:rsid w:val="00B2230D"/>
    <w:rsid w:val="00B23C24"/>
    <w:rsid w:val="00B2561C"/>
    <w:rsid w:val="00B262B6"/>
    <w:rsid w:val="00B262D7"/>
    <w:rsid w:val="00B26487"/>
    <w:rsid w:val="00B27115"/>
    <w:rsid w:val="00B30CCA"/>
    <w:rsid w:val="00B31E4D"/>
    <w:rsid w:val="00B322D6"/>
    <w:rsid w:val="00B35171"/>
    <w:rsid w:val="00B362F9"/>
    <w:rsid w:val="00B3653B"/>
    <w:rsid w:val="00B37FDE"/>
    <w:rsid w:val="00B41424"/>
    <w:rsid w:val="00B43213"/>
    <w:rsid w:val="00B460EB"/>
    <w:rsid w:val="00B465D2"/>
    <w:rsid w:val="00B467BD"/>
    <w:rsid w:val="00B503EF"/>
    <w:rsid w:val="00B50AEF"/>
    <w:rsid w:val="00B511C4"/>
    <w:rsid w:val="00B51C0D"/>
    <w:rsid w:val="00B5337E"/>
    <w:rsid w:val="00B534BA"/>
    <w:rsid w:val="00B56592"/>
    <w:rsid w:val="00B57133"/>
    <w:rsid w:val="00B57D4B"/>
    <w:rsid w:val="00B60AF4"/>
    <w:rsid w:val="00B61F26"/>
    <w:rsid w:val="00B63E2C"/>
    <w:rsid w:val="00B6449B"/>
    <w:rsid w:val="00B65324"/>
    <w:rsid w:val="00B6600F"/>
    <w:rsid w:val="00B70933"/>
    <w:rsid w:val="00B70D3E"/>
    <w:rsid w:val="00B70DDE"/>
    <w:rsid w:val="00B7103B"/>
    <w:rsid w:val="00B733FE"/>
    <w:rsid w:val="00B73D0F"/>
    <w:rsid w:val="00B744B0"/>
    <w:rsid w:val="00B751DA"/>
    <w:rsid w:val="00B77C4C"/>
    <w:rsid w:val="00B77DCF"/>
    <w:rsid w:val="00B820E3"/>
    <w:rsid w:val="00B821CB"/>
    <w:rsid w:val="00B82968"/>
    <w:rsid w:val="00B84037"/>
    <w:rsid w:val="00B85DE7"/>
    <w:rsid w:val="00B86CCB"/>
    <w:rsid w:val="00B908CE"/>
    <w:rsid w:val="00B91DF7"/>
    <w:rsid w:val="00B92E59"/>
    <w:rsid w:val="00B940A9"/>
    <w:rsid w:val="00B946C8"/>
    <w:rsid w:val="00B94D7C"/>
    <w:rsid w:val="00B952EC"/>
    <w:rsid w:val="00B96B07"/>
    <w:rsid w:val="00BA1D7E"/>
    <w:rsid w:val="00BA4396"/>
    <w:rsid w:val="00BA5915"/>
    <w:rsid w:val="00BA5A98"/>
    <w:rsid w:val="00BA6BF0"/>
    <w:rsid w:val="00BB04D1"/>
    <w:rsid w:val="00BB1D1E"/>
    <w:rsid w:val="00BB3304"/>
    <w:rsid w:val="00BB3FAF"/>
    <w:rsid w:val="00BB4152"/>
    <w:rsid w:val="00BB52F6"/>
    <w:rsid w:val="00BB5B47"/>
    <w:rsid w:val="00BB5D7A"/>
    <w:rsid w:val="00BC2F5D"/>
    <w:rsid w:val="00BC38DA"/>
    <w:rsid w:val="00BC3CF0"/>
    <w:rsid w:val="00BC43E7"/>
    <w:rsid w:val="00BC6C34"/>
    <w:rsid w:val="00BD01DA"/>
    <w:rsid w:val="00BD1BD1"/>
    <w:rsid w:val="00BD2C18"/>
    <w:rsid w:val="00BD3A73"/>
    <w:rsid w:val="00BD4A9B"/>
    <w:rsid w:val="00BD5393"/>
    <w:rsid w:val="00BD57FF"/>
    <w:rsid w:val="00BD6D1B"/>
    <w:rsid w:val="00BD7850"/>
    <w:rsid w:val="00BE2E4A"/>
    <w:rsid w:val="00BE38E6"/>
    <w:rsid w:val="00BE6F14"/>
    <w:rsid w:val="00BE7101"/>
    <w:rsid w:val="00BE73A5"/>
    <w:rsid w:val="00BE7E75"/>
    <w:rsid w:val="00BF1780"/>
    <w:rsid w:val="00BF1ACA"/>
    <w:rsid w:val="00BF2AF7"/>
    <w:rsid w:val="00BF5D30"/>
    <w:rsid w:val="00BF62CA"/>
    <w:rsid w:val="00BF6512"/>
    <w:rsid w:val="00BF697F"/>
    <w:rsid w:val="00BF7435"/>
    <w:rsid w:val="00BF7877"/>
    <w:rsid w:val="00C00D22"/>
    <w:rsid w:val="00C0238D"/>
    <w:rsid w:val="00C02A0B"/>
    <w:rsid w:val="00C02D99"/>
    <w:rsid w:val="00C04541"/>
    <w:rsid w:val="00C05200"/>
    <w:rsid w:val="00C06EF2"/>
    <w:rsid w:val="00C10B09"/>
    <w:rsid w:val="00C10D86"/>
    <w:rsid w:val="00C12DF4"/>
    <w:rsid w:val="00C159DD"/>
    <w:rsid w:val="00C1612D"/>
    <w:rsid w:val="00C16390"/>
    <w:rsid w:val="00C16757"/>
    <w:rsid w:val="00C16BEE"/>
    <w:rsid w:val="00C16C71"/>
    <w:rsid w:val="00C20414"/>
    <w:rsid w:val="00C20F75"/>
    <w:rsid w:val="00C2133D"/>
    <w:rsid w:val="00C229ED"/>
    <w:rsid w:val="00C242D3"/>
    <w:rsid w:val="00C25A99"/>
    <w:rsid w:val="00C25FD0"/>
    <w:rsid w:val="00C2661E"/>
    <w:rsid w:val="00C275A0"/>
    <w:rsid w:val="00C30070"/>
    <w:rsid w:val="00C302EB"/>
    <w:rsid w:val="00C309CC"/>
    <w:rsid w:val="00C3169E"/>
    <w:rsid w:val="00C32F76"/>
    <w:rsid w:val="00C3361B"/>
    <w:rsid w:val="00C3455B"/>
    <w:rsid w:val="00C34565"/>
    <w:rsid w:val="00C3566D"/>
    <w:rsid w:val="00C358AE"/>
    <w:rsid w:val="00C362EE"/>
    <w:rsid w:val="00C36491"/>
    <w:rsid w:val="00C3739C"/>
    <w:rsid w:val="00C40037"/>
    <w:rsid w:val="00C41048"/>
    <w:rsid w:val="00C42011"/>
    <w:rsid w:val="00C429D1"/>
    <w:rsid w:val="00C437CA"/>
    <w:rsid w:val="00C43BAD"/>
    <w:rsid w:val="00C44593"/>
    <w:rsid w:val="00C452F5"/>
    <w:rsid w:val="00C46775"/>
    <w:rsid w:val="00C4718B"/>
    <w:rsid w:val="00C502D5"/>
    <w:rsid w:val="00C51288"/>
    <w:rsid w:val="00C54922"/>
    <w:rsid w:val="00C54B46"/>
    <w:rsid w:val="00C54DEE"/>
    <w:rsid w:val="00C55AE3"/>
    <w:rsid w:val="00C56052"/>
    <w:rsid w:val="00C57149"/>
    <w:rsid w:val="00C57967"/>
    <w:rsid w:val="00C60B96"/>
    <w:rsid w:val="00C615CB"/>
    <w:rsid w:val="00C6198F"/>
    <w:rsid w:val="00C62730"/>
    <w:rsid w:val="00C632A4"/>
    <w:rsid w:val="00C63ABE"/>
    <w:rsid w:val="00C656F4"/>
    <w:rsid w:val="00C6580C"/>
    <w:rsid w:val="00C7013B"/>
    <w:rsid w:val="00C714C7"/>
    <w:rsid w:val="00C72CF4"/>
    <w:rsid w:val="00C73C38"/>
    <w:rsid w:val="00C73EE3"/>
    <w:rsid w:val="00C74FA8"/>
    <w:rsid w:val="00C75465"/>
    <w:rsid w:val="00C7546F"/>
    <w:rsid w:val="00C75639"/>
    <w:rsid w:val="00C75795"/>
    <w:rsid w:val="00C7753C"/>
    <w:rsid w:val="00C7792D"/>
    <w:rsid w:val="00C81357"/>
    <w:rsid w:val="00C83CDE"/>
    <w:rsid w:val="00C84985"/>
    <w:rsid w:val="00C8598E"/>
    <w:rsid w:val="00C861CE"/>
    <w:rsid w:val="00C8781B"/>
    <w:rsid w:val="00C909AD"/>
    <w:rsid w:val="00C90BA5"/>
    <w:rsid w:val="00C90F73"/>
    <w:rsid w:val="00C91241"/>
    <w:rsid w:val="00C9153B"/>
    <w:rsid w:val="00C92E86"/>
    <w:rsid w:val="00C93595"/>
    <w:rsid w:val="00C93E3D"/>
    <w:rsid w:val="00C95056"/>
    <w:rsid w:val="00C96783"/>
    <w:rsid w:val="00C968A6"/>
    <w:rsid w:val="00C97FB7"/>
    <w:rsid w:val="00CA1548"/>
    <w:rsid w:val="00CA1F4D"/>
    <w:rsid w:val="00CA3325"/>
    <w:rsid w:val="00CA3792"/>
    <w:rsid w:val="00CA48F0"/>
    <w:rsid w:val="00CA4E1D"/>
    <w:rsid w:val="00CA5A4C"/>
    <w:rsid w:val="00CB0F7F"/>
    <w:rsid w:val="00CB2974"/>
    <w:rsid w:val="00CB2E3F"/>
    <w:rsid w:val="00CB361E"/>
    <w:rsid w:val="00CB482C"/>
    <w:rsid w:val="00CC28B1"/>
    <w:rsid w:val="00CC2A24"/>
    <w:rsid w:val="00CC34B6"/>
    <w:rsid w:val="00CC5477"/>
    <w:rsid w:val="00CC6A75"/>
    <w:rsid w:val="00CC6BBF"/>
    <w:rsid w:val="00CD120E"/>
    <w:rsid w:val="00CD23AA"/>
    <w:rsid w:val="00CD28A2"/>
    <w:rsid w:val="00CD4158"/>
    <w:rsid w:val="00CD572B"/>
    <w:rsid w:val="00CD6304"/>
    <w:rsid w:val="00CD6D13"/>
    <w:rsid w:val="00CD6F49"/>
    <w:rsid w:val="00CD78D4"/>
    <w:rsid w:val="00CD7A9C"/>
    <w:rsid w:val="00CD7DB1"/>
    <w:rsid w:val="00CE0942"/>
    <w:rsid w:val="00CE1221"/>
    <w:rsid w:val="00CE2233"/>
    <w:rsid w:val="00CE42F9"/>
    <w:rsid w:val="00CE4C21"/>
    <w:rsid w:val="00CE5BCD"/>
    <w:rsid w:val="00CE684D"/>
    <w:rsid w:val="00CF13D6"/>
    <w:rsid w:val="00CF16F6"/>
    <w:rsid w:val="00CF1E19"/>
    <w:rsid w:val="00CF2C38"/>
    <w:rsid w:val="00CF4261"/>
    <w:rsid w:val="00CF47A7"/>
    <w:rsid w:val="00CF6A30"/>
    <w:rsid w:val="00CF77F9"/>
    <w:rsid w:val="00CF7A92"/>
    <w:rsid w:val="00CF7E6C"/>
    <w:rsid w:val="00D00D59"/>
    <w:rsid w:val="00D02985"/>
    <w:rsid w:val="00D03B2D"/>
    <w:rsid w:val="00D04099"/>
    <w:rsid w:val="00D04CBA"/>
    <w:rsid w:val="00D04CBE"/>
    <w:rsid w:val="00D07A8B"/>
    <w:rsid w:val="00D11798"/>
    <w:rsid w:val="00D127B9"/>
    <w:rsid w:val="00D13076"/>
    <w:rsid w:val="00D13316"/>
    <w:rsid w:val="00D15D8F"/>
    <w:rsid w:val="00D162CA"/>
    <w:rsid w:val="00D17AC5"/>
    <w:rsid w:val="00D20D57"/>
    <w:rsid w:val="00D23321"/>
    <w:rsid w:val="00D23910"/>
    <w:rsid w:val="00D2648D"/>
    <w:rsid w:val="00D30781"/>
    <w:rsid w:val="00D33A72"/>
    <w:rsid w:val="00D35680"/>
    <w:rsid w:val="00D376AF"/>
    <w:rsid w:val="00D37DDD"/>
    <w:rsid w:val="00D435BC"/>
    <w:rsid w:val="00D43EE4"/>
    <w:rsid w:val="00D44CB9"/>
    <w:rsid w:val="00D466F5"/>
    <w:rsid w:val="00D47E4C"/>
    <w:rsid w:val="00D50671"/>
    <w:rsid w:val="00D5261F"/>
    <w:rsid w:val="00D52B94"/>
    <w:rsid w:val="00D55394"/>
    <w:rsid w:val="00D5614B"/>
    <w:rsid w:val="00D56990"/>
    <w:rsid w:val="00D57E60"/>
    <w:rsid w:val="00D60E99"/>
    <w:rsid w:val="00D610DE"/>
    <w:rsid w:val="00D62AAD"/>
    <w:rsid w:val="00D62CBF"/>
    <w:rsid w:val="00D64AFC"/>
    <w:rsid w:val="00D678D3"/>
    <w:rsid w:val="00D701DF"/>
    <w:rsid w:val="00D7088F"/>
    <w:rsid w:val="00D70930"/>
    <w:rsid w:val="00D7114C"/>
    <w:rsid w:val="00D75298"/>
    <w:rsid w:val="00D75DC9"/>
    <w:rsid w:val="00D75EE1"/>
    <w:rsid w:val="00D777A5"/>
    <w:rsid w:val="00D802E1"/>
    <w:rsid w:val="00D80DF8"/>
    <w:rsid w:val="00D82BC6"/>
    <w:rsid w:val="00D85F3C"/>
    <w:rsid w:val="00D86EA3"/>
    <w:rsid w:val="00D91292"/>
    <w:rsid w:val="00D9154B"/>
    <w:rsid w:val="00D920FE"/>
    <w:rsid w:val="00D93D1A"/>
    <w:rsid w:val="00D9544F"/>
    <w:rsid w:val="00D9553A"/>
    <w:rsid w:val="00D95D77"/>
    <w:rsid w:val="00DA0360"/>
    <w:rsid w:val="00DA0E48"/>
    <w:rsid w:val="00DA128C"/>
    <w:rsid w:val="00DA221E"/>
    <w:rsid w:val="00DA366B"/>
    <w:rsid w:val="00DA4DD4"/>
    <w:rsid w:val="00DA5164"/>
    <w:rsid w:val="00DA6CDE"/>
    <w:rsid w:val="00DA6D93"/>
    <w:rsid w:val="00DB0412"/>
    <w:rsid w:val="00DB05D2"/>
    <w:rsid w:val="00DB21B0"/>
    <w:rsid w:val="00DB3134"/>
    <w:rsid w:val="00DB688B"/>
    <w:rsid w:val="00DB7641"/>
    <w:rsid w:val="00DC0EE1"/>
    <w:rsid w:val="00DC11BB"/>
    <w:rsid w:val="00DC62E0"/>
    <w:rsid w:val="00DC637B"/>
    <w:rsid w:val="00DC7370"/>
    <w:rsid w:val="00DC7F50"/>
    <w:rsid w:val="00DD053D"/>
    <w:rsid w:val="00DD22B7"/>
    <w:rsid w:val="00DD284A"/>
    <w:rsid w:val="00DD287D"/>
    <w:rsid w:val="00DD3AB7"/>
    <w:rsid w:val="00DD4E09"/>
    <w:rsid w:val="00DD60A6"/>
    <w:rsid w:val="00DD6A82"/>
    <w:rsid w:val="00DE2184"/>
    <w:rsid w:val="00DE2CDD"/>
    <w:rsid w:val="00DE2EAB"/>
    <w:rsid w:val="00DE4982"/>
    <w:rsid w:val="00DE5345"/>
    <w:rsid w:val="00DE56D0"/>
    <w:rsid w:val="00DE5A3D"/>
    <w:rsid w:val="00DE6DBB"/>
    <w:rsid w:val="00DF2191"/>
    <w:rsid w:val="00DF3CD8"/>
    <w:rsid w:val="00DF55C0"/>
    <w:rsid w:val="00E00504"/>
    <w:rsid w:val="00E00E37"/>
    <w:rsid w:val="00E01BD5"/>
    <w:rsid w:val="00E033DE"/>
    <w:rsid w:val="00E048D0"/>
    <w:rsid w:val="00E04D08"/>
    <w:rsid w:val="00E06804"/>
    <w:rsid w:val="00E0716A"/>
    <w:rsid w:val="00E118A1"/>
    <w:rsid w:val="00E1410B"/>
    <w:rsid w:val="00E168BE"/>
    <w:rsid w:val="00E16CE0"/>
    <w:rsid w:val="00E17546"/>
    <w:rsid w:val="00E17C36"/>
    <w:rsid w:val="00E20920"/>
    <w:rsid w:val="00E20AF3"/>
    <w:rsid w:val="00E22CA9"/>
    <w:rsid w:val="00E24053"/>
    <w:rsid w:val="00E24227"/>
    <w:rsid w:val="00E25852"/>
    <w:rsid w:val="00E264FC"/>
    <w:rsid w:val="00E26D1C"/>
    <w:rsid w:val="00E26DA1"/>
    <w:rsid w:val="00E27DF0"/>
    <w:rsid w:val="00E27E7B"/>
    <w:rsid w:val="00E32177"/>
    <w:rsid w:val="00E32A41"/>
    <w:rsid w:val="00E345B7"/>
    <w:rsid w:val="00E3609A"/>
    <w:rsid w:val="00E37688"/>
    <w:rsid w:val="00E406A1"/>
    <w:rsid w:val="00E40AD6"/>
    <w:rsid w:val="00E40D67"/>
    <w:rsid w:val="00E416F8"/>
    <w:rsid w:val="00E41C7E"/>
    <w:rsid w:val="00E422E0"/>
    <w:rsid w:val="00E427D2"/>
    <w:rsid w:val="00E42AF9"/>
    <w:rsid w:val="00E447E6"/>
    <w:rsid w:val="00E45952"/>
    <w:rsid w:val="00E45EED"/>
    <w:rsid w:val="00E46201"/>
    <w:rsid w:val="00E50FBE"/>
    <w:rsid w:val="00E51A04"/>
    <w:rsid w:val="00E51F41"/>
    <w:rsid w:val="00E5221F"/>
    <w:rsid w:val="00E52915"/>
    <w:rsid w:val="00E52DA5"/>
    <w:rsid w:val="00E5507B"/>
    <w:rsid w:val="00E551D5"/>
    <w:rsid w:val="00E62E4C"/>
    <w:rsid w:val="00E63552"/>
    <w:rsid w:val="00E637A7"/>
    <w:rsid w:val="00E649DD"/>
    <w:rsid w:val="00E70A3B"/>
    <w:rsid w:val="00E72684"/>
    <w:rsid w:val="00E758EA"/>
    <w:rsid w:val="00E778D8"/>
    <w:rsid w:val="00E80EB4"/>
    <w:rsid w:val="00E856BE"/>
    <w:rsid w:val="00E85C54"/>
    <w:rsid w:val="00E913C2"/>
    <w:rsid w:val="00E921B5"/>
    <w:rsid w:val="00E94892"/>
    <w:rsid w:val="00EA1CBF"/>
    <w:rsid w:val="00EA25BA"/>
    <w:rsid w:val="00EA2E1D"/>
    <w:rsid w:val="00EA3085"/>
    <w:rsid w:val="00EA4937"/>
    <w:rsid w:val="00EA5AFA"/>
    <w:rsid w:val="00EB06F4"/>
    <w:rsid w:val="00EB07A8"/>
    <w:rsid w:val="00EB260F"/>
    <w:rsid w:val="00EB47ED"/>
    <w:rsid w:val="00EB6785"/>
    <w:rsid w:val="00EB726C"/>
    <w:rsid w:val="00EC0DF1"/>
    <w:rsid w:val="00EC1419"/>
    <w:rsid w:val="00EC2E47"/>
    <w:rsid w:val="00EC5DC1"/>
    <w:rsid w:val="00ED11F4"/>
    <w:rsid w:val="00ED1A34"/>
    <w:rsid w:val="00ED1FFC"/>
    <w:rsid w:val="00ED2519"/>
    <w:rsid w:val="00ED6012"/>
    <w:rsid w:val="00ED6630"/>
    <w:rsid w:val="00ED6AF7"/>
    <w:rsid w:val="00EE020A"/>
    <w:rsid w:val="00EE1CFB"/>
    <w:rsid w:val="00EE2122"/>
    <w:rsid w:val="00EE2A07"/>
    <w:rsid w:val="00EE452F"/>
    <w:rsid w:val="00EE4E1D"/>
    <w:rsid w:val="00EF05E2"/>
    <w:rsid w:val="00EF243B"/>
    <w:rsid w:val="00EF3664"/>
    <w:rsid w:val="00EF451B"/>
    <w:rsid w:val="00EF4E9F"/>
    <w:rsid w:val="00EF57AE"/>
    <w:rsid w:val="00EF6E41"/>
    <w:rsid w:val="00EF74F7"/>
    <w:rsid w:val="00F01160"/>
    <w:rsid w:val="00F04A83"/>
    <w:rsid w:val="00F0790E"/>
    <w:rsid w:val="00F1000A"/>
    <w:rsid w:val="00F1033F"/>
    <w:rsid w:val="00F10E46"/>
    <w:rsid w:val="00F10EA3"/>
    <w:rsid w:val="00F112BF"/>
    <w:rsid w:val="00F13AC7"/>
    <w:rsid w:val="00F13C8C"/>
    <w:rsid w:val="00F13DB3"/>
    <w:rsid w:val="00F17BA3"/>
    <w:rsid w:val="00F2031B"/>
    <w:rsid w:val="00F213ED"/>
    <w:rsid w:val="00F217A9"/>
    <w:rsid w:val="00F21B11"/>
    <w:rsid w:val="00F23073"/>
    <w:rsid w:val="00F23623"/>
    <w:rsid w:val="00F23D83"/>
    <w:rsid w:val="00F24159"/>
    <w:rsid w:val="00F24D16"/>
    <w:rsid w:val="00F25957"/>
    <w:rsid w:val="00F25D42"/>
    <w:rsid w:val="00F26F6E"/>
    <w:rsid w:val="00F302A6"/>
    <w:rsid w:val="00F3083E"/>
    <w:rsid w:val="00F31028"/>
    <w:rsid w:val="00F311B8"/>
    <w:rsid w:val="00F313A2"/>
    <w:rsid w:val="00F318BA"/>
    <w:rsid w:val="00F31F64"/>
    <w:rsid w:val="00F32EAC"/>
    <w:rsid w:val="00F330D4"/>
    <w:rsid w:val="00F33C10"/>
    <w:rsid w:val="00F345FE"/>
    <w:rsid w:val="00F3485D"/>
    <w:rsid w:val="00F360A0"/>
    <w:rsid w:val="00F3700A"/>
    <w:rsid w:val="00F3762B"/>
    <w:rsid w:val="00F37FC8"/>
    <w:rsid w:val="00F407C9"/>
    <w:rsid w:val="00F40EB3"/>
    <w:rsid w:val="00F423B6"/>
    <w:rsid w:val="00F42A0E"/>
    <w:rsid w:val="00F44000"/>
    <w:rsid w:val="00F476FA"/>
    <w:rsid w:val="00F5250B"/>
    <w:rsid w:val="00F52FD8"/>
    <w:rsid w:val="00F57294"/>
    <w:rsid w:val="00F57EE2"/>
    <w:rsid w:val="00F602DF"/>
    <w:rsid w:val="00F604E5"/>
    <w:rsid w:val="00F61244"/>
    <w:rsid w:val="00F6228F"/>
    <w:rsid w:val="00F62B56"/>
    <w:rsid w:val="00F64EA7"/>
    <w:rsid w:val="00F66241"/>
    <w:rsid w:val="00F67057"/>
    <w:rsid w:val="00F67557"/>
    <w:rsid w:val="00F7022B"/>
    <w:rsid w:val="00F70A38"/>
    <w:rsid w:val="00F718FE"/>
    <w:rsid w:val="00F71F1B"/>
    <w:rsid w:val="00F72FF9"/>
    <w:rsid w:val="00F73713"/>
    <w:rsid w:val="00F74753"/>
    <w:rsid w:val="00F80463"/>
    <w:rsid w:val="00F8131C"/>
    <w:rsid w:val="00F81B68"/>
    <w:rsid w:val="00F83D48"/>
    <w:rsid w:val="00F85AC7"/>
    <w:rsid w:val="00F8622A"/>
    <w:rsid w:val="00F86396"/>
    <w:rsid w:val="00F867F0"/>
    <w:rsid w:val="00F8682B"/>
    <w:rsid w:val="00F87702"/>
    <w:rsid w:val="00F87CDB"/>
    <w:rsid w:val="00F9098A"/>
    <w:rsid w:val="00F90B48"/>
    <w:rsid w:val="00F9120C"/>
    <w:rsid w:val="00F91A7A"/>
    <w:rsid w:val="00F91B44"/>
    <w:rsid w:val="00F929A3"/>
    <w:rsid w:val="00F932DE"/>
    <w:rsid w:val="00F93406"/>
    <w:rsid w:val="00F93865"/>
    <w:rsid w:val="00F94258"/>
    <w:rsid w:val="00F947D4"/>
    <w:rsid w:val="00F965D8"/>
    <w:rsid w:val="00FA0D36"/>
    <w:rsid w:val="00FA18C4"/>
    <w:rsid w:val="00FA4630"/>
    <w:rsid w:val="00FA4B88"/>
    <w:rsid w:val="00FA5333"/>
    <w:rsid w:val="00FA57B7"/>
    <w:rsid w:val="00FA597B"/>
    <w:rsid w:val="00FA6B5A"/>
    <w:rsid w:val="00FA6BFD"/>
    <w:rsid w:val="00FB05EB"/>
    <w:rsid w:val="00FB0AEB"/>
    <w:rsid w:val="00FB1CF9"/>
    <w:rsid w:val="00FB2284"/>
    <w:rsid w:val="00FB5167"/>
    <w:rsid w:val="00FB541E"/>
    <w:rsid w:val="00FB6290"/>
    <w:rsid w:val="00FC0189"/>
    <w:rsid w:val="00FC0A66"/>
    <w:rsid w:val="00FC0B34"/>
    <w:rsid w:val="00FC4F8F"/>
    <w:rsid w:val="00FC5F33"/>
    <w:rsid w:val="00FC6621"/>
    <w:rsid w:val="00FC68D7"/>
    <w:rsid w:val="00FC6EDD"/>
    <w:rsid w:val="00FD0041"/>
    <w:rsid w:val="00FD0495"/>
    <w:rsid w:val="00FD09B0"/>
    <w:rsid w:val="00FD1189"/>
    <w:rsid w:val="00FD5359"/>
    <w:rsid w:val="00FD697C"/>
    <w:rsid w:val="00FD6B4D"/>
    <w:rsid w:val="00FE0365"/>
    <w:rsid w:val="00FE0662"/>
    <w:rsid w:val="00FE1265"/>
    <w:rsid w:val="00FE3BCF"/>
    <w:rsid w:val="00FE3D86"/>
    <w:rsid w:val="00FE53C1"/>
    <w:rsid w:val="00FE549F"/>
    <w:rsid w:val="00FE552D"/>
    <w:rsid w:val="00FE69F5"/>
    <w:rsid w:val="00FE79F1"/>
    <w:rsid w:val="00FE7CAD"/>
    <w:rsid w:val="00FF010A"/>
    <w:rsid w:val="00FF1E31"/>
    <w:rsid w:val="00FF2832"/>
    <w:rsid w:val="00FF41D3"/>
    <w:rsid w:val="00FF6D92"/>
    <w:rsid w:val="00FF7804"/>
    <w:rsid w:val="02BD6325"/>
    <w:rsid w:val="034386F9"/>
    <w:rsid w:val="062CF60D"/>
    <w:rsid w:val="163DD829"/>
    <w:rsid w:val="186D35FE"/>
    <w:rsid w:val="286346CB"/>
    <w:rsid w:val="32BDB8A5"/>
    <w:rsid w:val="497344AF"/>
    <w:rsid w:val="5A72C08B"/>
    <w:rsid w:val="5CD7BC5C"/>
    <w:rsid w:val="62B4B133"/>
    <w:rsid w:val="64AC1CBB"/>
    <w:rsid w:val="6574DBA2"/>
    <w:rsid w:val="7A5C3F9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E7C9"/>
  <w14:defaultImageDpi w14:val="32767"/>
  <w15:chartTrackingRefBased/>
  <w15:docId w15:val="{44A27CC1-C5D8-4768-A84C-28DA86EC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01AF1"/>
    <w:pPr>
      <w:spacing w:line="360" w:lineRule="auto"/>
      <w:jc w:val="both"/>
    </w:pPr>
    <w:rPr>
      <w:rFonts w:ascii="Times New Roman" w:eastAsiaTheme="minorHAnsi" w:hAnsi="Times New Roman"/>
      <w:szCs w:val="22"/>
      <w:lang w:eastAsia="en-US"/>
    </w:rPr>
  </w:style>
  <w:style w:type="paragraph" w:styleId="Heading1">
    <w:name w:val="heading 1"/>
    <w:basedOn w:val="Normal"/>
    <w:next w:val="Normal"/>
    <w:link w:val="Heading1Char"/>
    <w:qFormat/>
    <w:rsid w:val="007A4273"/>
    <w:pPr>
      <w:keepNext/>
      <w:outlineLvl w:val="0"/>
    </w:pPr>
    <w:rPr>
      <w:rFonts w:eastAsia="Times New Roman" w:cs="Times New Roman"/>
      <w:b/>
      <w:sz w:val="28"/>
      <w:szCs w:val="20"/>
    </w:rPr>
  </w:style>
  <w:style w:type="paragraph" w:styleId="Heading2">
    <w:name w:val="heading 2"/>
    <w:basedOn w:val="Normal"/>
    <w:next w:val="Normal"/>
    <w:link w:val="Heading2Char"/>
    <w:uiPriority w:val="9"/>
    <w:unhideWhenUsed/>
    <w:rsid w:val="000B4661"/>
    <w:pPr>
      <w:outlineLvl w:val="1"/>
    </w:pPr>
    <w:rPr>
      <w:rFonts w:cs="Arial (Body CS)"/>
      <w:b/>
      <w:sz w:val="26"/>
    </w:rPr>
  </w:style>
  <w:style w:type="paragraph" w:styleId="Heading3">
    <w:name w:val="heading 3"/>
    <w:basedOn w:val="Normal"/>
    <w:next w:val="Normal"/>
    <w:link w:val="Heading3Char"/>
    <w:uiPriority w:val="9"/>
    <w:unhideWhenUsed/>
    <w:rsid w:val="009E344A"/>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4273"/>
    <w:rPr>
      <w:rFonts w:ascii="Times New Roman" w:eastAsia="Times New Roman" w:hAnsi="Times New Roman" w:cs="Times New Roman"/>
      <w:b/>
      <w:sz w:val="28"/>
      <w:szCs w:val="20"/>
      <w:lang w:eastAsia="en-US"/>
    </w:rPr>
  </w:style>
  <w:style w:type="paragraph" w:styleId="BodyTextIndent">
    <w:name w:val="Body Text Indent"/>
    <w:basedOn w:val="Normal"/>
    <w:link w:val="BodyTextIndentChar"/>
    <w:rsid w:val="00D701DF"/>
    <w:pPr>
      <w:widowControl w:val="0"/>
      <w:tabs>
        <w:tab w:val="left" w:pos="284"/>
      </w:tabs>
      <w:ind w:left="284" w:hanging="284"/>
      <w:jc w:val="center"/>
    </w:pPr>
    <w:rPr>
      <w:rFonts w:eastAsia="Times New Roman" w:cs="Times New Roman"/>
      <w:snapToGrid w:val="0"/>
      <w:spacing w:val="-3"/>
      <w:sz w:val="28"/>
      <w:szCs w:val="28"/>
    </w:rPr>
  </w:style>
  <w:style w:type="character" w:customStyle="1" w:styleId="BodyTextIndentChar">
    <w:name w:val="Body Text Indent Char"/>
    <w:basedOn w:val="DefaultParagraphFont"/>
    <w:link w:val="BodyTextIndent"/>
    <w:rsid w:val="00D701DF"/>
    <w:rPr>
      <w:rFonts w:ascii="Times New Roman" w:eastAsia="Times New Roman" w:hAnsi="Times New Roman" w:cs="Times New Roman"/>
      <w:snapToGrid w:val="0"/>
      <w:spacing w:val="-3"/>
      <w:sz w:val="28"/>
      <w:szCs w:val="28"/>
      <w:lang w:eastAsia="en-US"/>
    </w:rPr>
  </w:style>
  <w:style w:type="character" w:styleId="Hyperlink">
    <w:name w:val="Hyperlink"/>
    <w:basedOn w:val="DefaultParagraphFont"/>
    <w:uiPriority w:val="99"/>
    <w:unhideWhenUsed/>
    <w:rsid w:val="00D701DF"/>
    <w:rPr>
      <w:color w:val="0563C1" w:themeColor="hyperlink"/>
      <w:u w:val="single"/>
    </w:rPr>
  </w:style>
  <w:style w:type="table" w:styleId="TableGrid">
    <w:name w:val="Table Grid"/>
    <w:basedOn w:val="TableNormal"/>
    <w:uiPriority w:val="39"/>
    <w:rsid w:val="00D701DF"/>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701DF"/>
  </w:style>
  <w:style w:type="paragraph" w:styleId="Header">
    <w:name w:val="header"/>
    <w:basedOn w:val="Normal"/>
    <w:link w:val="HeaderChar"/>
    <w:rsid w:val="00D701DF"/>
    <w:pPr>
      <w:tabs>
        <w:tab w:val="center" w:pos="4153"/>
        <w:tab w:val="right" w:pos="8306"/>
      </w:tabs>
    </w:pPr>
    <w:rPr>
      <w:rFonts w:eastAsia="Times New Roman" w:cs="Times New Roman"/>
      <w:szCs w:val="24"/>
      <w:lang w:eastAsia="en-GB"/>
    </w:rPr>
  </w:style>
  <w:style w:type="character" w:customStyle="1" w:styleId="HeaderChar">
    <w:name w:val="Header Char"/>
    <w:basedOn w:val="DefaultParagraphFont"/>
    <w:link w:val="Header"/>
    <w:rsid w:val="00D701DF"/>
    <w:rPr>
      <w:rFonts w:ascii="Times New Roman" w:eastAsia="Times New Roman" w:hAnsi="Times New Roman" w:cs="Times New Roman"/>
      <w:lang w:eastAsia="en-GB"/>
    </w:rPr>
  </w:style>
  <w:style w:type="paragraph" w:styleId="Footer">
    <w:name w:val="footer"/>
    <w:basedOn w:val="Normal"/>
    <w:link w:val="FooterChar"/>
    <w:uiPriority w:val="99"/>
    <w:unhideWhenUsed/>
    <w:rsid w:val="00D701DF"/>
    <w:pPr>
      <w:tabs>
        <w:tab w:val="center" w:pos="4680"/>
        <w:tab w:val="right" w:pos="9360"/>
      </w:tabs>
    </w:pPr>
  </w:style>
  <w:style w:type="character" w:customStyle="1" w:styleId="FooterChar">
    <w:name w:val="Footer Char"/>
    <w:basedOn w:val="DefaultParagraphFont"/>
    <w:link w:val="Footer"/>
    <w:uiPriority w:val="99"/>
    <w:rsid w:val="00D701DF"/>
    <w:rPr>
      <w:rFonts w:eastAsiaTheme="minorHAnsi"/>
      <w:sz w:val="22"/>
      <w:szCs w:val="22"/>
      <w:lang w:eastAsia="en-US"/>
    </w:rPr>
  </w:style>
  <w:style w:type="character" w:styleId="CommentReference">
    <w:name w:val="annotation reference"/>
    <w:basedOn w:val="DefaultParagraphFont"/>
    <w:uiPriority w:val="99"/>
    <w:semiHidden/>
    <w:unhideWhenUsed/>
    <w:rsid w:val="004C51DA"/>
    <w:rPr>
      <w:sz w:val="16"/>
      <w:szCs w:val="16"/>
    </w:rPr>
  </w:style>
  <w:style w:type="paragraph" w:styleId="CommentText">
    <w:name w:val="annotation text"/>
    <w:basedOn w:val="Normal"/>
    <w:link w:val="CommentTextChar"/>
    <w:uiPriority w:val="99"/>
    <w:semiHidden/>
    <w:unhideWhenUsed/>
    <w:rsid w:val="004C51DA"/>
    <w:rPr>
      <w:sz w:val="20"/>
      <w:szCs w:val="20"/>
    </w:rPr>
  </w:style>
  <w:style w:type="character" w:customStyle="1" w:styleId="CommentTextChar">
    <w:name w:val="Comment Text Char"/>
    <w:basedOn w:val="DefaultParagraphFont"/>
    <w:link w:val="CommentText"/>
    <w:uiPriority w:val="99"/>
    <w:semiHidden/>
    <w:rsid w:val="004C51DA"/>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4C51DA"/>
    <w:rPr>
      <w:b/>
      <w:bCs/>
    </w:rPr>
  </w:style>
  <w:style w:type="character" w:customStyle="1" w:styleId="CommentSubjectChar">
    <w:name w:val="Comment Subject Char"/>
    <w:basedOn w:val="CommentTextChar"/>
    <w:link w:val="CommentSubject"/>
    <w:uiPriority w:val="99"/>
    <w:semiHidden/>
    <w:rsid w:val="004C51DA"/>
    <w:rPr>
      <w:rFonts w:eastAsiaTheme="minorHAnsi"/>
      <w:b/>
      <w:bCs/>
      <w:sz w:val="20"/>
      <w:szCs w:val="20"/>
      <w:lang w:eastAsia="en-US"/>
    </w:rPr>
  </w:style>
  <w:style w:type="paragraph" w:styleId="BalloonText">
    <w:name w:val="Balloon Text"/>
    <w:basedOn w:val="Normal"/>
    <w:link w:val="BalloonTextChar"/>
    <w:uiPriority w:val="99"/>
    <w:semiHidden/>
    <w:unhideWhenUsed/>
    <w:rsid w:val="004C51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51DA"/>
    <w:rPr>
      <w:rFonts w:ascii="Segoe UI" w:eastAsiaTheme="minorHAnsi" w:hAnsi="Segoe UI" w:cs="Segoe UI"/>
      <w:sz w:val="18"/>
      <w:szCs w:val="18"/>
      <w:lang w:eastAsia="en-US"/>
    </w:rPr>
  </w:style>
  <w:style w:type="paragraph" w:styleId="NormalWeb">
    <w:name w:val="Normal (Web)"/>
    <w:basedOn w:val="Normal"/>
    <w:uiPriority w:val="99"/>
    <w:unhideWhenUsed/>
    <w:rsid w:val="00AC3DBA"/>
    <w:pPr>
      <w:spacing w:before="100" w:beforeAutospacing="1" w:after="100" w:afterAutospacing="1"/>
    </w:pPr>
    <w:rPr>
      <w:rFonts w:eastAsia="Times New Roman" w:cs="Times New Roman"/>
      <w:szCs w:val="24"/>
      <w:lang w:eastAsia="en-GB"/>
    </w:rPr>
  </w:style>
  <w:style w:type="paragraph" w:styleId="ListParagraph">
    <w:name w:val="List Paragraph"/>
    <w:basedOn w:val="Normal"/>
    <w:uiPriority w:val="34"/>
    <w:rsid w:val="00AB45DD"/>
    <w:pPr>
      <w:ind w:left="720"/>
      <w:contextualSpacing/>
    </w:pPr>
  </w:style>
  <w:style w:type="paragraph" w:styleId="FootnoteText">
    <w:name w:val="footnote text"/>
    <w:basedOn w:val="Normal"/>
    <w:link w:val="FootnoteTextChar"/>
    <w:uiPriority w:val="99"/>
    <w:semiHidden/>
    <w:unhideWhenUsed/>
    <w:rsid w:val="002C1808"/>
    <w:pPr>
      <w:spacing w:line="240" w:lineRule="auto"/>
    </w:pPr>
    <w:rPr>
      <w:sz w:val="20"/>
      <w:szCs w:val="20"/>
    </w:rPr>
  </w:style>
  <w:style w:type="character" w:customStyle="1" w:styleId="FootnoteTextChar">
    <w:name w:val="Footnote Text Char"/>
    <w:basedOn w:val="DefaultParagraphFont"/>
    <w:link w:val="FootnoteText"/>
    <w:uiPriority w:val="99"/>
    <w:semiHidden/>
    <w:rsid w:val="002C1808"/>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2C1808"/>
    <w:rPr>
      <w:vertAlign w:val="superscript"/>
    </w:rPr>
  </w:style>
  <w:style w:type="character" w:styleId="Emphasis">
    <w:name w:val="Emphasis"/>
    <w:basedOn w:val="DefaultParagraphFont"/>
    <w:uiPriority w:val="20"/>
    <w:qFormat/>
    <w:rsid w:val="007B0080"/>
    <w:rPr>
      <w:i/>
      <w:iCs/>
    </w:rPr>
  </w:style>
  <w:style w:type="character" w:styleId="Strong">
    <w:name w:val="Strong"/>
    <w:basedOn w:val="DefaultParagraphFont"/>
    <w:uiPriority w:val="22"/>
    <w:rsid w:val="00192B39"/>
    <w:rPr>
      <w:b/>
      <w:bCs/>
    </w:rPr>
  </w:style>
  <w:style w:type="character" w:styleId="UnresolvedMention">
    <w:name w:val="Unresolved Mention"/>
    <w:basedOn w:val="DefaultParagraphFont"/>
    <w:uiPriority w:val="99"/>
    <w:rsid w:val="000D3660"/>
    <w:rPr>
      <w:color w:val="605E5C"/>
      <w:shd w:val="clear" w:color="auto" w:fill="E1DFDD"/>
    </w:rPr>
  </w:style>
  <w:style w:type="character" w:customStyle="1" w:styleId="Heading2Char">
    <w:name w:val="Heading 2 Char"/>
    <w:basedOn w:val="DefaultParagraphFont"/>
    <w:link w:val="Heading2"/>
    <w:uiPriority w:val="9"/>
    <w:rsid w:val="000B4661"/>
    <w:rPr>
      <w:rFonts w:ascii="Times New Roman" w:eastAsiaTheme="minorHAnsi" w:hAnsi="Times New Roman" w:cs="Arial (Body CS)"/>
      <w:b/>
      <w:sz w:val="26"/>
      <w:szCs w:val="22"/>
      <w:lang w:eastAsia="en-US"/>
    </w:rPr>
  </w:style>
  <w:style w:type="character" w:customStyle="1" w:styleId="Heading3Char">
    <w:name w:val="Heading 3 Char"/>
    <w:basedOn w:val="DefaultParagraphFont"/>
    <w:link w:val="Heading3"/>
    <w:uiPriority w:val="9"/>
    <w:rsid w:val="009E344A"/>
    <w:rPr>
      <w:rFonts w:asciiTheme="majorHAnsi" w:eastAsiaTheme="majorEastAsia" w:hAnsiTheme="majorHAnsi" w:cstheme="majorBidi"/>
      <w:color w:val="1F3763" w:themeColor="accent1" w:themeShade="7F"/>
      <w:lang w:eastAsia="en-US"/>
    </w:rPr>
  </w:style>
  <w:style w:type="paragraph" w:styleId="TOCHeading">
    <w:name w:val="TOC Heading"/>
    <w:basedOn w:val="Heading1"/>
    <w:next w:val="Normal"/>
    <w:uiPriority w:val="39"/>
    <w:unhideWhenUsed/>
    <w:rsid w:val="003F5009"/>
    <w:pPr>
      <w:keepLines/>
      <w:spacing w:before="480" w:line="276" w:lineRule="auto"/>
      <w:jc w:val="left"/>
      <w:outlineLvl w:val="9"/>
    </w:pPr>
    <w:rPr>
      <w:rFonts w:asciiTheme="majorHAnsi" w:eastAsiaTheme="majorEastAsia" w:hAnsiTheme="majorHAnsi" w:cstheme="majorBidi"/>
      <w:bCs/>
      <w:color w:val="2F5496" w:themeColor="accent1" w:themeShade="BF"/>
      <w:szCs w:val="28"/>
      <w:lang w:val="en-US"/>
    </w:rPr>
  </w:style>
  <w:style w:type="paragraph" w:styleId="TOC1">
    <w:name w:val="toc 1"/>
    <w:basedOn w:val="Normal"/>
    <w:next w:val="Normal"/>
    <w:autoRedefine/>
    <w:uiPriority w:val="39"/>
    <w:unhideWhenUsed/>
    <w:rsid w:val="001D45DA"/>
    <w:pPr>
      <w:spacing w:before="120"/>
    </w:pPr>
    <w:rPr>
      <w:rFonts w:cs="Calibri (Body)"/>
      <w:b/>
      <w:bCs/>
      <w:iCs/>
      <w:sz w:val="28"/>
      <w:szCs w:val="24"/>
    </w:rPr>
  </w:style>
  <w:style w:type="paragraph" w:styleId="TOC2">
    <w:name w:val="toc 2"/>
    <w:basedOn w:val="Normal"/>
    <w:next w:val="Normal"/>
    <w:autoRedefine/>
    <w:uiPriority w:val="39"/>
    <w:unhideWhenUsed/>
    <w:rsid w:val="00314C1A"/>
    <w:pPr>
      <w:spacing w:before="120"/>
      <w:ind w:left="240"/>
      <w:jc w:val="left"/>
    </w:pPr>
    <w:rPr>
      <w:rFonts w:cs="Calibri (Body)"/>
      <w:bCs/>
      <w:sz w:val="26"/>
    </w:rPr>
  </w:style>
  <w:style w:type="paragraph" w:styleId="TOC3">
    <w:name w:val="toc 3"/>
    <w:basedOn w:val="Normal"/>
    <w:next w:val="Normal"/>
    <w:autoRedefine/>
    <w:uiPriority w:val="39"/>
    <w:semiHidden/>
    <w:unhideWhenUsed/>
    <w:rsid w:val="003F5009"/>
    <w:pPr>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3F5009"/>
    <w:pPr>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F5009"/>
    <w:pPr>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F5009"/>
    <w:pPr>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F5009"/>
    <w:pPr>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F5009"/>
    <w:pPr>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F5009"/>
    <w:pPr>
      <w:ind w:left="1920"/>
      <w:jc w:val="left"/>
    </w:pPr>
    <w:rPr>
      <w:rFonts w:asciiTheme="minorHAnsi" w:hAnsiTheme="minorHAnsi" w:cstheme="minorHAnsi"/>
      <w:sz w:val="20"/>
      <w:szCs w:val="20"/>
    </w:rPr>
  </w:style>
  <w:style w:type="paragraph" w:customStyle="1" w:styleId="p1">
    <w:name w:val="p1"/>
    <w:basedOn w:val="Normal"/>
    <w:rsid w:val="00224E74"/>
    <w:pPr>
      <w:spacing w:before="100" w:beforeAutospacing="1" w:after="100" w:afterAutospacing="1" w:line="240" w:lineRule="auto"/>
      <w:jc w:val="left"/>
    </w:pPr>
    <w:rPr>
      <w:rFonts w:eastAsia="Times New Roman" w:cs="Times New Roman"/>
      <w:szCs w:val="24"/>
      <w:lang w:eastAsia="zh-CN"/>
    </w:rPr>
  </w:style>
  <w:style w:type="character" w:customStyle="1" w:styleId="app-article-mastheadjournal-title">
    <w:name w:val="app-article-masthead__journal-title"/>
    <w:basedOn w:val="DefaultParagraphFont"/>
    <w:rsid w:val="00372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1608">
      <w:bodyDiv w:val="1"/>
      <w:marLeft w:val="0"/>
      <w:marRight w:val="0"/>
      <w:marTop w:val="0"/>
      <w:marBottom w:val="0"/>
      <w:divBdr>
        <w:top w:val="none" w:sz="0" w:space="0" w:color="auto"/>
        <w:left w:val="none" w:sz="0" w:space="0" w:color="auto"/>
        <w:bottom w:val="none" w:sz="0" w:space="0" w:color="auto"/>
        <w:right w:val="none" w:sz="0" w:space="0" w:color="auto"/>
      </w:divBdr>
      <w:divsChild>
        <w:div w:id="401411610">
          <w:marLeft w:val="0"/>
          <w:marRight w:val="0"/>
          <w:marTop w:val="0"/>
          <w:marBottom w:val="0"/>
          <w:divBdr>
            <w:top w:val="none" w:sz="0" w:space="0" w:color="auto"/>
            <w:left w:val="none" w:sz="0" w:space="0" w:color="auto"/>
            <w:bottom w:val="none" w:sz="0" w:space="0" w:color="auto"/>
            <w:right w:val="none" w:sz="0" w:space="0" w:color="auto"/>
          </w:divBdr>
          <w:divsChild>
            <w:div w:id="526917194">
              <w:marLeft w:val="0"/>
              <w:marRight w:val="0"/>
              <w:marTop w:val="0"/>
              <w:marBottom w:val="0"/>
              <w:divBdr>
                <w:top w:val="none" w:sz="0" w:space="0" w:color="auto"/>
                <w:left w:val="none" w:sz="0" w:space="0" w:color="auto"/>
                <w:bottom w:val="none" w:sz="0" w:space="0" w:color="auto"/>
                <w:right w:val="none" w:sz="0" w:space="0" w:color="auto"/>
              </w:divBdr>
              <w:divsChild>
                <w:div w:id="1611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05655">
      <w:bodyDiv w:val="1"/>
      <w:marLeft w:val="0"/>
      <w:marRight w:val="0"/>
      <w:marTop w:val="0"/>
      <w:marBottom w:val="0"/>
      <w:divBdr>
        <w:top w:val="none" w:sz="0" w:space="0" w:color="auto"/>
        <w:left w:val="none" w:sz="0" w:space="0" w:color="auto"/>
        <w:bottom w:val="none" w:sz="0" w:space="0" w:color="auto"/>
        <w:right w:val="none" w:sz="0" w:space="0" w:color="auto"/>
      </w:divBdr>
      <w:divsChild>
        <w:div w:id="1337727482">
          <w:marLeft w:val="0"/>
          <w:marRight w:val="0"/>
          <w:marTop w:val="0"/>
          <w:marBottom w:val="0"/>
          <w:divBdr>
            <w:top w:val="none" w:sz="0" w:space="0" w:color="auto"/>
            <w:left w:val="none" w:sz="0" w:space="0" w:color="auto"/>
            <w:bottom w:val="none" w:sz="0" w:space="0" w:color="auto"/>
            <w:right w:val="none" w:sz="0" w:space="0" w:color="auto"/>
          </w:divBdr>
          <w:divsChild>
            <w:div w:id="1846242360">
              <w:marLeft w:val="0"/>
              <w:marRight w:val="0"/>
              <w:marTop w:val="0"/>
              <w:marBottom w:val="0"/>
              <w:divBdr>
                <w:top w:val="none" w:sz="0" w:space="0" w:color="auto"/>
                <w:left w:val="none" w:sz="0" w:space="0" w:color="auto"/>
                <w:bottom w:val="none" w:sz="0" w:space="0" w:color="auto"/>
                <w:right w:val="none" w:sz="0" w:space="0" w:color="auto"/>
              </w:divBdr>
              <w:divsChild>
                <w:div w:id="17476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81530">
      <w:bodyDiv w:val="1"/>
      <w:marLeft w:val="0"/>
      <w:marRight w:val="0"/>
      <w:marTop w:val="0"/>
      <w:marBottom w:val="0"/>
      <w:divBdr>
        <w:top w:val="none" w:sz="0" w:space="0" w:color="auto"/>
        <w:left w:val="none" w:sz="0" w:space="0" w:color="auto"/>
        <w:bottom w:val="none" w:sz="0" w:space="0" w:color="auto"/>
        <w:right w:val="none" w:sz="0" w:space="0" w:color="auto"/>
      </w:divBdr>
      <w:divsChild>
        <w:div w:id="915896106">
          <w:marLeft w:val="0"/>
          <w:marRight w:val="0"/>
          <w:marTop w:val="0"/>
          <w:marBottom w:val="0"/>
          <w:divBdr>
            <w:top w:val="none" w:sz="0" w:space="0" w:color="auto"/>
            <w:left w:val="none" w:sz="0" w:space="0" w:color="auto"/>
            <w:bottom w:val="none" w:sz="0" w:space="0" w:color="auto"/>
            <w:right w:val="none" w:sz="0" w:space="0" w:color="auto"/>
          </w:divBdr>
          <w:divsChild>
            <w:div w:id="1066803350">
              <w:marLeft w:val="0"/>
              <w:marRight w:val="0"/>
              <w:marTop w:val="0"/>
              <w:marBottom w:val="0"/>
              <w:divBdr>
                <w:top w:val="none" w:sz="0" w:space="0" w:color="auto"/>
                <w:left w:val="none" w:sz="0" w:space="0" w:color="auto"/>
                <w:bottom w:val="none" w:sz="0" w:space="0" w:color="auto"/>
                <w:right w:val="none" w:sz="0" w:space="0" w:color="auto"/>
              </w:divBdr>
              <w:divsChild>
                <w:div w:id="17692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11.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http://www.gla.ac.uk/visualidentity/downloads/files/School%20of%20Law/BMP/Law_mono.bmp" TargetMode="External"/><Relationship Id="rId14" Type="http://schemas.openxmlformats.org/officeDocument/2006/relationships/header" Target="header4.xml"/><Relationship Id="rId22"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2B5D7-4B25-1A4E-BFEB-F015927B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4714</Words>
  <Characters>28427</Characters>
  <Application>Microsoft Office Word</Application>
  <DocSecurity>0</DocSecurity>
  <Lines>490</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Finlay</dc:creator>
  <cp:keywords/>
  <dc:description/>
  <cp:lastModifiedBy>Tianshi Li (student)</cp:lastModifiedBy>
  <cp:revision>5</cp:revision>
  <dcterms:created xsi:type="dcterms:W3CDTF">2026-03-28T19:54:00Z</dcterms:created>
  <dcterms:modified xsi:type="dcterms:W3CDTF">2026-03-28T19:56:00Z</dcterms:modified>
</cp:coreProperties>
</file>