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ABB6" w14:textId="443D6B5F" w:rsidR="008C0A42" w:rsidRPr="003911EF" w:rsidRDefault="008C0A42" w:rsidP="008C0A42">
      <w:pPr>
        <w:jc w:val="center"/>
        <w:rPr>
          <w:rFonts w:ascii="Calibri" w:hAnsi="Calibri" w:cs="Calibri"/>
          <w:b/>
          <w:smallCaps/>
        </w:rPr>
      </w:pPr>
      <w:r w:rsidRPr="003911EF">
        <w:rPr>
          <w:rFonts w:ascii="Calibri" w:hAnsi="Calibri" w:cs="Calibri"/>
          <w:b/>
          <w:smallCaps/>
        </w:rPr>
        <w:t xml:space="preserve">Seminar </w:t>
      </w:r>
      <w:r w:rsidR="003D444F">
        <w:rPr>
          <w:rFonts w:ascii="Calibri" w:hAnsi="Calibri" w:cs="Calibri"/>
          <w:b/>
          <w:smallCaps/>
        </w:rPr>
        <w:t>7</w:t>
      </w:r>
      <w:r w:rsidRPr="003911EF">
        <w:rPr>
          <w:rFonts w:ascii="Calibri" w:hAnsi="Calibri" w:cs="Calibri"/>
          <w:b/>
          <w:smallCaps/>
        </w:rPr>
        <w:t xml:space="preserve"> – </w:t>
      </w:r>
      <w:r w:rsidRPr="003911EF">
        <w:rPr>
          <w:rFonts w:ascii="Calibri" w:eastAsia="Calibri" w:hAnsi="Calibri" w:cs="Calibri"/>
          <w:b/>
          <w:bCs/>
          <w:smallCaps/>
        </w:rPr>
        <w:t>Challenging and Enforcing Awards</w:t>
      </w:r>
    </w:p>
    <w:p w14:paraId="4FF72E2C" w14:textId="77777777" w:rsidR="008C0A42" w:rsidRPr="003911EF" w:rsidRDefault="008C0A42" w:rsidP="008C0A42">
      <w:pPr>
        <w:pStyle w:val="BodyTextIndent"/>
        <w:ind w:left="0" w:firstLine="0"/>
        <w:rPr>
          <w:rFonts w:ascii="Calibri" w:hAnsi="Calibri" w:cs="Calibri"/>
          <w:lang w:val="en-US"/>
        </w:rPr>
      </w:pPr>
    </w:p>
    <w:p w14:paraId="58B32BA5" w14:textId="77777777" w:rsidR="008C0A42" w:rsidRPr="003911EF" w:rsidRDefault="008C0A42" w:rsidP="008C0A42">
      <w:pPr>
        <w:pStyle w:val="BodyTextIndent"/>
        <w:rPr>
          <w:rFonts w:ascii="Calibri" w:hAnsi="Calibri" w:cs="Calibri"/>
          <w:b/>
          <w:smallCaps/>
          <w:lang w:val="en-US"/>
        </w:rPr>
      </w:pPr>
      <w:r w:rsidRPr="003911EF">
        <w:rPr>
          <w:rFonts w:ascii="Calibri" w:hAnsi="Calibri" w:cs="Calibri"/>
          <w:b/>
          <w:lang w:val="en-US"/>
        </w:rPr>
        <w:t xml:space="preserve">I. </w:t>
      </w:r>
      <w:r w:rsidRPr="003911EF">
        <w:rPr>
          <w:rFonts w:ascii="Calibri" w:hAnsi="Calibri" w:cs="Calibri"/>
          <w:b/>
          <w:smallCaps/>
          <w:lang w:val="en-US"/>
        </w:rPr>
        <w:t>Essential Reading</w:t>
      </w:r>
    </w:p>
    <w:p w14:paraId="6C9E34BA" w14:textId="77777777" w:rsidR="008C0A42" w:rsidRPr="003911EF" w:rsidRDefault="008C0A42" w:rsidP="008C0A42">
      <w:pPr>
        <w:pStyle w:val="BodyTextIndent"/>
        <w:rPr>
          <w:rFonts w:ascii="Calibri" w:hAnsi="Calibri" w:cs="Calibri"/>
          <w:b/>
          <w:lang w:val="en-US"/>
        </w:rPr>
      </w:pPr>
    </w:p>
    <w:p w14:paraId="0C59B0F8" w14:textId="39A8D653" w:rsidR="008C0A42" w:rsidRPr="003911EF" w:rsidRDefault="008C0A42" w:rsidP="008C0A42">
      <w:pPr>
        <w:pStyle w:val="BodyTextIndent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3911EF">
        <w:rPr>
          <w:rFonts w:ascii="Calibri" w:hAnsi="Calibri" w:cs="Calibri"/>
        </w:rPr>
        <w:t xml:space="preserve">Lim, Ho &amp; </w:t>
      </w:r>
      <w:proofErr w:type="spellStart"/>
      <w:r w:rsidRPr="003911EF">
        <w:rPr>
          <w:rFonts w:ascii="Calibri" w:hAnsi="Calibri" w:cs="Calibri"/>
        </w:rPr>
        <w:t>Paparinskis</w:t>
      </w:r>
      <w:proofErr w:type="spellEnd"/>
      <w:r w:rsidRPr="003911EF">
        <w:rPr>
          <w:rFonts w:ascii="Calibri" w:hAnsi="Calibri" w:cs="Calibri"/>
        </w:rPr>
        <w:t xml:space="preserve">, </w:t>
      </w:r>
      <w:r w:rsidR="007537B9">
        <w:rPr>
          <w:rFonts w:ascii="Calibri" w:hAnsi="Calibri" w:cs="Calibri"/>
        </w:rPr>
        <w:t>2</w:t>
      </w:r>
      <w:r w:rsidR="007537B9" w:rsidRPr="007537B9">
        <w:rPr>
          <w:rFonts w:ascii="Calibri" w:hAnsi="Calibri" w:cs="Calibri"/>
          <w:vertAlign w:val="superscript"/>
        </w:rPr>
        <w:t>nd</w:t>
      </w:r>
      <w:r w:rsidR="007537B9">
        <w:rPr>
          <w:rFonts w:ascii="Calibri" w:hAnsi="Calibri" w:cs="Calibri"/>
        </w:rPr>
        <w:t xml:space="preserve"> edition, Chapter 19</w:t>
      </w:r>
    </w:p>
    <w:p w14:paraId="67E6D50F" w14:textId="77777777" w:rsidR="008C0A42" w:rsidRPr="003911EF" w:rsidRDefault="008C0A42" w:rsidP="008C0A42">
      <w:pPr>
        <w:pStyle w:val="BodyTextIndent"/>
        <w:ind w:left="0" w:firstLine="0"/>
        <w:rPr>
          <w:rFonts w:ascii="Calibri" w:hAnsi="Calibri" w:cs="Calibri"/>
          <w:lang w:eastAsia="en-GB"/>
        </w:rPr>
      </w:pPr>
    </w:p>
    <w:p w14:paraId="1D889EC8" w14:textId="77777777" w:rsidR="008C0A42" w:rsidRPr="003911EF" w:rsidRDefault="008C0A42" w:rsidP="008C0A42">
      <w:pPr>
        <w:pStyle w:val="BodyTextIndent"/>
        <w:rPr>
          <w:rFonts w:ascii="Calibri" w:hAnsi="Calibri" w:cs="Calibri"/>
          <w:b/>
          <w:smallCaps/>
          <w:lang w:val="en-US"/>
        </w:rPr>
      </w:pPr>
      <w:r w:rsidRPr="003911EF">
        <w:rPr>
          <w:rFonts w:ascii="Calibri" w:hAnsi="Calibri" w:cs="Calibri"/>
          <w:b/>
          <w:lang w:val="en-US"/>
        </w:rPr>
        <w:t xml:space="preserve">II. </w:t>
      </w:r>
      <w:r w:rsidRPr="003911EF">
        <w:rPr>
          <w:rFonts w:ascii="Calibri" w:hAnsi="Calibri" w:cs="Calibri"/>
          <w:b/>
          <w:smallCaps/>
          <w:lang w:val="en-US"/>
        </w:rPr>
        <w:t>Optional Reading</w:t>
      </w:r>
    </w:p>
    <w:p w14:paraId="1D401B93" w14:textId="77777777" w:rsidR="008C0A42" w:rsidRPr="003911EF" w:rsidRDefault="008C0A42" w:rsidP="008C0A42">
      <w:pPr>
        <w:pStyle w:val="BodyTextIndent"/>
        <w:rPr>
          <w:rFonts w:ascii="Calibri" w:hAnsi="Calibri" w:cs="Calibri"/>
          <w:b/>
          <w:lang w:val="en-US"/>
        </w:rPr>
      </w:pPr>
    </w:p>
    <w:p w14:paraId="2F5428BD" w14:textId="1FC83582" w:rsidR="002F537E" w:rsidRPr="002F537E" w:rsidRDefault="002F537E" w:rsidP="008C0A42">
      <w:pPr>
        <w:pStyle w:val="BodyTextIndent"/>
        <w:numPr>
          <w:ilvl w:val="0"/>
          <w:numId w:val="1"/>
        </w:numPr>
        <w:rPr>
          <w:rFonts w:ascii="Calibri" w:hAnsi="Calibri" w:cs="Calibri"/>
        </w:rPr>
      </w:pPr>
      <w:r w:rsidRPr="002F537E">
        <w:rPr>
          <w:rFonts w:ascii="Calibri" w:hAnsi="Calibri" w:cs="Calibri"/>
          <w:color w:val="2A2A2A"/>
          <w:shd w:val="clear" w:color="auto" w:fill="FFFFFF"/>
        </w:rPr>
        <w:t xml:space="preserve">Emmanuel Gaillard, Ilija Mitrev </w:t>
      </w:r>
      <w:proofErr w:type="spellStart"/>
      <w:r w:rsidRPr="002F537E">
        <w:rPr>
          <w:rFonts w:ascii="Calibri" w:hAnsi="Calibri" w:cs="Calibri"/>
          <w:color w:val="2A2A2A"/>
          <w:shd w:val="clear" w:color="auto" w:fill="FFFFFF"/>
        </w:rPr>
        <w:t>Penushliski</w:t>
      </w:r>
      <w:proofErr w:type="spellEnd"/>
      <w:r w:rsidRPr="002F537E">
        <w:rPr>
          <w:rFonts w:ascii="Calibri" w:hAnsi="Calibri" w:cs="Calibri"/>
          <w:color w:val="2A2A2A"/>
          <w:shd w:val="clear" w:color="auto" w:fill="FFFFFF"/>
        </w:rPr>
        <w:t xml:space="preserve">, </w:t>
      </w:r>
      <w:r>
        <w:rPr>
          <w:rFonts w:ascii="Calibri" w:hAnsi="Calibri" w:cs="Calibri"/>
          <w:color w:val="2A2A2A"/>
          <w:shd w:val="clear" w:color="auto" w:fill="FFFFFF"/>
        </w:rPr>
        <w:t>‘</w:t>
      </w:r>
      <w:hyperlink r:id="rId5" w:history="1">
        <w:r w:rsidRPr="002F537E">
          <w:rPr>
            <w:rStyle w:val="Hyperlink"/>
            <w:rFonts w:ascii="Calibri" w:hAnsi="Calibri" w:cs="Calibri"/>
            <w:shd w:val="clear" w:color="auto" w:fill="FFFFFF"/>
          </w:rPr>
          <w:t>State Compliance with Investment Awards</w:t>
        </w:r>
      </w:hyperlink>
      <w:r>
        <w:rPr>
          <w:rFonts w:ascii="Calibri" w:hAnsi="Calibri" w:cs="Calibri"/>
          <w:color w:val="2A2A2A"/>
          <w:shd w:val="clear" w:color="auto" w:fill="FFFFFF"/>
        </w:rPr>
        <w:t>’ (2020) 35</w:t>
      </w:r>
      <w:r w:rsidRPr="002F537E">
        <w:rPr>
          <w:rStyle w:val="apple-converted-space"/>
          <w:rFonts w:ascii="Calibri" w:hAnsi="Calibri" w:cs="Calibri"/>
          <w:color w:val="2A2A2A"/>
          <w:shd w:val="clear" w:color="auto" w:fill="FFFFFF"/>
        </w:rPr>
        <w:t> </w:t>
      </w:r>
      <w:r w:rsidRPr="002F537E">
        <w:rPr>
          <w:rStyle w:val="Emphasis"/>
          <w:rFonts w:ascii="Calibri" w:hAnsi="Calibri" w:cs="Calibri"/>
          <w:i w:val="0"/>
          <w:iCs w:val="0"/>
          <w:color w:val="2A2A2A"/>
          <w:bdr w:val="none" w:sz="0" w:space="0" w:color="auto" w:frame="1"/>
        </w:rPr>
        <w:t>ICSID Review</w:t>
      </w:r>
      <w:r>
        <w:rPr>
          <w:rStyle w:val="Emphasis"/>
          <w:rFonts w:ascii="Calibri" w:hAnsi="Calibri" w:cs="Calibri"/>
          <w:color w:val="2A2A2A"/>
          <w:bdr w:val="none" w:sz="0" w:space="0" w:color="auto" w:frame="1"/>
        </w:rPr>
        <w:t xml:space="preserve"> </w:t>
      </w:r>
      <w:r w:rsidRPr="002F537E">
        <w:rPr>
          <w:rFonts w:ascii="Calibri" w:hAnsi="Calibri" w:cs="Calibri"/>
          <w:color w:val="2A2A2A"/>
          <w:shd w:val="clear" w:color="auto" w:fill="FFFFFF"/>
        </w:rPr>
        <w:t>540–594</w:t>
      </w:r>
    </w:p>
    <w:p w14:paraId="0BFEF28E" w14:textId="35D6AC9B" w:rsidR="002F537E" w:rsidRPr="002F537E" w:rsidRDefault="002F537E" w:rsidP="008C0A42">
      <w:pPr>
        <w:pStyle w:val="BodyTextIndent"/>
        <w:numPr>
          <w:ilvl w:val="0"/>
          <w:numId w:val="1"/>
        </w:numPr>
        <w:rPr>
          <w:rFonts w:ascii="Calibri" w:hAnsi="Calibri" w:cs="Calibri"/>
        </w:rPr>
      </w:pPr>
      <w:r w:rsidRPr="002F537E">
        <w:rPr>
          <w:rFonts w:ascii="Calibri" w:hAnsi="Calibri" w:cs="Calibri"/>
          <w:color w:val="2A2A2A"/>
          <w:shd w:val="clear" w:color="auto" w:fill="FFFFFF"/>
        </w:rPr>
        <w:t xml:space="preserve">Taylor St John, Malcolm Langford, Yuliya Chernykh, Øyvind Stiansen, Tarald Gulseth Berge, Sergio Puig, </w:t>
      </w:r>
      <w:r>
        <w:rPr>
          <w:rFonts w:ascii="Calibri" w:hAnsi="Calibri" w:cs="Calibri"/>
          <w:color w:val="2A2A2A"/>
          <w:shd w:val="clear" w:color="auto" w:fill="FFFFFF"/>
        </w:rPr>
        <w:t>‘</w:t>
      </w:r>
      <w:hyperlink r:id="rId6" w:history="1">
        <w:r w:rsidRPr="002F537E">
          <w:rPr>
            <w:rStyle w:val="Hyperlink"/>
            <w:rFonts w:ascii="Calibri" w:hAnsi="Calibri" w:cs="Calibri"/>
            <w:shd w:val="clear" w:color="auto" w:fill="FFFFFF"/>
          </w:rPr>
          <w:t>Bargaining in the Shadow of Awards</w:t>
        </w:r>
      </w:hyperlink>
      <w:r w:rsidRPr="002F537E">
        <w:rPr>
          <w:rFonts w:ascii="Calibri" w:hAnsi="Calibri" w:cs="Calibri"/>
          <w:color w:val="2A2A2A"/>
          <w:shd w:val="clear" w:color="auto" w:fill="FFFFFF"/>
        </w:rPr>
        <w:t>’ (2024)</w:t>
      </w:r>
      <w:r w:rsidRPr="002F537E">
        <w:rPr>
          <w:rStyle w:val="apple-converted-space"/>
          <w:rFonts w:ascii="Calibri" w:hAnsi="Calibri" w:cs="Calibri"/>
          <w:color w:val="2A2A2A"/>
          <w:shd w:val="clear" w:color="auto" w:fill="FFFFFF"/>
        </w:rPr>
        <w:t> </w:t>
      </w:r>
      <w:r w:rsidRPr="002F537E">
        <w:rPr>
          <w:rStyle w:val="Emphasis"/>
          <w:rFonts w:ascii="Calibri" w:hAnsi="Calibri" w:cs="Calibri"/>
          <w:i w:val="0"/>
          <w:iCs w:val="0"/>
          <w:color w:val="2A2A2A"/>
          <w:bdr w:val="none" w:sz="0" w:space="0" w:color="auto" w:frame="1"/>
        </w:rPr>
        <w:t>European Journal of International Law</w:t>
      </w:r>
      <w:r w:rsidR="00300864">
        <w:rPr>
          <w:rFonts w:ascii="Calibri" w:hAnsi="Calibri" w:cs="Calibri"/>
          <w:color w:val="2A2A2A"/>
          <w:shd w:val="clear" w:color="auto" w:fill="FFFFFF"/>
        </w:rPr>
        <w:t>.</w:t>
      </w:r>
    </w:p>
    <w:p w14:paraId="3F6EA3BB" w14:textId="2679F261" w:rsidR="008C0A42" w:rsidRPr="003911EF" w:rsidRDefault="008C0A42" w:rsidP="008C0A42">
      <w:pPr>
        <w:pStyle w:val="BodyTextIndent"/>
        <w:numPr>
          <w:ilvl w:val="0"/>
          <w:numId w:val="1"/>
        </w:numPr>
        <w:rPr>
          <w:rFonts w:ascii="Calibri" w:hAnsi="Calibri" w:cs="Calibri"/>
        </w:rPr>
      </w:pPr>
      <w:r w:rsidRPr="003911EF">
        <w:rPr>
          <w:rFonts w:ascii="Calibri" w:hAnsi="Calibri" w:cs="Calibri"/>
          <w:lang w:eastAsia="en-GB"/>
        </w:rPr>
        <w:t xml:space="preserve">Balas, Review of Awards, in: </w:t>
      </w:r>
      <w:proofErr w:type="spellStart"/>
      <w:r w:rsidRPr="003911EF">
        <w:rPr>
          <w:rFonts w:ascii="Calibri" w:hAnsi="Calibri" w:cs="Calibri"/>
          <w:lang w:eastAsia="en-GB"/>
        </w:rPr>
        <w:t>Muchlinski</w:t>
      </w:r>
      <w:proofErr w:type="spellEnd"/>
      <w:r w:rsidRPr="003911EF">
        <w:rPr>
          <w:rFonts w:ascii="Calibri" w:hAnsi="Calibri" w:cs="Calibri"/>
          <w:lang w:eastAsia="en-GB"/>
        </w:rPr>
        <w:t>/</w:t>
      </w:r>
      <w:proofErr w:type="spellStart"/>
      <w:r w:rsidRPr="003911EF">
        <w:rPr>
          <w:rFonts w:ascii="Calibri" w:hAnsi="Calibri" w:cs="Calibri"/>
          <w:lang w:eastAsia="en-GB"/>
        </w:rPr>
        <w:t>Ortino</w:t>
      </w:r>
      <w:proofErr w:type="spellEnd"/>
      <w:r w:rsidRPr="003911EF">
        <w:rPr>
          <w:rFonts w:ascii="Calibri" w:hAnsi="Calibri" w:cs="Calibri"/>
          <w:lang w:eastAsia="en-GB"/>
        </w:rPr>
        <w:t>/</w:t>
      </w:r>
      <w:proofErr w:type="spellStart"/>
      <w:r w:rsidRPr="003911EF">
        <w:rPr>
          <w:rFonts w:ascii="Calibri" w:hAnsi="Calibri" w:cs="Calibri"/>
          <w:lang w:eastAsia="en-GB"/>
        </w:rPr>
        <w:t>Schreuer</w:t>
      </w:r>
      <w:proofErr w:type="spellEnd"/>
      <w:r w:rsidRPr="003911EF">
        <w:rPr>
          <w:rFonts w:ascii="Calibri" w:hAnsi="Calibri" w:cs="Calibri"/>
          <w:lang w:eastAsia="en-GB"/>
        </w:rPr>
        <w:t>,</w:t>
      </w:r>
      <w:r w:rsidRPr="003911EF">
        <w:rPr>
          <w:rStyle w:val="Emphasis"/>
          <w:rFonts w:ascii="Calibri" w:hAnsi="Calibri" w:cs="Calibri"/>
        </w:rPr>
        <w:t xml:space="preserve"> </w:t>
      </w:r>
      <w:hyperlink r:id="rId7" w:history="1">
        <w:r w:rsidRPr="003911EF">
          <w:rPr>
            <w:rStyle w:val="Hyperlink"/>
            <w:rFonts w:ascii="Calibri" w:hAnsi="Calibri" w:cs="Calibri"/>
            <w:color w:val="auto"/>
          </w:rPr>
          <w:t>The Oxford Handbook</w:t>
        </w:r>
        <w:r w:rsidRPr="003911EF">
          <w:rPr>
            <w:rStyle w:val="Hyperlink"/>
            <w:rFonts w:ascii="Calibri" w:hAnsi="Calibri" w:cs="Calibri"/>
            <w:i/>
            <w:color w:val="auto"/>
          </w:rPr>
          <w:t xml:space="preserve"> </w:t>
        </w:r>
        <w:r w:rsidRPr="003911EF">
          <w:rPr>
            <w:rStyle w:val="Hyperlink"/>
            <w:rFonts w:ascii="Calibri" w:hAnsi="Calibri" w:cs="Calibri"/>
            <w:color w:val="auto"/>
          </w:rPr>
          <w:t>of International Investment Law</w:t>
        </w:r>
      </w:hyperlink>
      <w:r w:rsidRPr="003911EF">
        <w:rPr>
          <w:rFonts w:ascii="Calibri" w:hAnsi="Calibri" w:cs="Calibri"/>
          <w:lang w:eastAsia="en-GB"/>
        </w:rPr>
        <w:t>, 1125</w:t>
      </w:r>
    </w:p>
    <w:p w14:paraId="128C01CC" w14:textId="77777777" w:rsidR="008C0A42" w:rsidRPr="003911EF" w:rsidRDefault="008C0A42" w:rsidP="008C0A42">
      <w:pPr>
        <w:pStyle w:val="BodyTextIndent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3911EF">
        <w:rPr>
          <w:rFonts w:ascii="Calibri" w:hAnsi="Calibri" w:cs="Calibri"/>
          <w:lang w:eastAsia="en-GB"/>
        </w:rPr>
        <w:t>Alexandroff</w:t>
      </w:r>
      <w:proofErr w:type="spellEnd"/>
      <w:r w:rsidRPr="003911EF">
        <w:rPr>
          <w:rFonts w:ascii="Calibri" w:hAnsi="Calibri" w:cs="Calibri"/>
          <w:lang w:eastAsia="en-GB"/>
        </w:rPr>
        <w:t xml:space="preserve">/Laird, Compliance and Enforcement, in: </w:t>
      </w:r>
      <w:proofErr w:type="spellStart"/>
      <w:r w:rsidRPr="003911EF">
        <w:rPr>
          <w:rFonts w:ascii="Calibri" w:hAnsi="Calibri" w:cs="Calibri"/>
          <w:lang w:eastAsia="en-GB"/>
        </w:rPr>
        <w:t>Muchlinski</w:t>
      </w:r>
      <w:proofErr w:type="spellEnd"/>
      <w:r w:rsidRPr="003911EF">
        <w:rPr>
          <w:rFonts w:ascii="Calibri" w:hAnsi="Calibri" w:cs="Calibri"/>
          <w:lang w:eastAsia="en-GB"/>
        </w:rPr>
        <w:t>/</w:t>
      </w:r>
      <w:proofErr w:type="spellStart"/>
      <w:r w:rsidRPr="003911EF">
        <w:rPr>
          <w:rFonts w:ascii="Calibri" w:hAnsi="Calibri" w:cs="Calibri"/>
          <w:lang w:eastAsia="en-GB"/>
        </w:rPr>
        <w:t>Ortino</w:t>
      </w:r>
      <w:proofErr w:type="spellEnd"/>
      <w:r w:rsidRPr="003911EF">
        <w:rPr>
          <w:rFonts w:ascii="Calibri" w:hAnsi="Calibri" w:cs="Calibri"/>
          <w:lang w:eastAsia="en-GB"/>
        </w:rPr>
        <w:t>/</w:t>
      </w:r>
      <w:proofErr w:type="spellStart"/>
      <w:r w:rsidRPr="003911EF">
        <w:rPr>
          <w:rFonts w:ascii="Calibri" w:hAnsi="Calibri" w:cs="Calibri"/>
          <w:lang w:eastAsia="en-GB"/>
        </w:rPr>
        <w:t>Schreuer</w:t>
      </w:r>
      <w:proofErr w:type="spellEnd"/>
      <w:r w:rsidRPr="003911EF">
        <w:rPr>
          <w:rFonts w:ascii="Calibri" w:hAnsi="Calibri" w:cs="Calibri"/>
          <w:lang w:eastAsia="en-GB"/>
        </w:rPr>
        <w:t xml:space="preserve">, </w:t>
      </w:r>
      <w:hyperlink r:id="rId8" w:history="1">
        <w:r w:rsidRPr="003911EF">
          <w:rPr>
            <w:rStyle w:val="Hyperlink"/>
            <w:rFonts w:ascii="Calibri" w:hAnsi="Calibri" w:cs="Calibri"/>
            <w:color w:val="auto"/>
          </w:rPr>
          <w:t>The Oxford Handbook</w:t>
        </w:r>
        <w:r w:rsidRPr="003911EF">
          <w:rPr>
            <w:rStyle w:val="Hyperlink"/>
            <w:rFonts w:ascii="Calibri" w:hAnsi="Calibri" w:cs="Calibri"/>
            <w:i/>
            <w:color w:val="auto"/>
          </w:rPr>
          <w:t xml:space="preserve"> </w:t>
        </w:r>
        <w:r w:rsidRPr="003911EF">
          <w:rPr>
            <w:rStyle w:val="Hyperlink"/>
            <w:rFonts w:ascii="Calibri" w:hAnsi="Calibri" w:cs="Calibri"/>
            <w:color w:val="auto"/>
          </w:rPr>
          <w:t>of International Investment Law</w:t>
        </w:r>
      </w:hyperlink>
      <w:r w:rsidRPr="003911EF">
        <w:rPr>
          <w:rFonts w:ascii="Calibri" w:hAnsi="Calibri" w:cs="Calibri"/>
          <w:lang w:eastAsia="en-GB"/>
        </w:rPr>
        <w:t xml:space="preserve"> 1171</w:t>
      </w:r>
    </w:p>
    <w:p w14:paraId="202D9FD1" w14:textId="77777777" w:rsidR="008C0A42" w:rsidRPr="003911EF" w:rsidRDefault="008C0A42" w:rsidP="008C0A42">
      <w:pPr>
        <w:pStyle w:val="BodyTextIndent"/>
        <w:numPr>
          <w:ilvl w:val="0"/>
          <w:numId w:val="1"/>
        </w:numPr>
        <w:rPr>
          <w:rFonts w:ascii="Calibri" w:hAnsi="Calibri" w:cs="Calibri"/>
          <w:lang w:val="de-DE"/>
        </w:rPr>
      </w:pPr>
      <w:r w:rsidRPr="003911EF">
        <w:rPr>
          <w:rFonts w:ascii="Calibri" w:hAnsi="Calibri" w:cs="Calibri"/>
          <w:lang w:val="de-DE" w:eastAsia="en-GB"/>
        </w:rPr>
        <w:t xml:space="preserve">Tams, </w:t>
      </w:r>
      <w:hyperlink r:id="rId9" w:history="1">
        <w:r w:rsidRPr="003911EF">
          <w:rPr>
            <w:rStyle w:val="Hyperlink"/>
            <w:rFonts w:ascii="Calibri" w:hAnsi="Calibri" w:cs="Calibri"/>
            <w:color w:val="auto"/>
            <w:lang w:val="de-DE" w:eastAsia="en-GB"/>
          </w:rPr>
          <w:t xml:space="preserve">An </w:t>
        </w:r>
        <w:proofErr w:type="spellStart"/>
        <w:r w:rsidRPr="003911EF">
          <w:rPr>
            <w:rStyle w:val="Hyperlink"/>
            <w:rFonts w:ascii="Calibri" w:hAnsi="Calibri" w:cs="Calibri"/>
            <w:color w:val="auto"/>
            <w:lang w:val="de-DE" w:eastAsia="en-GB"/>
          </w:rPr>
          <w:t>Appealing</w:t>
        </w:r>
        <w:proofErr w:type="spellEnd"/>
        <w:r w:rsidRPr="003911EF">
          <w:rPr>
            <w:rStyle w:val="Hyperlink"/>
            <w:rFonts w:ascii="Calibri" w:hAnsi="Calibri" w:cs="Calibri"/>
            <w:color w:val="auto"/>
            <w:lang w:val="de-DE" w:eastAsia="en-GB"/>
          </w:rPr>
          <w:t xml:space="preserve"> Option</w:t>
        </w:r>
      </w:hyperlink>
      <w:r w:rsidRPr="003911EF">
        <w:rPr>
          <w:rFonts w:ascii="Calibri" w:hAnsi="Calibri" w:cs="Calibri"/>
          <w:lang w:val="de-DE" w:eastAsia="en-GB"/>
        </w:rPr>
        <w:t xml:space="preserve">? The </w:t>
      </w:r>
      <w:proofErr w:type="spellStart"/>
      <w:r w:rsidRPr="003911EF">
        <w:rPr>
          <w:rFonts w:ascii="Calibri" w:hAnsi="Calibri" w:cs="Calibri"/>
          <w:lang w:val="de-DE" w:eastAsia="en-GB"/>
        </w:rPr>
        <w:t>Debate</w:t>
      </w:r>
      <w:proofErr w:type="spellEnd"/>
      <w:r w:rsidRPr="003911EF">
        <w:rPr>
          <w:rFonts w:ascii="Calibri" w:hAnsi="Calibri" w:cs="Calibri"/>
          <w:lang w:val="de-DE" w:eastAsia="en-GB"/>
        </w:rPr>
        <w:t xml:space="preserve"> </w:t>
      </w:r>
      <w:proofErr w:type="spellStart"/>
      <w:r w:rsidRPr="003911EF">
        <w:rPr>
          <w:rFonts w:ascii="Calibri" w:hAnsi="Calibri" w:cs="Calibri"/>
          <w:lang w:val="de-DE" w:eastAsia="en-GB"/>
        </w:rPr>
        <w:t>about</w:t>
      </w:r>
      <w:proofErr w:type="spellEnd"/>
      <w:r w:rsidRPr="003911EF">
        <w:rPr>
          <w:rFonts w:ascii="Calibri" w:hAnsi="Calibri" w:cs="Calibri"/>
          <w:lang w:val="de-DE" w:eastAsia="en-GB"/>
        </w:rPr>
        <w:t xml:space="preserve"> an ICSID </w:t>
      </w:r>
      <w:proofErr w:type="spellStart"/>
      <w:r w:rsidRPr="003911EF">
        <w:rPr>
          <w:rFonts w:ascii="Calibri" w:hAnsi="Calibri" w:cs="Calibri"/>
          <w:lang w:val="de-DE" w:eastAsia="en-GB"/>
        </w:rPr>
        <w:t>Appellate</w:t>
      </w:r>
      <w:proofErr w:type="spellEnd"/>
      <w:r w:rsidRPr="003911EF">
        <w:rPr>
          <w:rFonts w:ascii="Calibri" w:hAnsi="Calibri" w:cs="Calibri"/>
          <w:lang w:val="de-DE" w:eastAsia="en-GB"/>
        </w:rPr>
        <w:t xml:space="preserve"> </w:t>
      </w:r>
      <w:proofErr w:type="spellStart"/>
      <w:r w:rsidRPr="003911EF">
        <w:rPr>
          <w:rFonts w:ascii="Calibri" w:hAnsi="Calibri" w:cs="Calibri"/>
          <w:lang w:val="de-DE" w:eastAsia="en-GB"/>
        </w:rPr>
        <w:t>Structure</w:t>
      </w:r>
      <w:proofErr w:type="spellEnd"/>
      <w:r w:rsidRPr="003911EF">
        <w:rPr>
          <w:rFonts w:ascii="Calibri" w:hAnsi="Calibri" w:cs="Calibri"/>
          <w:lang w:val="de-DE" w:eastAsia="en-GB"/>
        </w:rPr>
        <w:t xml:space="preserve">, Beiträge zum Transnationalen Wirtschaftsrecht 57 (2006) (pp. 5-10) </w:t>
      </w:r>
    </w:p>
    <w:p w14:paraId="1158CAF4" w14:textId="77777777" w:rsidR="008C0A42" w:rsidRPr="003911EF" w:rsidRDefault="008C0A42" w:rsidP="008C0A42">
      <w:pPr>
        <w:pStyle w:val="BodyTextIndent"/>
        <w:numPr>
          <w:ilvl w:val="0"/>
          <w:numId w:val="1"/>
        </w:numPr>
        <w:rPr>
          <w:rFonts w:ascii="Calibri" w:hAnsi="Calibri" w:cs="Calibri"/>
        </w:rPr>
      </w:pPr>
      <w:r w:rsidRPr="003911EF">
        <w:rPr>
          <w:rFonts w:ascii="Calibri" w:hAnsi="Calibri" w:cs="Calibri"/>
          <w:lang w:eastAsia="en-GB"/>
        </w:rPr>
        <w:t xml:space="preserve">Schill, International Investment Law and State Immunity: Antagonists or Two Sides of the Same Coin?, in Hofmann/Tams, </w:t>
      </w:r>
      <w:hyperlink r:id="rId10" w:history="1">
        <w:r w:rsidRPr="003911EF">
          <w:rPr>
            <w:rStyle w:val="Hyperlink"/>
            <w:rFonts w:ascii="Calibri" w:hAnsi="Calibri" w:cs="Calibri"/>
            <w:lang w:eastAsia="en-GB"/>
          </w:rPr>
          <w:t>International Investment Law and General International Law</w:t>
        </w:r>
      </w:hyperlink>
      <w:r w:rsidRPr="003911EF">
        <w:rPr>
          <w:rFonts w:ascii="Calibri" w:hAnsi="Calibri" w:cs="Calibri"/>
          <w:lang w:eastAsia="en-GB"/>
        </w:rPr>
        <w:t xml:space="preserve"> (Nomos 2011), 231-274</w:t>
      </w:r>
    </w:p>
    <w:p w14:paraId="166EA4B2" w14:textId="77777777" w:rsidR="008C0A42" w:rsidRPr="003911EF" w:rsidRDefault="008C0A42" w:rsidP="008C0A42">
      <w:pPr>
        <w:pStyle w:val="BodyTextIndent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3911EF">
        <w:rPr>
          <w:rFonts w:ascii="Calibri" w:hAnsi="Calibri" w:cs="Calibri"/>
          <w:lang w:eastAsia="en-GB"/>
        </w:rPr>
        <w:t>Reisenfeld</w:t>
      </w:r>
      <w:proofErr w:type="spellEnd"/>
      <w:r w:rsidRPr="003911EF">
        <w:rPr>
          <w:rFonts w:ascii="Calibri" w:hAnsi="Calibri" w:cs="Calibri"/>
          <w:lang w:eastAsia="en-GB"/>
        </w:rPr>
        <w:t>/Robbins, ‘Finality Under the Washington and New York Conventions: Another Swing of the Pendulum?’ ICSID Review, Vol. 32, No. 2 (2017), 371-384.</w:t>
      </w:r>
    </w:p>
    <w:p w14:paraId="2DB10107" w14:textId="77777777" w:rsidR="008C0A42" w:rsidRPr="003911EF" w:rsidRDefault="008C0A42" w:rsidP="008C0A42">
      <w:pPr>
        <w:pStyle w:val="BodyTextIndent"/>
        <w:rPr>
          <w:rFonts w:ascii="Calibri" w:hAnsi="Calibri" w:cs="Calibri"/>
          <w:lang w:eastAsia="en-GB"/>
        </w:rPr>
      </w:pPr>
    </w:p>
    <w:p w14:paraId="7A814481" w14:textId="77777777" w:rsidR="008C0A42" w:rsidRPr="003911EF" w:rsidRDefault="008C0A42" w:rsidP="008C0A42">
      <w:pPr>
        <w:pStyle w:val="BodyTextIndent"/>
        <w:rPr>
          <w:rFonts w:ascii="Calibri" w:hAnsi="Calibri" w:cs="Calibri"/>
          <w:b/>
          <w:smallCaps/>
          <w:lang w:val="en-US"/>
        </w:rPr>
      </w:pPr>
      <w:r w:rsidRPr="003911EF">
        <w:rPr>
          <w:rFonts w:ascii="Calibri" w:hAnsi="Calibri" w:cs="Calibri"/>
          <w:b/>
          <w:caps/>
        </w:rPr>
        <w:t xml:space="preserve">III. </w:t>
      </w:r>
      <w:r w:rsidRPr="003911EF">
        <w:rPr>
          <w:rFonts w:ascii="Calibri" w:hAnsi="Calibri" w:cs="Calibri"/>
          <w:b/>
          <w:smallCaps/>
          <w:lang w:val="en-US"/>
        </w:rPr>
        <w:t>Materials (optional)</w:t>
      </w:r>
    </w:p>
    <w:p w14:paraId="4C2DF655" w14:textId="77777777" w:rsidR="008C0A42" w:rsidRPr="003911EF" w:rsidRDefault="008C0A42" w:rsidP="008C0A42">
      <w:pPr>
        <w:pStyle w:val="BodyTextIndent"/>
        <w:rPr>
          <w:rFonts w:ascii="Calibri" w:hAnsi="Calibri" w:cs="Calibri"/>
          <w:b/>
          <w:caps/>
        </w:rPr>
      </w:pPr>
    </w:p>
    <w:p w14:paraId="1A500342" w14:textId="77777777" w:rsidR="008C0A42" w:rsidRPr="003911EF" w:rsidRDefault="008C0A42" w:rsidP="008C0A42">
      <w:pPr>
        <w:pStyle w:val="BodyTextIndent"/>
        <w:numPr>
          <w:ilvl w:val="0"/>
          <w:numId w:val="1"/>
        </w:numPr>
        <w:rPr>
          <w:rStyle w:val="apple-style-span"/>
          <w:rFonts w:ascii="Calibri" w:hAnsi="Calibri" w:cs="Calibri"/>
        </w:rPr>
      </w:pPr>
      <w:r w:rsidRPr="003911EF">
        <w:rPr>
          <w:rFonts w:ascii="Calibri" w:hAnsi="Calibri" w:cs="Calibri"/>
        </w:rPr>
        <w:t xml:space="preserve">Please bring a copy of the ICSID Convention, of the ICSID Arbitration Rules, and of the </w:t>
      </w:r>
      <w:r w:rsidRPr="003911EF">
        <w:rPr>
          <w:rFonts w:ascii="Calibri" w:hAnsi="Calibri" w:cs="Calibri"/>
          <w:lang w:eastAsia="en-GB"/>
        </w:rPr>
        <w:t>1958 (New York) Convention on the Recognition and Enforcement of Foreign Arbitral Awards</w:t>
      </w:r>
      <w:r w:rsidRPr="003911EF">
        <w:rPr>
          <w:rFonts w:ascii="Calibri" w:hAnsi="Calibri" w:cs="Calibri"/>
        </w:rPr>
        <w:br/>
      </w:r>
      <w:r w:rsidRPr="003911EF">
        <w:rPr>
          <w:rFonts w:ascii="Calibri" w:hAnsi="Calibri" w:cs="Calibri"/>
          <w:lang w:eastAsia="en-GB"/>
        </w:rPr>
        <w:t xml:space="preserve">[The ICSID Convention and Rules are </w:t>
      </w:r>
      <w:r w:rsidRPr="003911EF">
        <w:rPr>
          <w:rFonts w:ascii="Calibri" w:hAnsi="Calibri" w:cs="Calibri"/>
        </w:rPr>
        <w:t xml:space="preserve">available online </w:t>
      </w:r>
      <w:hyperlink r:id="rId11" w:history="1">
        <w:r w:rsidRPr="003911EF">
          <w:rPr>
            <w:rStyle w:val="Hyperlink"/>
            <w:rFonts w:ascii="Calibri" w:hAnsi="Calibri" w:cs="Calibri"/>
            <w:color w:val="auto"/>
          </w:rPr>
          <w:t>here</w:t>
        </w:r>
      </w:hyperlink>
      <w:r w:rsidRPr="003911EF">
        <w:rPr>
          <w:rFonts w:ascii="Calibri" w:hAnsi="Calibri" w:cs="Calibri"/>
        </w:rPr>
        <w:t xml:space="preserve">, the New York Convention is </w:t>
      </w:r>
      <w:hyperlink r:id="rId12" w:history="1">
        <w:r w:rsidRPr="003911EF">
          <w:rPr>
            <w:rStyle w:val="Hyperlink"/>
            <w:rFonts w:ascii="Calibri" w:hAnsi="Calibri" w:cs="Calibri"/>
            <w:color w:val="auto"/>
          </w:rPr>
          <w:t>here</w:t>
        </w:r>
      </w:hyperlink>
      <w:r w:rsidRPr="003911EF">
        <w:rPr>
          <w:rFonts w:ascii="Calibri" w:hAnsi="Calibri" w:cs="Calibri"/>
        </w:rPr>
        <w:t xml:space="preserve">. All 3 documents are included in the Document Collections edited by </w:t>
      </w:r>
      <w:hyperlink r:id="rId13" w:history="1">
        <w:proofErr w:type="spellStart"/>
        <w:r w:rsidRPr="003911EF">
          <w:rPr>
            <w:rStyle w:val="Hyperlink"/>
            <w:rFonts w:ascii="Calibri" w:hAnsi="Calibri" w:cs="Calibri"/>
            <w:color w:val="auto"/>
          </w:rPr>
          <w:t>Paparinskis</w:t>
        </w:r>
        <w:proofErr w:type="spellEnd"/>
      </w:hyperlink>
      <w:r w:rsidRPr="003911EF">
        <w:rPr>
          <w:rFonts w:ascii="Calibri" w:hAnsi="Calibri" w:cs="Calibri"/>
        </w:rPr>
        <w:t xml:space="preserve">, </w:t>
      </w:r>
      <w:hyperlink r:id="rId14" w:history="1">
        <w:r w:rsidRPr="003911EF">
          <w:rPr>
            <w:rStyle w:val="Hyperlink"/>
            <w:rFonts w:ascii="Calibri" w:hAnsi="Calibri" w:cs="Calibri"/>
            <w:color w:val="auto"/>
          </w:rPr>
          <w:t>Tams/</w:t>
        </w:r>
        <w:proofErr w:type="spellStart"/>
        <w:r w:rsidRPr="003911EF">
          <w:rPr>
            <w:rStyle w:val="Hyperlink"/>
            <w:rFonts w:ascii="Calibri" w:hAnsi="Calibri" w:cs="Calibri"/>
            <w:color w:val="auto"/>
          </w:rPr>
          <w:t>Tzanakopoulos</w:t>
        </w:r>
        <w:proofErr w:type="spellEnd"/>
      </w:hyperlink>
      <w:r w:rsidRPr="003911EF">
        <w:rPr>
          <w:rFonts w:ascii="Calibri" w:hAnsi="Calibri" w:cs="Calibri"/>
        </w:rPr>
        <w:t xml:space="preserve"> and </w:t>
      </w:r>
      <w:hyperlink r:id="rId15" w:history="1">
        <w:r w:rsidRPr="003911EF">
          <w:rPr>
            <w:rStyle w:val="Hyperlink"/>
            <w:rFonts w:ascii="Calibri" w:hAnsi="Calibri" w:cs="Calibri"/>
            <w:color w:val="auto"/>
          </w:rPr>
          <w:t>Tams/Tietje</w:t>
        </w:r>
      </w:hyperlink>
      <w:r w:rsidRPr="003911EF">
        <w:rPr>
          <w:rFonts w:ascii="Calibri" w:hAnsi="Calibri" w:cs="Calibri"/>
        </w:rPr>
        <w:t>)</w:t>
      </w:r>
    </w:p>
    <w:p w14:paraId="0A99AF6E" w14:textId="77777777" w:rsidR="008C0A42" w:rsidRPr="003911EF" w:rsidRDefault="008C0A42" w:rsidP="008C0A42">
      <w:pPr>
        <w:pStyle w:val="BodyTextIndent"/>
        <w:numPr>
          <w:ilvl w:val="0"/>
          <w:numId w:val="1"/>
        </w:numPr>
        <w:rPr>
          <w:rStyle w:val="apple-style-span"/>
          <w:rFonts w:ascii="Calibri" w:hAnsi="Calibri" w:cs="Calibri"/>
        </w:rPr>
      </w:pPr>
      <w:r w:rsidRPr="003911EF">
        <w:rPr>
          <w:rStyle w:val="apple-style-span"/>
          <w:rFonts w:ascii="Calibri" w:hAnsi="Calibri" w:cs="Calibri"/>
          <w:i/>
          <w:shd w:val="clear" w:color="auto" w:fill="FFFFFF"/>
        </w:rPr>
        <w:t>Sempra Energy International v. Argentine Republic</w:t>
      </w:r>
      <w:r w:rsidRPr="003911EF">
        <w:rPr>
          <w:rStyle w:val="apple-style-span"/>
          <w:rFonts w:ascii="Calibri" w:hAnsi="Calibri" w:cs="Calibri"/>
          <w:shd w:val="clear" w:color="auto" w:fill="FFFFFF"/>
        </w:rPr>
        <w:t xml:space="preserve"> (ICSID Case No. ARB/02/16), Annulment Decision of June 29, 2010, available </w:t>
      </w:r>
      <w:hyperlink r:id="rId16" w:history="1">
        <w:r w:rsidRPr="003911EF">
          <w:rPr>
            <w:rStyle w:val="Hyperlink"/>
            <w:rFonts w:ascii="Calibri" w:hAnsi="Calibri" w:cs="Calibri"/>
            <w:shd w:val="clear" w:color="auto" w:fill="FFFFFF"/>
          </w:rPr>
          <w:t>here</w:t>
        </w:r>
      </w:hyperlink>
      <w:r w:rsidRPr="003911EF">
        <w:rPr>
          <w:rStyle w:val="apple-style-span"/>
          <w:rFonts w:ascii="Calibri" w:hAnsi="Calibri" w:cs="Calibri"/>
          <w:shd w:val="clear" w:color="auto" w:fill="FFFFFF"/>
        </w:rPr>
        <w:t>)</w:t>
      </w:r>
    </w:p>
    <w:p w14:paraId="44EBC822" w14:textId="77777777" w:rsidR="008C0A42" w:rsidRPr="003911EF" w:rsidRDefault="008C0A42" w:rsidP="008C0A42">
      <w:pPr>
        <w:pStyle w:val="BodyTextIndent"/>
        <w:rPr>
          <w:rFonts w:ascii="Calibri" w:hAnsi="Calibri" w:cs="Calibri"/>
        </w:rPr>
      </w:pPr>
    </w:p>
    <w:p w14:paraId="24698A88" w14:textId="77777777" w:rsidR="008C0A42" w:rsidRPr="003911EF" w:rsidRDefault="008C0A42" w:rsidP="008C0A42">
      <w:pPr>
        <w:pStyle w:val="BodyTextIndent"/>
        <w:ind w:left="0" w:firstLine="0"/>
        <w:rPr>
          <w:rFonts w:ascii="Calibri" w:hAnsi="Calibri" w:cs="Calibri"/>
        </w:rPr>
      </w:pPr>
    </w:p>
    <w:p w14:paraId="7FF45680" w14:textId="77777777" w:rsidR="008C0A42" w:rsidRPr="003911EF" w:rsidRDefault="008C0A42" w:rsidP="008C0A42">
      <w:pPr>
        <w:pStyle w:val="BodyTextIndent"/>
        <w:rPr>
          <w:rFonts w:ascii="Calibri" w:hAnsi="Calibri" w:cs="Calibri"/>
          <w:b/>
          <w:lang w:val="en-US"/>
        </w:rPr>
      </w:pPr>
      <w:r w:rsidRPr="003911EF">
        <w:rPr>
          <w:rFonts w:ascii="Calibri" w:hAnsi="Calibri" w:cs="Calibri"/>
          <w:b/>
          <w:lang w:val="en-US"/>
        </w:rPr>
        <w:t xml:space="preserve">IV. </w:t>
      </w:r>
      <w:r w:rsidRPr="003911EF">
        <w:rPr>
          <w:rFonts w:ascii="Calibri" w:hAnsi="Calibri" w:cs="Calibri"/>
          <w:b/>
          <w:smallCaps/>
          <w:lang w:val="en-US"/>
        </w:rPr>
        <w:t>Discussion Prompts</w:t>
      </w:r>
    </w:p>
    <w:p w14:paraId="5BA75732" w14:textId="77777777" w:rsidR="008C0A42" w:rsidRPr="003911EF" w:rsidRDefault="008C0A42" w:rsidP="008C0A42">
      <w:pPr>
        <w:pStyle w:val="BodyTextIndent"/>
        <w:rPr>
          <w:rFonts w:ascii="Calibri" w:hAnsi="Calibri" w:cs="Calibri"/>
          <w:b/>
          <w:lang w:val="en-US"/>
        </w:rPr>
      </w:pPr>
    </w:p>
    <w:p w14:paraId="3DC90C2E" w14:textId="77777777" w:rsidR="008C0A42" w:rsidRPr="003911EF" w:rsidRDefault="008C0A42" w:rsidP="008C0A42">
      <w:pPr>
        <w:pStyle w:val="BodyTextIndent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rFonts w:ascii="Calibri" w:hAnsi="Calibri" w:cs="Calibri"/>
        </w:rPr>
      </w:pPr>
      <w:r w:rsidRPr="003911EF">
        <w:rPr>
          <w:rFonts w:ascii="Calibri" w:hAnsi="Calibri" w:cs="Calibri"/>
        </w:rPr>
        <w:t>An investor has obtained a substantial damages award against a foreign State. What can the State do to avoid payment? What steps does the investor need to take to have that award enforced against a recalcitrant State?</w:t>
      </w:r>
    </w:p>
    <w:p w14:paraId="64E51394" w14:textId="77777777" w:rsidR="008C0A42" w:rsidRPr="003911EF" w:rsidRDefault="008C0A42" w:rsidP="008C0A42">
      <w:pPr>
        <w:pStyle w:val="BodyTextIndent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rFonts w:ascii="Calibri" w:hAnsi="Calibri" w:cs="Calibri"/>
        </w:rPr>
      </w:pPr>
      <w:r w:rsidRPr="003911EF">
        <w:rPr>
          <w:rFonts w:ascii="Calibri" w:hAnsi="Calibri" w:cs="Calibri"/>
        </w:rPr>
        <w:t xml:space="preserve">To what extent does your answer to the last question depend on whether the award in question is an ICSID award or an UNCITRAL award? </w:t>
      </w:r>
    </w:p>
    <w:p w14:paraId="432D10EC" w14:textId="77777777" w:rsidR="008C0A42" w:rsidRPr="003911EF" w:rsidRDefault="008C0A42" w:rsidP="008C0A42">
      <w:pPr>
        <w:pStyle w:val="BodyTextIndent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rFonts w:ascii="Calibri" w:hAnsi="Calibri" w:cs="Calibri"/>
        </w:rPr>
      </w:pPr>
      <w:r w:rsidRPr="003911EF">
        <w:rPr>
          <w:rFonts w:ascii="Calibri" w:hAnsi="Calibri" w:cs="Calibri"/>
        </w:rPr>
        <w:t xml:space="preserve">Do States in practice tend to comply with investment awards rendered in favour of investors? Is </w:t>
      </w:r>
      <w:proofErr w:type="spellStart"/>
      <w:r w:rsidRPr="003911EF">
        <w:rPr>
          <w:rFonts w:ascii="Calibri" w:hAnsi="Calibri" w:cs="Calibri"/>
        </w:rPr>
        <w:t>compliace</w:t>
      </w:r>
      <w:proofErr w:type="spellEnd"/>
      <w:r w:rsidRPr="003911EF">
        <w:rPr>
          <w:rFonts w:ascii="Calibri" w:hAnsi="Calibri" w:cs="Calibri"/>
        </w:rPr>
        <w:t xml:space="preserve"> a real problem? </w:t>
      </w:r>
    </w:p>
    <w:p w14:paraId="32EF06C0" w14:textId="77777777" w:rsidR="008C0A42" w:rsidRPr="003911EF" w:rsidRDefault="008C0A42" w:rsidP="008C0A42">
      <w:pPr>
        <w:pStyle w:val="BodyTextIndent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rFonts w:ascii="Calibri" w:hAnsi="Calibri" w:cs="Calibri"/>
        </w:rPr>
      </w:pPr>
      <w:r w:rsidRPr="003911EF">
        <w:rPr>
          <w:rFonts w:ascii="Calibri" w:hAnsi="Calibri" w:cs="Calibri"/>
        </w:rPr>
        <w:lastRenderedPageBreak/>
        <w:t xml:space="preserve">Is it true to say that ‘the post award stage is the Achilles heel of ICSID dispute settlement’? </w:t>
      </w:r>
    </w:p>
    <w:p w14:paraId="16E2C580" w14:textId="77777777" w:rsidR="008C0A42" w:rsidRPr="003911EF" w:rsidRDefault="008C0A42" w:rsidP="008C0A42">
      <w:pPr>
        <w:pStyle w:val="BodyTextIndent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rFonts w:ascii="Calibri" w:hAnsi="Calibri" w:cs="Calibri"/>
        </w:rPr>
      </w:pPr>
      <w:r w:rsidRPr="003911EF">
        <w:rPr>
          <w:rFonts w:ascii="Calibri" w:hAnsi="Calibri" w:cs="Calibri"/>
        </w:rPr>
        <w:t xml:space="preserve">What is the relevance of Art 54 of the ICSID Convention for questions of recognition &amp; enforcement? How do other investment arbitration frameworks approach these questions? </w:t>
      </w:r>
    </w:p>
    <w:p w14:paraId="14BF797F" w14:textId="77777777" w:rsidR="008C0A42" w:rsidRPr="003911EF" w:rsidRDefault="008C0A42" w:rsidP="008C0A42">
      <w:pPr>
        <w:pStyle w:val="BodyTextIndent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rFonts w:ascii="Calibri" w:hAnsi="Calibri" w:cs="Calibri"/>
        </w:rPr>
      </w:pPr>
      <w:r w:rsidRPr="003911EF">
        <w:rPr>
          <w:rFonts w:ascii="Calibri" w:hAnsi="Calibri" w:cs="Calibri"/>
        </w:rPr>
        <w:t xml:space="preserve">What types of property can be subjected to attachment and other enforcement measures? Is State immunity still a real bar to enforcement? </w:t>
      </w:r>
    </w:p>
    <w:p w14:paraId="10A4C73E" w14:textId="77777777" w:rsidR="008C0A42" w:rsidRPr="003911EF" w:rsidRDefault="008C0A42" w:rsidP="008C0A42">
      <w:pPr>
        <w:pStyle w:val="BodyTextIndent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rFonts w:ascii="Calibri" w:hAnsi="Calibri" w:cs="Calibri"/>
        </w:rPr>
      </w:pPr>
      <w:r w:rsidRPr="003911EF">
        <w:rPr>
          <w:rFonts w:ascii="Calibri" w:hAnsi="Calibri" w:cs="Calibri"/>
        </w:rPr>
        <w:t xml:space="preserve">Could there be a truly internationalised system of recognition of enforcement of arbitral awards? </w:t>
      </w:r>
    </w:p>
    <w:p w14:paraId="1C7C61A7" w14:textId="77777777" w:rsidR="008C0A42" w:rsidRPr="003911EF" w:rsidRDefault="008C0A42" w:rsidP="008C0A42">
      <w:pPr>
        <w:numPr>
          <w:ilvl w:val="0"/>
          <w:numId w:val="1"/>
        </w:numPr>
        <w:tabs>
          <w:tab w:val="clear" w:pos="644"/>
          <w:tab w:val="num" w:pos="720"/>
        </w:tabs>
        <w:ind w:left="720"/>
        <w:jc w:val="both"/>
        <w:rPr>
          <w:rFonts w:ascii="Calibri" w:hAnsi="Calibri" w:cs="Calibri"/>
        </w:rPr>
      </w:pPr>
      <w:r w:rsidRPr="003911EF">
        <w:rPr>
          <w:rFonts w:ascii="Calibri" w:hAnsi="Calibri" w:cs="Calibri"/>
        </w:rPr>
        <w:t xml:space="preserve">What mechanisms does the </w:t>
      </w:r>
      <w:r w:rsidRPr="003911EF">
        <w:rPr>
          <w:rFonts w:ascii="Calibri" w:hAnsi="Calibri" w:cs="Calibri"/>
          <w:caps/>
        </w:rPr>
        <w:t>icsid</w:t>
      </w:r>
      <w:r w:rsidRPr="003911EF">
        <w:rPr>
          <w:rFonts w:ascii="Calibri" w:hAnsi="Calibri" w:cs="Calibri"/>
        </w:rPr>
        <w:t xml:space="preserve"> Convention provide for to ensure that awards are correct? </w:t>
      </w:r>
    </w:p>
    <w:p w14:paraId="3DE5B5DC" w14:textId="77777777" w:rsidR="008C0A42" w:rsidRDefault="008C0A42" w:rsidP="008C0A42">
      <w:pPr>
        <w:numPr>
          <w:ilvl w:val="0"/>
          <w:numId w:val="1"/>
        </w:numPr>
        <w:tabs>
          <w:tab w:val="clear" w:pos="644"/>
          <w:tab w:val="num" w:pos="720"/>
        </w:tabs>
        <w:ind w:left="720"/>
        <w:jc w:val="both"/>
        <w:rPr>
          <w:rFonts w:ascii="Calibri" w:hAnsi="Calibri" w:cs="Calibri"/>
        </w:rPr>
      </w:pPr>
      <w:r w:rsidRPr="003911EF">
        <w:rPr>
          <w:rFonts w:ascii="Calibri" w:hAnsi="Calibri" w:cs="Calibri"/>
        </w:rPr>
        <w:t xml:space="preserve">Do you agree with the </w:t>
      </w:r>
      <w:r w:rsidRPr="003911EF">
        <w:rPr>
          <w:rFonts w:ascii="Calibri" w:hAnsi="Calibri" w:cs="Calibri"/>
          <w:i/>
        </w:rPr>
        <w:t>Sempra</w:t>
      </w:r>
      <w:r w:rsidRPr="003911EF">
        <w:rPr>
          <w:rFonts w:ascii="Calibri" w:hAnsi="Calibri" w:cs="Calibri"/>
        </w:rPr>
        <w:t xml:space="preserve"> annulment tribunal’s understanding of the grounds for annulment?</w:t>
      </w:r>
    </w:p>
    <w:p w14:paraId="2D424F5A" w14:textId="5A9FC216" w:rsidR="004329C8" w:rsidRPr="008C0A42" w:rsidRDefault="008C0A42" w:rsidP="008C0A42">
      <w:pPr>
        <w:numPr>
          <w:ilvl w:val="0"/>
          <w:numId w:val="1"/>
        </w:numPr>
        <w:tabs>
          <w:tab w:val="clear" w:pos="644"/>
          <w:tab w:val="num" w:pos="720"/>
        </w:tabs>
        <w:ind w:left="720"/>
        <w:jc w:val="both"/>
        <w:rPr>
          <w:rFonts w:ascii="Calibri" w:hAnsi="Calibri" w:cs="Calibri"/>
        </w:rPr>
      </w:pPr>
      <w:r w:rsidRPr="008C0A42">
        <w:rPr>
          <w:rFonts w:ascii="Calibri" w:hAnsi="Calibri" w:cs="Calibri"/>
        </w:rPr>
        <w:t xml:space="preserve">Should article 52 of the </w:t>
      </w:r>
      <w:r w:rsidRPr="008C0A42">
        <w:rPr>
          <w:rFonts w:ascii="Calibri" w:hAnsi="Calibri" w:cs="Calibri"/>
          <w:caps/>
        </w:rPr>
        <w:t>icsid</w:t>
      </w:r>
      <w:r w:rsidRPr="008C0A42">
        <w:rPr>
          <w:rFonts w:ascii="Calibri" w:hAnsi="Calibri" w:cs="Calibri"/>
        </w:rPr>
        <w:t xml:space="preserve"> convention be deleted?</w:t>
      </w:r>
    </w:p>
    <w:sectPr w:rsidR="004329C8" w:rsidRPr="008C0A42" w:rsidSect="003144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76717"/>
    <w:multiLevelType w:val="hybridMultilevel"/>
    <w:tmpl w:val="03BE09CC"/>
    <w:lvl w:ilvl="0" w:tplc="294474DE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696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42"/>
    <w:rsid w:val="002F537E"/>
    <w:rsid w:val="00300864"/>
    <w:rsid w:val="00314493"/>
    <w:rsid w:val="003D444F"/>
    <w:rsid w:val="004329C8"/>
    <w:rsid w:val="007537B9"/>
    <w:rsid w:val="00814379"/>
    <w:rsid w:val="008904DD"/>
    <w:rsid w:val="008C0A42"/>
    <w:rsid w:val="00A823CD"/>
    <w:rsid w:val="00AF2B7A"/>
    <w:rsid w:val="00BB4254"/>
    <w:rsid w:val="00F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854D1"/>
  <w15:chartTrackingRefBased/>
  <w15:docId w15:val="{03D46F48-BCCA-5B4C-A9D5-C609276A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42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C0A42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8C0A42"/>
    <w:pPr>
      <w:ind w:left="540" w:hanging="540"/>
      <w:jc w:val="both"/>
    </w:pPr>
    <w:rPr>
      <w:lang w:eastAsia="it-IT"/>
    </w:rPr>
  </w:style>
  <w:style w:type="character" w:customStyle="1" w:styleId="BodyTextIndentChar">
    <w:name w:val="Body Text Indent Char"/>
    <w:basedOn w:val="DefaultParagraphFont"/>
    <w:link w:val="BodyTextIndent"/>
    <w:rsid w:val="008C0A42"/>
    <w:rPr>
      <w:rFonts w:ascii="Times New Roman" w:eastAsia="Times New Roman" w:hAnsi="Times New Roman" w:cs="Times New Roman"/>
      <w:lang w:eastAsia="it-IT"/>
    </w:rPr>
  </w:style>
  <w:style w:type="character" w:styleId="Emphasis">
    <w:name w:val="Emphasis"/>
    <w:uiPriority w:val="20"/>
    <w:qFormat/>
    <w:rsid w:val="008C0A42"/>
    <w:rPr>
      <w:i/>
      <w:iCs/>
    </w:rPr>
  </w:style>
  <w:style w:type="character" w:customStyle="1" w:styleId="apple-style-span">
    <w:name w:val="apple-style-span"/>
    <w:rsid w:val="008C0A42"/>
  </w:style>
  <w:style w:type="character" w:customStyle="1" w:styleId="apple-converted-space">
    <w:name w:val="apple-converted-space"/>
    <w:basedOn w:val="DefaultParagraphFont"/>
    <w:rsid w:val="002F537E"/>
  </w:style>
  <w:style w:type="character" w:styleId="UnresolvedMention">
    <w:name w:val="Unresolved Mention"/>
    <w:basedOn w:val="DefaultParagraphFont"/>
    <w:uiPriority w:val="99"/>
    <w:semiHidden/>
    <w:unhideWhenUsed/>
    <w:rsid w:val="002F5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core.lib.gla.ac.uk/iii/encore/search/C__SThe%20Oxford%20Handbook%20of%20International%20Investment%20Law__Orightresult__U1?lang=eng&amp;suite=cobalt" TargetMode="External"/><Relationship Id="rId13" Type="http://schemas.openxmlformats.org/officeDocument/2006/relationships/hyperlink" Target="http://encore.lib.gla.ac.uk/iii/encore/record/C__Rb2940654__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ncore.lib.gla.ac.uk/iii/encore/search/C__SThe%20Oxford%20Handbook%20of%20International%20Investment%20Law__Orightresult__U1?lang=eng&amp;suite=cobalt" TargetMode="External"/><Relationship Id="rId12" Type="http://schemas.openxmlformats.org/officeDocument/2006/relationships/hyperlink" Target="http://www.uncitral.org/uncitral/en/uncitral_texts/arbitration/NYConvention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talaw.com/sites/default/files/case-documents/ita0776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93/ejil/chae053" TargetMode="External"/><Relationship Id="rId11" Type="http://schemas.openxmlformats.org/officeDocument/2006/relationships/hyperlink" Target="https://icsid.worldbank.org/en/documents/icsiddocs/icsid%20convention%20english.pdf" TargetMode="External"/><Relationship Id="rId5" Type="http://schemas.openxmlformats.org/officeDocument/2006/relationships/hyperlink" Target="https://doi.org/10.1093/icsidreview/siaa034" TargetMode="External"/><Relationship Id="rId15" Type="http://schemas.openxmlformats.org/officeDocument/2006/relationships/hyperlink" Target="http://eleanor.lib.gla.ac.uk/record=b2940655" TargetMode="External"/><Relationship Id="rId10" Type="http://schemas.openxmlformats.org/officeDocument/2006/relationships/hyperlink" Target="http://encore.lib.gla.ac.uk/iii/encore/record/C__Rb2878337?lang=e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elc.uni-halle.de/sites/default/files/altbestand/Heft57.pdf" TargetMode="External"/><Relationship Id="rId14" Type="http://schemas.openxmlformats.org/officeDocument/2006/relationships/hyperlink" Target="http://eleanor.lib.gla.ac.uk/record=b29406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Devaney</dc:creator>
  <cp:keywords/>
  <dc:description/>
  <cp:lastModifiedBy>James Devaney</cp:lastModifiedBy>
  <cp:revision>5</cp:revision>
  <dcterms:created xsi:type="dcterms:W3CDTF">2024-11-10T21:50:00Z</dcterms:created>
  <dcterms:modified xsi:type="dcterms:W3CDTF">2025-11-07T16:44:00Z</dcterms:modified>
</cp:coreProperties>
</file>