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7A21" w14:textId="185B800D" w:rsidR="00AB14C8" w:rsidRPr="00AB14C8" w:rsidRDefault="00AB14C8" w:rsidP="00AB14C8">
      <w:pPr>
        <w:jc w:val="center"/>
        <w:rPr>
          <w:rFonts w:ascii="Garamond" w:hAnsi="Garamond" w:cs="Calibri"/>
          <w:b/>
          <w:smallCaps/>
        </w:rPr>
      </w:pPr>
      <w:r w:rsidRPr="00AB14C8">
        <w:rPr>
          <w:rFonts w:ascii="Garamond" w:hAnsi="Garamond" w:cs="Calibri"/>
          <w:b/>
          <w:smallCaps/>
        </w:rPr>
        <w:t xml:space="preserve">Seminar </w:t>
      </w:r>
      <w:r w:rsidR="005D0AE9">
        <w:rPr>
          <w:rFonts w:ascii="Garamond" w:hAnsi="Garamond" w:cs="Calibri"/>
          <w:b/>
          <w:smallCaps/>
        </w:rPr>
        <w:t>9</w:t>
      </w:r>
      <w:r w:rsidRPr="00AB14C8">
        <w:rPr>
          <w:rFonts w:ascii="Garamond" w:hAnsi="Garamond" w:cs="Calibri"/>
          <w:b/>
          <w:smallCaps/>
        </w:rPr>
        <w:t xml:space="preserve"> –</w:t>
      </w:r>
      <w:r w:rsidRPr="00AB14C8">
        <w:rPr>
          <w:rFonts w:ascii="Garamond" w:eastAsia="Calibri" w:hAnsi="Garamond" w:cs="Calibri"/>
          <w:b/>
          <w:bCs/>
          <w:smallCaps/>
        </w:rPr>
        <w:t>New Directions in International Investment Law</w:t>
      </w:r>
    </w:p>
    <w:p w14:paraId="34FA2219" w14:textId="77777777" w:rsidR="00AB14C8" w:rsidRPr="00AB14C8" w:rsidRDefault="00AB14C8" w:rsidP="00AB14C8">
      <w:pPr>
        <w:pStyle w:val="BodyTextIndent"/>
        <w:ind w:left="0" w:firstLine="0"/>
        <w:rPr>
          <w:rFonts w:ascii="Garamond" w:hAnsi="Garamond" w:cs="Calibri"/>
        </w:rPr>
      </w:pPr>
    </w:p>
    <w:p w14:paraId="7AFAF850" w14:textId="744251DA" w:rsidR="00AB14C8" w:rsidRPr="00AB14C8" w:rsidRDefault="00AB14C8" w:rsidP="00AB14C8">
      <w:pPr>
        <w:pStyle w:val="BodyTextIndent"/>
        <w:ind w:left="0" w:firstLine="0"/>
        <w:rPr>
          <w:rFonts w:ascii="Garamond" w:hAnsi="Garamond" w:cs="Calibri"/>
        </w:rPr>
      </w:pPr>
      <w:r w:rsidRPr="00AB14C8">
        <w:rPr>
          <w:rFonts w:ascii="Garamond" w:hAnsi="Garamond" w:cs="Calibri"/>
        </w:rPr>
        <w:t xml:space="preserve">In this seminar, in light of the ongoing multilateral reform efforts (see </w:t>
      </w:r>
      <w:hyperlink r:id="rId5" w:history="1">
        <w:r w:rsidRPr="00AB14C8">
          <w:rPr>
            <w:rStyle w:val="Hyperlink"/>
            <w:rFonts w:ascii="Garamond" w:eastAsiaTheme="majorEastAsia" w:hAnsi="Garamond" w:cs="Calibri"/>
          </w:rPr>
          <w:t>he</w:t>
        </w:r>
        <w:r w:rsidRPr="00AB14C8">
          <w:rPr>
            <w:rStyle w:val="Hyperlink"/>
            <w:rFonts w:ascii="Garamond" w:eastAsiaTheme="majorEastAsia" w:hAnsi="Garamond" w:cs="Calibri"/>
          </w:rPr>
          <w:t>r</w:t>
        </w:r>
        <w:r w:rsidRPr="00AB14C8">
          <w:rPr>
            <w:rStyle w:val="Hyperlink"/>
            <w:rFonts w:ascii="Garamond" w:eastAsiaTheme="majorEastAsia" w:hAnsi="Garamond" w:cs="Calibri"/>
          </w:rPr>
          <w:t>e</w:t>
        </w:r>
      </w:hyperlink>
      <w:r w:rsidRPr="00AB14C8">
        <w:rPr>
          <w:rFonts w:ascii="Garamond" w:hAnsi="Garamond" w:cs="Calibri"/>
        </w:rPr>
        <w:t>), together we will consider current proposals for reform and the future of ISDS and international investment law more generally.</w:t>
      </w:r>
    </w:p>
    <w:p w14:paraId="09151019" w14:textId="77777777" w:rsidR="00AB14C8" w:rsidRPr="00AB14C8" w:rsidRDefault="00AB14C8" w:rsidP="00AB14C8">
      <w:pPr>
        <w:pStyle w:val="BodyTextIndent"/>
        <w:ind w:left="0" w:firstLine="0"/>
        <w:rPr>
          <w:rFonts w:ascii="Garamond" w:hAnsi="Garamond" w:cs="Calibri"/>
        </w:rPr>
      </w:pPr>
    </w:p>
    <w:p w14:paraId="08174C4D" w14:textId="77777777" w:rsidR="00AB14C8" w:rsidRPr="00AB14C8" w:rsidRDefault="00AB14C8" w:rsidP="00AB14C8">
      <w:pPr>
        <w:pStyle w:val="BodyTextIndent"/>
        <w:rPr>
          <w:rFonts w:ascii="Garamond" w:hAnsi="Garamond" w:cs="Calibri"/>
          <w:b/>
        </w:rPr>
      </w:pPr>
      <w:r w:rsidRPr="00AB14C8">
        <w:rPr>
          <w:rFonts w:ascii="Garamond" w:hAnsi="Garamond" w:cs="Calibri"/>
          <w:b/>
        </w:rPr>
        <w:t xml:space="preserve">I. </w:t>
      </w:r>
      <w:r w:rsidRPr="00AB14C8">
        <w:rPr>
          <w:rFonts w:ascii="Garamond" w:hAnsi="Garamond" w:cs="Calibri"/>
          <w:b/>
          <w:smallCaps/>
          <w:lang w:val="en-US"/>
        </w:rPr>
        <w:t>Essential Reading</w:t>
      </w:r>
    </w:p>
    <w:p w14:paraId="00D6E8D0" w14:textId="77777777" w:rsidR="00AB14C8" w:rsidRPr="00AB14C8" w:rsidRDefault="00AB14C8" w:rsidP="00AB14C8">
      <w:pPr>
        <w:pStyle w:val="BodyTextIndent"/>
        <w:ind w:left="284" w:firstLine="0"/>
        <w:rPr>
          <w:rFonts w:ascii="Garamond" w:hAnsi="Garamond" w:cs="Calibri"/>
        </w:rPr>
      </w:pPr>
    </w:p>
    <w:p w14:paraId="3439B31E" w14:textId="2E9AF7C3" w:rsidR="005D0AE9" w:rsidRPr="005D0AE9" w:rsidRDefault="005D0AE9" w:rsidP="00AB14C8">
      <w:pPr>
        <w:pStyle w:val="BodyTextIndent"/>
        <w:numPr>
          <w:ilvl w:val="0"/>
          <w:numId w:val="2"/>
        </w:numPr>
        <w:ind w:left="630"/>
        <w:rPr>
          <w:rFonts w:ascii="Garamond" w:hAnsi="Garamond" w:cs="Calibri"/>
        </w:rPr>
      </w:pPr>
      <w:r>
        <w:rPr>
          <w:rFonts w:ascii="Garamond" w:hAnsi="Garamond" w:cs="Calibri"/>
        </w:rPr>
        <w:t>Anthea Robert and Taylor St. John, EJIL: Talk!, 22 November 2023, ‘</w:t>
      </w:r>
      <w:r w:rsidRPr="005D0AE9">
        <w:rPr>
          <w:rFonts w:ascii="Garamond" w:hAnsi="Garamond" w:cs="Calibri"/>
        </w:rPr>
        <w:t xml:space="preserve">UNCITRAL </w:t>
      </w:r>
      <w:r>
        <w:rPr>
          <w:rFonts w:ascii="Garamond" w:hAnsi="Garamond" w:cs="Calibri"/>
        </w:rPr>
        <w:t xml:space="preserve">and ISDS Reform: Moving to the Delivery Phase’, available at: </w:t>
      </w:r>
      <w:hyperlink r:id="rId6" w:history="1">
        <w:r w:rsidRPr="00B30F21">
          <w:rPr>
            <w:rStyle w:val="Hyperlink"/>
            <w:rFonts w:ascii="Garamond" w:hAnsi="Garamond" w:cs="Calibri"/>
          </w:rPr>
          <w:t>https://www.ejiltalk.org/uncitral-and-isds-reform-moving-to-the-delivery-phase/</w:t>
        </w:r>
      </w:hyperlink>
      <w:r>
        <w:rPr>
          <w:rFonts w:ascii="Garamond" w:hAnsi="Garamond" w:cs="Calibri"/>
        </w:rPr>
        <w:t xml:space="preserve"> </w:t>
      </w:r>
    </w:p>
    <w:p w14:paraId="1FA79B94" w14:textId="4E9B3B2B" w:rsidR="00AB14C8" w:rsidRPr="005D0AE9" w:rsidRDefault="00AB14C8" w:rsidP="00AB14C8">
      <w:pPr>
        <w:pStyle w:val="BodyTextIndent"/>
        <w:numPr>
          <w:ilvl w:val="0"/>
          <w:numId w:val="2"/>
        </w:numPr>
        <w:ind w:left="630"/>
        <w:rPr>
          <w:rFonts w:ascii="Garamond" w:hAnsi="Garamond" w:cs="Calibri"/>
          <w:b/>
          <w:bCs/>
        </w:rPr>
      </w:pPr>
      <w:r>
        <w:rPr>
          <w:rFonts w:ascii="Garamond" w:hAnsi="Garamond" w:cs="Calibri"/>
        </w:rPr>
        <w:t>Joshua Paine, ‘</w:t>
      </w:r>
      <w:r w:rsidRPr="00AB14C8">
        <w:rPr>
          <w:rFonts w:ascii="Garamond" w:hAnsi="Garamond" w:cs="Calibri"/>
        </w:rPr>
        <w:t>A Multilateral Instrument on ISDS Reform (MIIR): Selected Design Issues</w:t>
      </w:r>
      <w:r w:rsidRPr="00AB14C8">
        <w:rPr>
          <w:rFonts w:ascii="Garamond" w:hAnsi="Garamond" w:cs="Calibri"/>
        </w:rPr>
        <w:t>’, EJIL Talk!</w:t>
      </w:r>
      <w:r>
        <w:rPr>
          <w:rFonts w:ascii="Garamond" w:hAnsi="Garamond" w:cs="Calibri"/>
          <w:b/>
          <w:bCs/>
        </w:rPr>
        <w:t xml:space="preserve"> </w:t>
      </w:r>
      <w:r w:rsidRPr="00AB14C8">
        <w:rPr>
          <w:rFonts w:ascii="Garamond" w:hAnsi="Garamond" w:cs="Calibri"/>
        </w:rPr>
        <w:t>3 June 2025</w:t>
      </w:r>
      <w:r>
        <w:rPr>
          <w:rFonts w:ascii="Garamond" w:hAnsi="Garamond" w:cs="Calibri"/>
        </w:rPr>
        <w:t xml:space="preserve">, available at: </w:t>
      </w:r>
      <w:hyperlink r:id="rId7" w:history="1">
        <w:r w:rsidRPr="00B30F21">
          <w:rPr>
            <w:rStyle w:val="Hyperlink"/>
            <w:rFonts w:ascii="Garamond" w:hAnsi="Garamond" w:cs="Calibri"/>
          </w:rPr>
          <w:t>https://www.ejiltalk.org/a-multilateral-instrument-on-isds-reform-miir-selected-design-issues/</w:t>
        </w:r>
      </w:hyperlink>
      <w:r>
        <w:rPr>
          <w:rFonts w:ascii="Garamond" w:hAnsi="Garamond" w:cs="Calibri"/>
        </w:rPr>
        <w:t xml:space="preserve"> </w:t>
      </w:r>
    </w:p>
    <w:p w14:paraId="588C38D1" w14:textId="77777777" w:rsidR="00AB14C8" w:rsidRDefault="00AB14C8" w:rsidP="005D0AE9">
      <w:pPr>
        <w:pStyle w:val="BodyTextIndent"/>
        <w:ind w:left="0" w:firstLine="0"/>
        <w:rPr>
          <w:rFonts w:ascii="Garamond" w:hAnsi="Garamond" w:cs="Calibri"/>
        </w:rPr>
      </w:pPr>
    </w:p>
    <w:p w14:paraId="5F7D200A" w14:textId="30B3491A" w:rsidR="00AB14C8" w:rsidRPr="00AB14C8" w:rsidRDefault="00AB14C8" w:rsidP="00AB14C8">
      <w:pPr>
        <w:pStyle w:val="BodyTextIndent"/>
        <w:rPr>
          <w:rFonts w:ascii="Garamond" w:hAnsi="Garamond" w:cs="Calibri"/>
          <w:b/>
          <w:bCs/>
        </w:rPr>
      </w:pPr>
      <w:r w:rsidRPr="00AB14C8">
        <w:rPr>
          <w:rFonts w:ascii="Garamond" w:hAnsi="Garamond" w:cs="Calibri"/>
          <w:b/>
          <w:bCs/>
        </w:rPr>
        <w:t>II. Materials (Essential)</w:t>
      </w:r>
    </w:p>
    <w:p w14:paraId="35D6D067" w14:textId="77777777" w:rsidR="00AB14C8" w:rsidRDefault="00AB14C8" w:rsidP="00AB14C8">
      <w:pPr>
        <w:pStyle w:val="BodyTextIndent"/>
        <w:rPr>
          <w:rFonts w:ascii="Garamond" w:hAnsi="Garamond" w:cs="Calibri"/>
        </w:rPr>
      </w:pPr>
    </w:p>
    <w:p w14:paraId="6B1EA752" w14:textId="4D1FA1C9" w:rsidR="00AB14C8" w:rsidRDefault="00AB14C8" w:rsidP="00AB14C8">
      <w:pPr>
        <w:pStyle w:val="BodyTextIndent"/>
        <w:numPr>
          <w:ilvl w:val="0"/>
          <w:numId w:val="2"/>
        </w:numPr>
        <w:ind w:left="630"/>
        <w:rPr>
          <w:rFonts w:ascii="Garamond" w:hAnsi="Garamond" w:cs="Calibri"/>
        </w:rPr>
      </w:pPr>
      <w:r>
        <w:rPr>
          <w:rFonts w:ascii="Garamond" w:hAnsi="Garamond" w:cs="Calibri"/>
        </w:rPr>
        <w:t xml:space="preserve">UNCITRAL, Draft multilateral instrument on ISDS reform, Note by the Secretariat, 8 July 2024, available at: </w:t>
      </w:r>
      <w:hyperlink r:id="rId8" w:history="1">
        <w:r w:rsidRPr="00B30F21">
          <w:rPr>
            <w:rStyle w:val="Hyperlink"/>
            <w:rFonts w:ascii="Garamond" w:hAnsi="Garamond" w:cs="Calibri"/>
          </w:rPr>
          <w:t>https://docs.un.org/en/A/CN.9/WG.III/WP.246</w:t>
        </w:r>
      </w:hyperlink>
      <w:r>
        <w:rPr>
          <w:rFonts w:ascii="Garamond" w:hAnsi="Garamond" w:cs="Calibri"/>
        </w:rPr>
        <w:t xml:space="preserve"> </w:t>
      </w:r>
    </w:p>
    <w:p w14:paraId="0A4A95C4" w14:textId="14C7F555" w:rsidR="00AB14C8" w:rsidRDefault="00AB14C8" w:rsidP="00AB14C8">
      <w:pPr>
        <w:pStyle w:val="BodyTextIndent"/>
        <w:numPr>
          <w:ilvl w:val="0"/>
          <w:numId w:val="2"/>
        </w:numPr>
        <w:ind w:left="630"/>
        <w:rPr>
          <w:rFonts w:ascii="Garamond" w:hAnsi="Garamond" w:cs="Calibri"/>
        </w:rPr>
      </w:pPr>
      <w:r>
        <w:rPr>
          <w:rFonts w:ascii="Garamond" w:hAnsi="Garamond" w:cs="Calibri"/>
        </w:rPr>
        <w:t xml:space="preserve">UNCITRAL, Draft statute of a permanent tribunal for international investment disputes, Note by the Secretariat, 23 October 2025, available at: </w:t>
      </w:r>
      <w:hyperlink r:id="rId9" w:history="1">
        <w:r w:rsidRPr="00B30F21">
          <w:rPr>
            <w:rStyle w:val="Hyperlink"/>
            <w:rFonts w:ascii="Garamond" w:hAnsi="Garamond" w:cs="Calibri"/>
          </w:rPr>
          <w:t>https://uncitral.un.org/sites/uncitral.un.org/files/media-documents/uncitral/en/wp-259_advance_copy.pdf</w:t>
        </w:r>
      </w:hyperlink>
    </w:p>
    <w:p w14:paraId="6A2069CF" w14:textId="7BD58CF2" w:rsidR="00AB14C8" w:rsidRDefault="00AB14C8" w:rsidP="00AB14C8">
      <w:pPr>
        <w:pStyle w:val="BodyTextIndent"/>
        <w:numPr>
          <w:ilvl w:val="0"/>
          <w:numId w:val="2"/>
        </w:numPr>
        <w:ind w:left="630"/>
        <w:rPr>
          <w:rFonts w:ascii="Garamond" w:hAnsi="Garamond" w:cs="Calibri"/>
        </w:rPr>
      </w:pPr>
      <w:r>
        <w:rPr>
          <w:rFonts w:ascii="Garamond" w:hAnsi="Garamond" w:cs="Calibri"/>
        </w:rPr>
        <w:t xml:space="preserve">UNCITRAL, Draft Statute of a permanent appellate tribunal for international investment disputes, Note by the Secretariat, 23 October 2025, available at: </w:t>
      </w:r>
      <w:hyperlink r:id="rId10" w:history="1">
        <w:r w:rsidRPr="00B30F21">
          <w:rPr>
            <w:rStyle w:val="Hyperlink"/>
            <w:rFonts w:ascii="Garamond" w:hAnsi="Garamond" w:cs="Calibri"/>
          </w:rPr>
          <w:t>https://uncitral.un.org/sites/uncitral.un.org/files/media-documents/uncitral/en/wp-260_advance_copy_0.pdf</w:t>
        </w:r>
      </w:hyperlink>
      <w:r>
        <w:rPr>
          <w:rFonts w:ascii="Garamond" w:hAnsi="Garamond" w:cs="Calibri"/>
        </w:rPr>
        <w:t xml:space="preserve"> </w:t>
      </w:r>
    </w:p>
    <w:p w14:paraId="75FE1442" w14:textId="4F0AC46F" w:rsidR="00AB14C8" w:rsidRDefault="00AB14C8" w:rsidP="00AB14C8">
      <w:pPr>
        <w:pStyle w:val="BodyTextIndent"/>
        <w:numPr>
          <w:ilvl w:val="0"/>
          <w:numId w:val="2"/>
        </w:numPr>
        <w:ind w:left="630"/>
        <w:rPr>
          <w:rFonts w:ascii="Garamond" w:hAnsi="Garamond" w:cs="Calibri"/>
        </w:rPr>
      </w:pPr>
      <w:r w:rsidRPr="00AB14C8">
        <w:rPr>
          <w:rFonts w:ascii="Garamond" w:hAnsi="Garamond" w:cs="Calibri"/>
        </w:rPr>
        <w:t>‘EU Withdrawal From Energy Charter Treaty’ (Dec 2023) available at &lt;</w:t>
      </w:r>
      <w:hyperlink r:id="rId11" w:history="1">
        <w:r w:rsidRPr="00AB14C8">
          <w:rPr>
            <w:rStyle w:val="Hyperlink"/>
            <w:rFonts w:ascii="Garamond" w:eastAsiaTheme="majorEastAsia" w:hAnsi="Garamond" w:cs="Calibri"/>
          </w:rPr>
          <w:t>https://www.europarl.europa.eu/RegData/etudes/BRIE/2023/754632/EPRS_BRI(2023)754632_EN.pdf</w:t>
        </w:r>
      </w:hyperlink>
      <w:r w:rsidRPr="00AB14C8">
        <w:rPr>
          <w:rFonts w:ascii="Garamond" w:hAnsi="Garamond" w:cs="Calibri"/>
        </w:rPr>
        <w:t>&gt;</w:t>
      </w:r>
    </w:p>
    <w:p w14:paraId="5D403710" w14:textId="77777777" w:rsidR="005D0AE9" w:rsidRDefault="005D0AE9" w:rsidP="005D0AE9">
      <w:pPr>
        <w:pStyle w:val="BodyTextIndent"/>
        <w:rPr>
          <w:rFonts w:ascii="Garamond" w:hAnsi="Garamond" w:cs="Calibri"/>
        </w:rPr>
      </w:pPr>
    </w:p>
    <w:p w14:paraId="144F4A27" w14:textId="77777777" w:rsidR="005D0AE9" w:rsidRPr="005D0AE9" w:rsidRDefault="005D0AE9" w:rsidP="005D0AE9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180"/>
        <w:rPr>
          <w:rFonts w:ascii="Garamond" w:hAnsi="Garamond" w:cs="Calibri"/>
          <w:b/>
          <w:bCs/>
        </w:rPr>
      </w:pPr>
      <w:r w:rsidRPr="005D0AE9">
        <w:rPr>
          <w:rFonts w:ascii="Garamond" w:hAnsi="Garamond" w:cs="Calibri"/>
          <w:b/>
          <w:bCs/>
        </w:rPr>
        <w:t>In focus: EU backlash</w:t>
      </w:r>
    </w:p>
    <w:p w14:paraId="40DC6D32" w14:textId="77777777" w:rsidR="005D0AE9" w:rsidRDefault="005D0AE9" w:rsidP="005D0AE9">
      <w:pPr>
        <w:pStyle w:val="BodyTextInden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Garamond" w:hAnsi="Garamond" w:cs="Calibri"/>
        </w:rPr>
      </w:pPr>
      <w:r w:rsidRPr="005D0AE9">
        <w:rPr>
          <w:rFonts w:ascii="Garamond" w:hAnsi="Garamond" w:cs="Calibri"/>
          <w:i/>
          <w:iCs/>
        </w:rPr>
        <w:t>Green Power and SCE v Spain</w:t>
      </w:r>
      <w:r w:rsidRPr="005D0AE9">
        <w:rPr>
          <w:rFonts w:ascii="Garamond" w:hAnsi="Garamond" w:cs="Calibri"/>
        </w:rPr>
        <w:t>, SCC Case No V2016/135, Award (16 June 2022) paras 341-478, especially paras 456-477</w:t>
      </w:r>
    </w:p>
    <w:p w14:paraId="6355E563" w14:textId="77777777" w:rsidR="005D0AE9" w:rsidRDefault="005D0AE9" w:rsidP="005D0AE9">
      <w:pPr>
        <w:pStyle w:val="BodyTextInden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Garamond" w:hAnsi="Garamond" w:cs="Calibri"/>
        </w:rPr>
      </w:pPr>
      <w:r w:rsidRPr="005D0AE9">
        <w:rPr>
          <w:rFonts w:ascii="Garamond" w:hAnsi="Garamond" w:cs="Calibri"/>
          <w:i/>
          <w:iCs/>
        </w:rPr>
        <w:t>Matthias Kruck and others v Spain</w:t>
      </w:r>
      <w:r w:rsidRPr="005D0AE9">
        <w:rPr>
          <w:rFonts w:ascii="Garamond" w:hAnsi="Garamond" w:cs="Calibri"/>
        </w:rPr>
        <w:t xml:space="preserve"> ICSID Case No ARB/15/23, Decision on Respondent’s Request for Reconsideration of the Tribunal’s Decision of 19 April 2021 (6 December 2021), paras 32-47</w:t>
      </w:r>
    </w:p>
    <w:p w14:paraId="714DF914" w14:textId="77777777" w:rsidR="005D0AE9" w:rsidRDefault="005D0AE9" w:rsidP="005D0AE9">
      <w:pPr>
        <w:pStyle w:val="BodyTextInden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Garamond" w:hAnsi="Garamond" w:cs="Calibri"/>
        </w:rPr>
      </w:pPr>
      <w:r w:rsidRPr="005D0AE9">
        <w:rPr>
          <w:rFonts w:ascii="Garamond" w:hAnsi="Garamond" w:cs="Calibri"/>
          <w:i/>
          <w:iCs/>
        </w:rPr>
        <w:t>Hydro v Spain</w:t>
      </w:r>
      <w:r w:rsidRPr="005D0AE9">
        <w:rPr>
          <w:rFonts w:ascii="Garamond" w:hAnsi="Garamond" w:cs="Calibri"/>
        </w:rPr>
        <w:t xml:space="preserve"> ICSID Case No ARB/15/42, Decision on Annulment (20 March 2023) paras 210-225 (especially 221-225)</w:t>
      </w:r>
    </w:p>
    <w:p w14:paraId="5FD89EC1" w14:textId="701E27EF" w:rsidR="005D0AE9" w:rsidRPr="005D0AE9" w:rsidRDefault="005D0AE9" w:rsidP="005D0AE9">
      <w:pPr>
        <w:pStyle w:val="BodyTextInden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Garamond" w:hAnsi="Garamond" w:cs="Calibri"/>
        </w:rPr>
      </w:pPr>
      <w:proofErr w:type="spellStart"/>
      <w:r w:rsidRPr="005D0AE9">
        <w:rPr>
          <w:rFonts w:ascii="Garamond" w:hAnsi="Garamond" w:cs="Calibri"/>
          <w:lang w:val="en-US"/>
        </w:rPr>
        <w:t>Paddeu</w:t>
      </w:r>
      <w:proofErr w:type="spellEnd"/>
      <w:r w:rsidRPr="005D0AE9">
        <w:rPr>
          <w:rFonts w:ascii="Garamond" w:hAnsi="Garamond" w:cs="Calibri"/>
          <w:lang w:val="en-US"/>
        </w:rPr>
        <w:t xml:space="preserve"> and Tams, </w:t>
      </w:r>
      <w:hyperlink r:id="rId12" w:history="1">
        <w:r w:rsidRPr="005D0AE9">
          <w:rPr>
            <w:rStyle w:val="Hyperlink"/>
            <w:rFonts w:ascii="Garamond" w:hAnsi="Garamond" w:cs="Calibri"/>
            <w:lang w:val="en-US"/>
          </w:rPr>
          <w:t>‘Interpreting Away Treaty Conflicts? Green Power, ISDS and the Primacy of EU Law’</w:t>
        </w:r>
      </w:hyperlink>
      <w:r w:rsidRPr="005D0AE9">
        <w:rPr>
          <w:rFonts w:ascii="Garamond" w:hAnsi="Garamond" w:cs="Calibri"/>
          <w:lang w:val="en-US"/>
        </w:rPr>
        <w:t xml:space="preserve"> (</w:t>
      </w:r>
      <w:r w:rsidRPr="005D0AE9">
        <w:rPr>
          <w:rFonts w:ascii="Garamond" w:hAnsi="Garamond" w:cs="Calibri"/>
          <w:i/>
          <w:iCs/>
          <w:lang w:val="en-US"/>
        </w:rPr>
        <w:t>Kluwer Arbitration Blog</w:t>
      </w:r>
      <w:r w:rsidRPr="005D0AE9">
        <w:rPr>
          <w:rFonts w:ascii="Garamond" w:hAnsi="Garamond" w:cs="Calibri"/>
          <w:lang w:val="en-US"/>
        </w:rPr>
        <w:t>, 23 August 2022)</w:t>
      </w:r>
    </w:p>
    <w:p w14:paraId="3C1726D4" w14:textId="77777777" w:rsidR="00AB14C8" w:rsidRPr="00AB14C8" w:rsidRDefault="00AB14C8" w:rsidP="005D0AE9">
      <w:pPr>
        <w:pStyle w:val="BodyTextIndent"/>
        <w:rPr>
          <w:rFonts w:ascii="Garamond" w:hAnsi="Garamond" w:cs="Calibri"/>
        </w:rPr>
      </w:pPr>
    </w:p>
    <w:p w14:paraId="419D5D71" w14:textId="77777777" w:rsidR="00AB14C8" w:rsidRPr="00AB14C8" w:rsidRDefault="00AB14C8" w:rsidP="00AB14C8">
      <w:pPr>
        <w:pStyle w:val="BodyTextIndent"/>
        <w:ind w:left="284" w:firstLine="0"/>
        <w:rPr>
          <w:rFonts w:ascii="Garamond" w:hAnsi="Garamond" w:cs="Calibri"/>
        </w:rPr>
      </w:pPr>
    </w:p>
    <w:p w14:paraId="4D1695A3" w14:textId="6CBC9E80" w:rsidR="00AB14C8" w:rsidRPr="00AB14C8" w:rsidRDefault="00AB14C8" w:rsidP="00AB14C8">
      <w:pPr>
        <w:jc w:val="both"/>
        <w:rPr>
          <w:rFonts w:ascii="Garamond" w:hAnsi="Garamond" w:cs="Calibri"/>
          <w:b/>
          <w:smallCaps/>
        </w:rPr>
      </w:pPr>
      <w:r w:rsidRPr="00AB14C8">
        <w:rPr>
          <w:rFonts w:ascii="Garamond" w:hAnsi="Garamond" w:cs="Calibri"/>
          <w:b/>
        </w:rPr>
        <w:t>II</w:t>
      </w:r>
      <w:r>
        <w:rPr>
          <w:rFonts w:ascii="Garamond" w:hAnsi="Garamond" w:cs="Calibri"/>
          <w:b/>
        </w:rPr>
        <w:t>I</w:t>
      </w:r>
      <w:r w:rsidRPr="00AB14C8">
        <w:rPr>
          <w:rFonts w:ascii="Garamond" w:hAnsi="Garamond" w:cs="Calibri"/>
          <w:b/>
        </w:rPr>
        <w:t xml:space="preserve">. </w:t>
      </w:r>
      <w:r w:rsidRPr="00AB14C8">
        <w:rPr>
          <w:rFonts w:ascii="Garamond" w:hAnsi="Garamond" w:cs="Calibri"/>
          <w:b/>
          <w:smallCaps/>
        </w:rPr>
        <w:t>Optional Reading</w:t>
      </w:r>
    </w:p>
    <w:p w14:paraId="02CA0F40" w14:textId="77777777" w:rsidR="00AB14C8" w:rsidRPr="00AB14C8" w:rsidRDefault="00AB14C8" w:rsidP="005D0AE9">
      <w:pPr>
        <w:pStyle w:val="BodyTextIndent"/>
        <w:ind w:left="0" w:firstLine="0"/>
        <w:rPr>
          <w:rFonts w:ascii="Garamond" w:hAnsi="Garamond" w:cs="Calibri"/>
          <w:b/>
        </w:rPr>
      </w:pPr>
    </w:p>
    <w:p w14:paraId="7F5AD58D" w14:textId="6EA31E30" w:rsidR="00AB14C8" w:rsidRPr="00AB14C8" w:rsidRDefault="00AB14C8" w:rsidP="00AB14C8">
      <w:pPr>
        <w:pStyle w:val="BodyTextIndent"/>
        <w:numPr>
          <w:ilvl w:val="0"/>
          <w:numId w:val="1"/>
        </w:numPr>
        <w:rPr>
          <w:rFonts w:ascii="Garamond" w:hAnsi="Garamond" w:cs="Calibri"/>
          <w:b/>
        </w:rPr>
      </w:pPr>
      <w:hyperlink r:id="rId13" w:history="1">
        <w:r w:rsidRPr="00AB14C8">
          <w:rPr>
            <w:rStyle w:val="Hyperlink"/>
            <w:rFonts w:ascii="Garamond" w:eastAsiaTheme="majorEastAsia" w:hAnsi="Garamond" w:cs="Calibri"/>
            <w:lang w:val="en-US"/>
          </w:rPr>
          <w:t xml:space="preserve">Lim, Ho &amp; </w:t>
        </w:r>
        <w:proofErr w:type="spellStart"/>
        <w:r w:rsidRPr="00AB14C8">
          <w:rPr>
            <w:rStyle w:val="Hyperlink"/>
            <w:rFonts w:ascii="Garamond" w:eastAsiaTheme="majorEastAsia" w:hAnsi="Garamond" w:cs="Calibri"/>
            <w:lang w:val="en-US"/>
          </w:rPr>
          <w:t>Paparinskis</w:t>
        </w:r>
        <w:proofErr w:type="spellEnd"/>
      </w:hyperlink>
      <w:r w:rsidRPr="00AB14C8">
        <w:rPr>
          <w:rFonts w:ascii="Garamond" w:hAnsi="Garamond" w:cs="Calibri"/>
          <w:lang w:val="en-US"/>
        </w:rPr>
        <w:t>, pp. 594-615</w:t>
      </w:r>
    </w:p>
    <w:p w14:paraId="6C6D0FD3" w14:textId="439AFF6B" w:rsidR="00AB14C8" w:rsidRPr="00AB14C8" w:rsidRDefault="00AB14C8" w:rsidP="00AB14C8">
      <w:pPr>
        <w:pStyle w:val="BodyTextIndent"/>
        <w:numPr>
          <w:ilvl w:val="0"/>
          <w:numId w:val="1"/>
        </w:numPr>
        <w:rPr>
          <w:rFonts w:ascii="Garamond" w:hAnsi="Garamond" w:cs="Calibri"/>
        </w:rPr>
      </w:pPr>
      <w:r w:rsidRPr="00AB14C8">
        <w:rPr>
          <w:rFonts w:ascii="Garamond" w:hAnsi="Garamond" w:cs="Calibri"/>
        </w:rPr>
        <w:t xml:space="preserve">Anthea Roberts and Taylor St. John, ‘UNCITRAL and ISDS Reform (Online): Crossing the Chasm’, EJIL: Talk!, February 17 2021, available at: </w:t>
      </w:r>
      <w:hyperlink r:id="rId14" w:history="1">
        <w:r w:rsidRPr="00AB14C8">
          <w:rPr>
            <w:rStyle w:val="Hyperlink"/>
            <w:rFonts w:ascii="Garamond" w:eastAsiaTheme="majorEastAsia" w:hAnsi="Garamond" w:cs="Calibri"/>
          </w:rPr>
          <w:t>https</w:t>
        </w:r>
        <w:r w:rsidRPr="00AB14C8">
          <w:rPr>
            <w:rStyle w:val="Hyperlink"/>
            <w:rFonts w:ascii="Garamond" w:eastAsiaTheme="majorEastAsia" w:hAnsi="Garamond" w:cs="Calibri"/>
          </w:rPr>
          <w:t>:</w:t>
        </w:r>
        <w:r w:rsidRPr="00AB14C8">
          <w:rPr>
            <w:rStyle w:val="Hyperlink"/>
            <w:rFonts w:ascii="Garamond" w:eastAsiaTheme="majorEastAsia" w:hAnsi="Garamond" w:cs="Calibri"/>
          </w:rPr>
          <w:t>//www.ejiltalk.org/uncitral-and-isds-reform-online-crossing-the-chasm/</w:t>
        </w:r>
      </w:hyperlink>
      <w:r w:rsidRPr="00AB14C8">
        <w:rPr>
          <w:rFonts w:ascii="Garamond" w:hAnsi="Garamond" w:cs="Calibri"/>
        </w:rPr>
        <w:t xml:space="preserve"> </w:t>
      </w:r>
    </w:p>
    <w:p w14:paraId="5D1F1B6C" w14:textId="2F4B078A" w:rsidR="00AB14C8" w:rsidRPr="00AB14C8" w:rsidRDefault="00AB14C8" w:rsidP="00AB14C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Garamond" w:hAnsi="Garamond" w:cs="Calibri"/>
        </w:rPr>
      </w:pPr>
      <w:r w:rsidRPr="00AB14C8">
        <w:rPr>
          <w:rFonts w:ascii="Garamond" w:hAnsi="Garamond" w:cs="Calibri"/>
        </w:rPr>
        <w:lastRenderedPageBreak/>
        <w:t xml:space="preserve">Sergio Puig and Gregory Shaffer, ‘Imperfect Alternatives: Institutional Choice and the Reform of Investment Law’ (2018) 112(3) AJIL 361-409: </w:t>
      </w:r>
      <w:hyperlink r:id="rId15" w:history="1">
        <w:r w:rsidRPr="00AB14C8">
          <w:rPr>
            <w:rStyle w:val="Hyperlink"/>
            <w:rFonts w:ascii="Garamond" w:eastAsiaTheme="majorEastAsia" w:hAnsi="Garamond" w:cs="Calibri"/>
          </w:rPr>
          <w:t>https://doi.org/10.1017/ajil.2018.70</w:t>
        </w:r>
      </w:hyperlink>
      <w:r w:rsidRPr="00AB14C8">
        <w:rPr>
          <w:rFonts w:ascii="Garamond" w:hAnsi="Garamond" w:cs="Calibri"/>
        </w:rPr>
        <w:t xml:space="preserve"> </w:t>
      </w:r>
    </w:p>
    <w:p w14:paraId="0D6BDF45" w14:textId="77777777" w:rsidR="00AB14C8" w:rsidRPr="00AB14C8" w:rsidRDefault="00AB14C8" w:rsidP="00AB14C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AB14C8">
        <w:rPr>
          <w:rFonts w:ascii="Garamond" w:hAnsi="Garamond" w:cs="Calibri"/>
        </w:rPr>
        <w:t xml:space="preserve">Charles N. Brower, ‘ISDS at a crossroads’ (2018) 112 Proceedings of the ASIL Annual Meeting 191, DOI: </w:t>
      </w:r>
      <w:hyperlink r:id="rId16" w:history="1">
        <w:r w:rsidRPr="00AB14C8">
          <w:rPr>
            <w:rStyle w:val="Hyperlink"/>
            <w:rFonts w:ascii="Garamond" w:eastAsiaTheme="majorEastAsia" w:hAnsi="Garamond" w:cs="Calibri"/>
          </w:rPr>
          <w:t>https://doi.org/10.1017/amp.2019.56</w:t>
        </w:r>
      </w:hyperlink>
      <w:r w:rsidRPr="00AB14C8">
        <w:rPr>
          <w:rFonts w:ascii="Garamond" w:hAnsi="Garamond" w:cs="Calibri"/>
        </w:rPr>
        <w:t xml:space="preserve"> </w:t>
      </w:r>
    </w:p>
    <w:p w14:paraId="7E611628" w14:textId="77777777" w:rsidR="00AB14C8" w:rsidRPr="00AB14C8" w:rsidRDefault="00AB14C8" w:rsidP="00AB14C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AB14C8">
        <w:rPr>
          <w:rFonts w:ascii="Garamond" w:hAnsi="Garamond" w:cs="Calibri"/>
        </w:rPr>
        <w:t xml:space="preserve">John Doe, </w:t>
      </w:r>
      <w:hyperlink r:id="rId17" w:history="1">
        <w:r w:rsidRPr="00AB14C8">
          <w:rPr>
            <w:rStyle w:val="Hyperlink"/>
            <w:rFonts w:ascii="Garamond" w:eastAsiaTheme="majorEastAsia" w:hAnsi="Garamond" w:cs="Calibri"/>
            <w:color w:val="auto"/>
          </w:rPr>
          <w:t>Investor-state arbitration: rationale and legitimacy</w:t>
        </w:r>
      </w:hyperlink>
    </w:p>
    <w:p w14:paraId="6D9BF04B" w14:textId="77777777" w:rsidR="00AB14C8" w:rsidRPr="00AB14C8" w:rsidRDefault="00AB14C8" w:rsidP="00AB14C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AB14C8">
        <w:rPr>
          <w:rFonts w:ascii="Garamond" w:hAnsi="Garamond" w:cs="Calibri"/>
        </w:rPr>
        <w:t>Schultz, Celebrating 20 Years of Dealing in Virtue, Journal of International Dispute Settlement, 7, 531-533.</w:t>
      </w:r>
    </w:p>
    <w:p w14:paraId="125E5F84" w14:textId="77777777" w:rsidR="00AB14C8" w:rsidRPr="00AB14C8" w:rsidRDefault="00AB14C8" w:rsidP="00AB14C8">
      <w:pPr>
        <w:pStyle w:val="BodyTextIndent"/>
        <w:ind w:left="284" w:firstLine="0"/>
        <w:rPr>
          <w:rFonts w:ascii="Garamond" w:hAnsi="Garamond" w:cs="Calibri"/>
        </w:rPr>
      </w:pPr>
    </w:p>
    <w:p w14:paraId="4982FE94" w14:textId="77777777" w:rsidR="00AB14C8" w:rsidRPr="00AB14C8" w:rsidRDefault="00AB14C8" w:rsidP="00AB14C8">
      <w:pPr>
        <w:pStyle w:val="BodyTextIndent"/>
        <w:ind w:left="284" w:firstLine="0"/>
        <w:rPr>
          <w:rFonts w:ascii="Garamond" w:hAnsi="Garamond" w:cs="Calibri"/>
        </w:rPr>
      </w:pPr>
    </w:p>
    <w:p w14:paraId="416D5360" w14:textId="77777777" w:rsidR="00AB14C8" w:rsidRPr="00AB14C8" w:rsidRDefault="00AB14C8" w:rsidP="00AB14C8">
      <w:pPr>
        <w:jc w:val="both"/>
        <w:rPr>
          <w:rFonts w:ascii="Garamond" w:hAnsi="Garamond" w:cs="Calibri"/>
          <w:b/>
          <w:smallCaps/>
        </w:rPr>
      </w:pPr>
      <w:r w:rsidRPr="00AB14C8">
        <w:rPr>
          <w:rFonts w:ascii="Garamond" w:hAnsi="Garamond" w:cs="Calibri"/>
          <w:b/>
        </w:rPr>
        <w:t xml:space="preserve">III. </w:t>
      </w:r>
      <w:r w:rsidRPr="00AB14C8">
        <w:rPr>
          <w:rFonts w:ascii="Garamond" w:hAnsi="Garamond" w:cs="Calibri"/>
          <w:b/>
          <w:smallCaps/>
        </w:rPr>
        <w:t>Discussion Prompts</w:t>
      </w:r>
    </w:p>
    <w:p w14:paraId="1A245B06" w14:textId="77777777" w:rsidR="00AB14C8" w:rsidRPr="00AB14C8" w:rsidRDefault="00AB14C8" w:rsidP="00AB14C8">
      <w:pPr>
        <w:jc w:val="both"/>
        <w:rPr>
          <w:rFonts w:ascii="Garamond" w:hAnsi="Garamond" w:cs="Calibri"/>
          <w:b/>
        </w:rPr>
      </w:pPr>
    </w:p>
    <w:p w14:paraId="17FD2F99" w14:textId="77777777" w:rsidR="005D0AE9" w:rsidRDefault="00AB14C8" w:rsidP="00AB14C8">
      <w:pPr>
        <w:pStyle w:val="BodyTextIndent"/>
        <w:numPr>
          <w:ilvl w:val="0"/>
          <w:numId w:val="1"/>
        </w:numPr>
        <w:rPr>
          <w:rFonts w:ascii="Garamond" w:hAnsi="Garamond" w:cs="Calibri"/>
        </w:rPr>
      </w:pPr>
      <w:r w:rsidRPr="00AB14C8">
        <w:rPr>
          <w:rFonts w:ascii="Garamond" w:hAnsi="Garamond" w:cs="Calibri"/>
        </w:rPr>
        <w:t xml:space="preserve">How could an institution like ICSID (that should have an interest in being perceived as legitimate) respond to the criticisms made of it? </w:t>
      </w:r>
    </w:p>
    <w:p w14:paraId="7FC4C427" w14:textId="615F16DE" w:rsidR="00AB14C8" w:rsidRPr="00AB14C8" w:rsidRDefault="00AB14C8" w:rsidP="00AB14C8">
      <w:pPr>
        <w:pStyle w:val="BodyTextIndent"/>
        <w:numPr>
          <w:ilvl w:val="0"/>
          <w:numId w:val="1"/>
        </w:numPr>
        <w:rPr>
          <w:rFonts w:ascii="Garamond" w:hAnsi="Garamond" w:cs="Calibri"/>
        </w:rPr>
      </w:pPr>
      <w:r w:rsidRPr="00AB14C8">
        <w:rPr>
          <w:rFonts w:ascii="Garamond" w:hAnsi="Garamond" w:cs="Calibri"/>
        </w:rPr>
        <w:t>How could States parties to BITs respond?</w:t>
      </w:r>
    </w:p>
    <w:p w14:paraId="332D067F" w14:textId="77777777" w:rsidR="005D0AE9" w:rsidRDefault="00AB14C8" w:rsidP="00AB14C8">
      <w:pPr>
        <w:pStyle w:val="BodyTextIndent"/>
        <w:numPr>
          <w:ilvl w:val="0"/>
          <w:numId w:val="1"/>
        </w:numPr>
        <w:rPr>
          <w:rFonts w:ascii="Garamond" w:hAnsi="Garamond" w:cs="Calibri"/>
        </w:rPr>
      </w:pPr>
      <w:r w:rsidRPr="00AB14C8">
        <w:rPr>
          <w:rFonts w:ascii="Garamond" w:hAnsi="Garamond" w:cs="Calibri"/>
        </w:rPr>
        <w:t>What are the main proposals for reform currently on the table?</w:t>
      </w:r>
    </w:p>
    <w:p w14:paraId="0CE37026" w14:textId="30EDF06B" w:rsidR="00D02F8C" w:rsidRDefault="00AB14C8" w:rsidP="00AB14C8">
      <w:pPr>
        <w:pStyle w:val="BodyTextIndent"/>
        <w:numPr>
          <w:ilvl w:val="0"/>
          <w:numId w:val="1"/>
        </w:numPr>
        <w:rPr>
          <w:rFonts w:ascii="Garamond" w:hAnsi="Garamond" w:cs="Calibri"/>
        </w:rPr>
      </w:pPr>
      <w:r w:rsidRPr="005D0AE9">
        <w:rPr>
          <w:rFonts w:ascii="Garamond" w:hAnsi="Garamond" w:cs="Calibri"/>
        </w:rPr>
        <w:t>How likely are any of the proposed reforms suggested in the context of UNCITRAL to address the main criticisms of ISDS? Why?</w:t>
      </w:r>
    </w:p>
    <w:p w14:paraId="13FEAE24" w14:textId="29A03FD1" w:rsidR="005D0AE9" w:rsidRPr="005D0AE9" w:rsidRDefault="005D0AE9" w:rsidP="00AB14C8">
      <w:pPr>
        <w:pStyle w:val="BodyTextIndent"/>
        <w:numPr>
          <w:ilvl w:val="0"/>
          <w:numId w:val="1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Are the various different proposals on the table compatible with one another? How do States envision that they can be coordinated?  </w:t>
      </w:r>
    </w:p>
    <w:sectPr w:rsidR="005D0AE9" w:rsidRPr="005D0AE9" w:rsidSect="003144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5BE"/>
    <w:multiLevelType w:val="hybridMultilevel"/>
    <w:tmpl w:val="BC5C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41DAE"/>
    <w:multiLevelType w:val="hybridMultilevel"/>
    <w:tmpl w:val="FB8815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53C9D"/>
    <w:multiLevelType w:val="hybridMultilevel"/>
    <w:tmpl w:val="154EA970"/>
    <w:lvl w:ilvl="0" w:tplc="294474DE">
      <w:start w:val="1"/>
      <w:numFmt w:val="bullet"/>
      <w:lvlText w:val="-"/>
      <w:lvlJc w:val="left"/>
      <w:pPr>
        <w:ind w:left="1004" w:hanging="360"/>
      </w:pPr>
      <w:rPr>
        <w:rFonts w:ascii="Arial" w:eastAsia="Times New Roman" w:hAnsi="Arial" w:cs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1BF6E58"/>
    <w:multiLevelType w:val="hybridMultilevel"/>
    <w:tmpl w:val="E0AA95EC"/>
    <w:lvl w:ilvl="0" w:tplc="A6521C9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76717"/>
    <w:multiLevelType w:val="hybridMultilevel"/>
    <w:tmpl w:val="03BE09CC"/>
    <w:lvl w:ilvl="0" w:tplc="294474D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2497262">
    <w:abstractNumId w:val="4"/>
  </w:num>
  <w:num w:numId="2" w16cid:durableId="657153669">
    <w:abstractNumId w:val="2"/>
  </w:num>
  <w:num w:numId="3" w16cid:durableId="623922255">
    <w:abstractNumId w:val="3"/>
  </w:num>
  <w:num w:numId="4" w16cid:durableId="446893212">
    <w:abstractNumId w:val="0"/>
  </w:num>
  <w:num w:numId="5" w16cid:durableId="148118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C8"/>
    <w:rsid w:val="000E4C97"/>
    <w:rsid w:val="001A4CDD"/>
    <w:rsid w:val="00244A40"/>
    <w:rsid w:val="00314493"/>
    <w:rsid w:val="005473F6"/>
    <w:rsid w:val="005D0AE9"/>
    <w:rsid w:val="0067096F"/>
    <w:rsid w:val="00814379"/>
    <w:rsid w:val="008904DD"/>
    <w:rsid w:val="00903AF5"/>
    <w:rsid w:val="00AB14C8"/>
    <w:rsid w:val="00D02F8C"/>
    <w:rsid w:val="00F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6BF26"/>
  <w15:chartTrackingRefBased/>
  <w15:docId w15:val="{CAC90DC6-3D85-B74C-936B-9A25778A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4C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4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AB14C8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AB14C8"/>
    <w:pPr>
      <w:ind w:left="540" w:hanging="540"/>
      <w:jc w:val="both"/>
    </w:pPr>
    <w:rPr>
      <w:lang w:val="en-GB" w:eastAsia="it-IT"/>
    </w:rPr>
  </w:style>
  <w:style w:type="character" w:customStyle="1" w:styleId="BodyTextIndentChar">
    <w:name w:val="Body Text Indent Char"/>
    <w:basedOn w:val="DefaultParagraphFont"/>
    <w:link w:val="BodyTextIndent"/>
    <w:rsid w:val="00AB14C8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B14C8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.org/en/A/CN.9/WG.III/WP.246" TargetMode="External"/><Relationship Id="rId13" Type="http://schemas.openxmlformats.org/officeDocument/2006/relationships/hyperlink" Target="https://go.exlibris.link/g2MP9cx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jiltalk.org/a-multilateral-instrument-on-isds-reform-miir-selected-design-issues/" TargetMode="External"/><Relationship Id="rId12" Type="http://schemas.openxmlformats.org/officeDocument/2006/relationships/hyperlink" Target="http://arbitrationblog.kluwerarbitration.com/2022/08/23/interpreting-away-treaty-conflicts-green-power-isds-and-the-primacy-of-eu-law/" TargetMode="External"/><Relationship Id="rId17" Type="http://schemas.openxmlformats.org/officeDocument/2006/relationships/hyperlink" Target="http://voelkerrechtsblog.org/investor-state-arbitration-rationale-and-legitimac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7/amp.2019.5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jiltalk.org/uncitral-and-isds-reform-moving-to-the-delivery-phase/" TargetMode="External"/><Relationship Id="rId11" Type="http://schemas.openxmlformats.org/officeDocument/2006/relationships/hyperlink" Target="https://www.europarl.europa.eu/RegData/etudes/BRIE/2023/754632/EPRS_BRI(2023)754632_EN.pdf" TargetMode="External"/><Relationship Id="rId5" Type="http://schemas.openxmlformats.org/officeDocument/2006/relationships/hyperlink" Target="https://uncitral.un.org/en/working_groups/3/investor-state" TargetMode="External"/><Relationship Id="rId15" Type="http://schemas.openxmlformats.org/officeDocument/2006/relationships/hyperlink" Target="https://doi.org/10.1017/ajil.2018.70" TargetMode="External"/><Relationship Id="rId10" Type="http://schemas.openxmlformats.org/officeDocument/2006/relationships/hyperlink" Target="https://uncitral.un.org/sites/uncitral.un.org/files/media-documents/uncitral/en/wp-260_advance_copy_0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uncitral.un.org/sites/uncitral.un.org/files/media-documents/uncitral/en/wp-259_advance_copy.pdf" TargetMode="External"/><Relationship Id="rId14" Type="http://schemas.openxmlformats.org/officeDocument/2006/relationships/hyperlink" Target="https://www.ejiltalk.org/uncitral-and-isds-reform-online-crossing-the-chas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Devaney</dc:creator>
  <cp:keywords/>
  <dc:description/>
  <cp:lastModifiedBy>James Devaney</cp:lastModifiedBy>
  <cp:revision>1</cp:revision>
  <dcterms:created xsi:type="dcterms:W3CDTF">2025-11-18T10:25:00Z</dcterms:created>
  <dcterms:modified xsi:type="dcterms:W3CDTF">2025-11-18T10:43:00Z</dcterms:modified>
</cp:coreProperties>
</file>