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C0385" w14:textId="59A9F9B4" w:rsidR="00337839" w:rsidRDefault="00337839" w:rsidP="00305B50">
      <w:pPr>
        <w:rPr>
          <w:rFonts w:asciiTheme="majorBidi" w:hAnsiTheme="majorBidi" w:cstheme="majorBidi"/>
          <w:b/>
          <w:bCs/>
          <w:sz w:val="28"/>
          <w:szCs w:val="28"/>
        </w:rPr>
      </w:pPr>
      <w:r w:rsidRPr="00732358">
        <w:rPr>
          <w:rFonts w:ascii="Arial" w:hAnsi="Arial" w:cs="Arial"/>
          <w:b/>
          <w:noProof/>
          <w:lang w:eastAsia="en-GB"/>
        </w:rPr>
        <w:drawing>
          <wp:inline distT="0" distB="0" distL="0" distR="0" wp14:anchorId="68DD5ABC" wp14:editId="0EEED12A">
            <wp:extent cx="2924175" cy="981075"/>
            <wp:effectExtent l="0" t="0" r="0" b="9525"/>
            <wp:docPr id="2" name="Picture 2" descr="http://www.gla.ac.uk/visualidentity/downloads/files/School of Law/BMP/Law_mono.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gla.ac.uk/visualidentity/downloads/files/School of Law/BMP/Law_mono.bmp"/>
                    <pic:cNvPicPr>
                      <a:picLocks noChangeAspect="1" noChangeArrowheads="1"/>
                    </pic:cNvPicPr>
                  </pic:nvPicPr>
                  <pic:blipFill rotWithShape="1">
                    <a:blip r:embed="rId8" r:link="rId9" cstate="print">
                      <a:extLst>
                        <a:ext uri="{28A0092B-C50C-407E-A947-70E740481C1C}">
                          <a14:useLocalDpi xmlns:a14="http://schemas.microsoft.com/office/drawing/2010/main" val="0"/>
                        </a:ext>
                      </a:extLst>
                    </a:blip>
                    <a:srcRect l="6116" b="-52"/>
                    <a:stretch/>
                  </pic:blipFill>
                  <pic:spPr bwMode="auto">
                    <a:xfrm>
                      <a:off x="0" y="0"/>
                      <a:ext cx="2922254" cy="980431"/>
                    </a:xfrm>
                    <a:prstGeom prst="rect">
                      <a:avLst/>
                    </a:prstGeom>
                    <a:noFill/>
                    <a:ln>
                      <a:noFill/>
                    </a:ln>
                    <a:extLst>
                      <a:ext uri="{53640926-AAD7-44D8-BBD7-CCE9431645EC}">
                        <a14:shadowObscured xmlns:a14="http://schemas.microsoft.com/office/drawing/2010/main"/>
                      </a:ext>
                    </a:extLst>
                  </pic:spPr>
                </pic:pic>
              </a:graphicData>
            </a:graphic>
          </wp:inline>
        </w:drawing>
      </w:r>
    </w:p>
    <w:p w14:paraId="1F7153D6" w14:textId="77777777" w:rsidR="00337839" w:rsidRDefault="00337839" w:rsidP="00AB4A76">
      <w:pPr>
        <w:jc w:val="center"/>
        <w:rPr>
          <w:rFonts w:asciiTheme="majorBidi" w:hAnsiTheme="majorBidi" w:cstheme="majorBidi"/>
          <w:b/>
          <w:bCs/>
          <w:sz w:val="28"/>
          <w:szCs w:val="28"/>
        </w:rPr>
      </w:pPr>
    </w:p>
    <w:p w14:paraId="3623EF5F" w14:textId="01D62CB2" w:rsidR="00D701DF" w:rsidRDefault="00B733FE" w:rsidP="00574A13">
      <w:pPr>
        <w:jc w:val="center"/>
        <w:rPr>
          <w:rFonts w:cs="Times New Roman"/>
          <w:sz w:val="28"/>
          <w:szCs w:val="28"/>
        </w:rPr>
      </w:pPr>
      <w:r w:rsidRPr="00AB4A76">
        <w:rPr>
          <w:rFonts w:asciiTheme="majorBidi" w:hAnsiTheme="majorBidi" w:cstheme="majorBidi"/>
          <w:b/>
          <w:bCs/>
          <w:noProof/>
          <w:sz w:val="28"/>
          <w:szCs w:val="28"/>
        </w:rPr>
        <mc:AlternateContent>
          <mc:Choice Requires="wps">
            <w:drawing>
              <wp:anchor distT="0" distB="0" distL="114300" distR="114300" simplePos="0" relativeHeight="251658240" behindDoc="0" locked="0" layoutInCell="1" allowOverlap="1" wp14:anchorId="339AAC52" wp14:editId="356E6D40">
                <wp:simplePos x="0" y="0"/>
                <wp:positionH relativeFrom="column">
                  <wp:posOffset>1176655</wp:posOffset>
                </wp:positionH>
                <wp:positionV relativeFrom="paragraph">
                  <wp:posOffset>247015</wp:posOffset>
                </wp:positionV>
                <wp:extent cx="3551702" cy="661182"/>
                <wp:effectExtent l="0" t="0" r="4445" b="0"/>
                <wp:wrapNone/>
                <wp:docPr id="1" name="Text Box 1"/>
                <wp:cNvGraphicFramePr/>
                <a:graphic xmlns:a="http://schemas.openxmlformats.org/drawingml/2006/main">
                  <a:graphicData uri="http://schemas.microsoft.com/office/word/2010/wordprocessingShape">
                    <wps:wsp>
                      <wps:cNvSpPr txBox="1"/>
                      <wps:spPr>
                        <a:xfrm>
                          <a:off x="0" y="0"/>
                          <a:ext cx="3551702" cy="661182"/>
                        </a:xfrm>
                        <a:prstGeom prst="rect">
                          <a:avLst/>
                        </a:prstGeom>
                        <a:solidFill>
                          <a:schemeClr val="lt1"/>
                        </a:solidFill>
                        <a:ln w="6350">
                          <a:noFill/>
                        </a:ln>
                      </wps:spPr>
                      <wps:txb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9AAC52" id="_x0000_t202" coordsize="21600,21600" o:spt="202" path="m,l,21600r21600,l21600,xe">
                <v:stroke joinstyle="miter"/>
                <v:path gradientshapeok="t" o:connecttype="rect"/>
              </v:shapetype>
              <v:shape id="Text Box 1" o:spid="_x0000_s1026" type="#_x0000_t202" style="position:absolute;left:0;text-align:left;margin-left:92.65pt;margin-top:19.45pt;width:279.65pt;height:52.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" fillcolor="white [3201]" stroked="f" strokeweight=".5pt">
                <v:textbox>
                  <w:txbxContent>
                    <w:p w14:paraId="3450D852" w14:textId="1F24DFE0" w:rsidR="00D701DF" w:rsidRPr="00AB45DD" w:rsidRDefault="000B1540" w:rsidP="00C30070">
                      <w:pPr>
                        <w:jc w:val="center"/>
                      </w:pPr>
                      <w:r w:rsidRPr="00C30070">
                        <w:rPr>
                          <w:i/>
                          <w:iCs/>
                        </w:rPr>
                        <w:t xml:space="preserve">Students: </w:t>
                      </w:r>
                      <w:r w:rsidR="00F91B44" w:rsidRPr="00C30070">
                        <w:rPr>
                          <w:i/>
                          <w:iCs/>
                        </w:rPr>
                        <w:t>In preparing and</w:t>
                      </w:r>
                      <w:r w:rsidR="002F3AC1" w:rsidRPr="00C30070">
                        <w:rPr>
                          <w:i/>
                          <w:iCs/>
                        </w:rPr>
                        <w:t xml:space="preserve"> </w:t>
                      </w:r>
                      <w:r w:rsidR="00D701DF" w:rsidRPr="00C30070">
                        <w:rPr>
                          <w:i/>
                          <w:iCs/>
                        </w:rPr>
                        <w:t xml:space="preserve">submitting this assessment, please ensure you </w:t>
                      </w:r>
                      <w:r w:rsidR="0002230D" w:rsidRPr="00C30070">
                        <w:rPr>
                          <w:i/>
                          <w:iCs/>
                        </w:rPr>
                        <w:t xml:space="preserve">adhere to the </w:t>
                      </w:r>
                      <w:r w:rsidR="009F3740" w:rsidRPr="00C30070">
                        <w:rPr>
                          <w:i/>
                          <w:iCs/>
                        </w:rPr>
                        <w:t>Coursework</w:t>
                      </w:r>
                      <w:r w:rsidR="009F3740">
                        <w:t xml:space="preserve"> Submission</w:t>
                      </w:r>
                      <w:r w:rsidR="0002230D">
                        <w:t xml:space="preserve"> Instructions</w:t>
                      </w:r>
                      <w:r w:rsidR="00D701DF" w:rsidRPr="00AB45DD">
                        <w:t>.</w:t>
                      </w:r>
                      <w:r w:rsidRPr="00AB45DD">
                        <w:t xml:space="preserve"> </w:t>
                      </w:r>
                      <w:r w:rsidR="00F3700A" w:rsidRPr="00AB45DD">
                        <w:rPr>
                          <w:color w:val="FF0000"/>
                        </w:rPr>
                        <w:t>Add the relevant details where indicated</w:t>
                      </w:r>
                      <w:r w:rsidR="004651EB" w:rsidRPr="00AB45DD">
                        <w:rPr>
                          <w:color w:val="FF0000"/>
                        </w:rPr>
                        <w:t xml:space="preserve"> in red</w:t>
                      </w:r>
                    </w:p>
                  </w:txbxContent>
                </v:textbox>
              </v:shape>
            </w:pict>
          </mc:Fallback>
        </mc:AlternateContent>
      </w:r>
      <w:r w:rsidR="009F3740">
        <w:rPr>
          <w:rFonts w:asciiTheme="majorBidi" w:hAnsiTheme="majorBidi" w:cstheme="majorBidi"/>
          <w:b/>
          <w:bCs/>
          <w:sz w:val="28"/>
          <w:szCs w:val="28"/>
        </w:rPr>
        <w:t xml:space="preserve">COURSEWORK </w:t>
      </w:r>
      <w:r w:rsidR="00574A13">
        <w:rPr>
          <w:rFonts w:asciiTheme="majorBidi" w:hAnsiTheme="majorBidi" w:cstheme="majorBidi"/>
          <w:b/>
          <w:bCs/>
          <w:sz w:val="28"/>
          <w:szCs w:val="28"/>
        </w:rPr>
        <w:t>SUBMISSION TEMPLATE</w:t>
      </w:r>
    </w:p>
    <w:p w14:paraId="6A823A12" w14:textId="414EA9D5" w:rsidR="00AB4A76" w:rsidRDefault="00AB4A76" w:rsidP="00D701DF">
      <w:pPr>
        <w:rPr>
          <w:rFonts w:cs="Times New Roman"/>
          <w:sz w:val="28"/>
          <w:szCs w:val="28"/>
        </w:rPr>
      </w:pPr>
    </w:p>
    <w:p w14:paraId="74EC8410" w14:textId="77777777" w:rsidR="00AB4A76" w:rsidRPr="00833800" w:rsidRDefault="00AB4A76" w:rsidP="00D701DF">
      <w:pPr>
        <w:rPr>
          <w:rFonts w:cs="Times New Roman"/>
          <w:sz w:val="28"/>
          <w:szCs w:val="28"/>
        </w:rPr>
      </w:pPr>
    </w:p>
    <w:tbl>
      <w:tblPr>
        <w:tblStyle w:val="TableGrid"/>
        <w:tblpPr w:leftFromText="180" w:rightFromText="180" w:vertAnchor="page" w:horzAnchor="margin" w:tblpY="5196"/>
        <w:tblW w:w="0" w:type="auto"/>
        <w:tblLook w:val="04A0" w:firstRow="1" w:lastRow="0" w:firstColumn="1" w:lastColumn="0" w:noHBand="0" w:noVBand="1"/>
      </w:tblPr>
      <w:tblGrid>
        <w:gridCol w:w="2185"/>
        <w:gridCol w:w="6831"/>
      </w:tblGrid>
      <w:tr w:rsidR="00AB45DD" w:rsidRPr="00370BD2" w14:paraId="693BF44B" w14:textId="77777777" w:rsidTr="00CC28B1">
        <w:tc>
          <w:tcPr>
            <w:tcW w:w="2263" w:type="dxa"/>
          </w:tcPr>
          <w:p w14:paraId="63F6617E" w14:textId="77777777" w:rsidR="00AB45DD" w:rsidRPr="007A2018" w:rsidRDefault="00AB45DD" w:rsidP="007A2018">
            <w:pPr>
              <w:rPr>
                <w:color w:val="EE0000"/>
              </w:rPr>
            </w:pPr>
            <w:r w:rsidRPr="007A2018">
              <w:rPr>
                <w:color w:val="EE0000"/>
              </w:rPr>
              <w:t>Student number:</w:t>
            </w:r>
          </w:p>
          <w:p w14:paraId="7986EDF5" w14:textId="26934477" w:rsidR="004E207B" w:rsidRPr="007A2018" w:rsidRDefault="004E207B" w:rsidP="007A2018">
            <w:pPr>
              <w:rPr>
                <w:color w:val="EE0000"/>
              </w:rPr>
            </w:pPr>
            <w:r w:rsidRPr="007A2018">
              <w:rPr>
                <w:color w:val="EE0000"/>
              </w:rPr>
              <w:t>(for group work</w:t>
            </w:r>
            <w:r w:rsidR="00BA4396" w:rsidRPr="007A2018">
              <w:rPr>
                <w:color w:val="EE0000"/>
              </w:rPr>
              <w:t xml:space="preserve"> please include </w:t>
            </w:r>
            <w:r w:rsidR="0008157D" w:rsidRPr="007A2018">
              <w:rPr>
                <w:color w:val="EE0000"/>
              </w:rPr>
              <w:t>the numbers of all participating</w:t>
            </w:r>
            <w:r w:rsidR="00BA4396" w:rsidRPr="007A2018">
              <w:rPr>
                <w:color w:val="EE0000"/>
              </w:rPr>
              <w:t xml:space="preserve"> student</w:t>
            </w:r>
            <w:r w:rsidR="0008157D" w:rsidRPr="007A2018">
              <w:rPr>
                <w:color w:val="EE0000"/>
              </w:rPr>
              <w:t>s)</w:t>
            </w:r>
          </w:p>
          <w:p w14:paraId="75FEE786" w14:textId="2AA0E53C" w:rsidR="00370BD2" w:rsidRPr="00370BD2" w:rsidRDefault="00370BD2" w:rsidP="007A2018"/>
        </w:tc>
        <w:tc>
          <w:tcPr>
            <w:tcW w:w="7365" w:type="dxa"/>
          </w:tcPr>
          <w:p w14:paraId="4F050068" w14:textId="2D3706A3" w:rsidR="00AB45DD" w:rsidRPr="00370BD2" w:rsidRDefault="007A2018" w:rsidP="007A2018">
            <w:r>
              <w:t>3103914</w:t>
            </w:r>
          </w:p>
          <w:p w14:paraId="0DED7205" w14:textId="77777777" w:rsidR="00AB45DD" w:rsidRPr="00370BD2" w:rsidRDefault="00AB45DD" w:rsidP="007A2018"/>
        </w:tc>
      </w:tr>
      <w:tr w:rsidR="00AB45DD" w:rsidRPr="00370BD2" w14:paraId="69FF6C48" w14:textId="77777777" w:rsidTr="00CC28B1">
        <w:tc>
          <w:tcPr>
            <w:tcW w:w="2263" w:type="dxa"/>
          </w:tcPr>
          <w:p w14:paraId="45698923" w14:textId="77777777" w:rsidR="00CC28B1" w:rsidRPr="007A2018" w:rsidRDefault="00AB45DD" w:rsidP="007A2018">
            <w:pPr>
              <w:rPr>
                <w:color w:val="EE0000"/>
              </w:rPr>
            </w:pPr>
            <w:r w:rsidRPr="007A2018">
              <w:rPr>
                <w:color w:val="EE0000"/>
              </w:rPr>
              <w:t xml:space="preserve">Word count </w:t>
            </w:r>
          </w:p>
          <w:p w14:paraId="38EC6AEE" w14:textId="77777777" w:rsidR="00AB45DD" w:rsidRPr="007A2018" w:rsidRDefault="00AB45DD" w:rsidP="007A2018">
            <w:pPr>
              <w:rPr>
                <w:color w:val="EE0000"/>
              </w:rPr>
            </w:pPr>
            <w:r w:rsidRPr="007A2018">
              <w:rPr>
                <w:color w:val="EE0000"/>
              </w:rPr>
              <w:t>(including footnotes):</w:t>
            </w:r>
          </w:p>
          <w:p w14:paraId="3C17D037" w14:textId="4863D4ED" w:rsidR="00370BD2" w:rsidRPr="00370BD2" w:rsidRDefault="00370BD2" w:rsidP="007A2018"/>
        </w:tc>
        <w:tc>
          <w:tcPr>
            <w:tcW w:w="7365" w:type="dxa"/>
          </w:tcPr>
          <w:p w14:paraId="789BA831" w14:textId="1C23E3A5" w:rsidR="00AB45DD" w:rsidRPr="00370BD2" w:rsidRDefault="00995B1B" w:rsidP="007A2018">
            <w:pPr>
              <w:rPr>
                <w:rFonts w:hint="eastAsia"/>
                <w:lang w:eastAsia="zh-CN"/>
              </w:rPr>
            </w:pPr>
            <w:r>
              <w:rPr>
                <w:rFonts w:hint="eastAsia"/>
                <w:lang w:eastAsia="zh-CN"/>
              </w:rPr>
              <w:t>999</w:t>
            </w:r>
          </w:p>
          <w:p w14:paraId="06905451" w14:textId="77777777" w:rsidR="00AB45DD" w:rsidRPr="00370BD2" w:rsidRDefault="00AB45DD" w:rsidP="007A2018"/>
        </w:tc>
      </w:tr>
    </w:tbl>
    <w:p w14:paraId="09F2B987" w14:textId="77777777" w:rsidR="0002230D" w:rsidRPr="00370BD2" w:rsidRDefault="0002230D" w:rsidP="007A2018"/>
    <w:p w14:paraId="51D6C04F" w14:textId="21B5EA8D" w:rsidR="0020243B" w:rsidRPr="007B672B" w:rsidRDefault="0020243B" w:rsidP="007B672B">
      <w:pPr>
        <w:rPr>
          <w:color w:val="EE0000"/>
        </w:rPr>
      </w:pPr>
      <w:r w:rsidRPr="007B672B">
        <w:rPr>
          <w:color w:val="EE0000"/>
        </w:rPr>
        <w:t>Question</w:t>
      </w:r>
      <w:r w:rsidR="009F3740" w:rsidRPr="007B672B">
        <w:rPr>
          <w:color w:val="EE0000"/>
        </w:rPr>
        <w:t xml:space="preserve">(s)/Assignment to be </w:t>
      </w:r>
      <w:r w:rsidR="034386F9" w:rsidRPr="007B672B">
        <w:rPr>
          <w:color w:val="EE0000"/>
        </w:rPr>
        <w:t>answere</w:t>
      </w:r>
      <w:r w:rsidR="00AB4A76" w:rsidRPr="007B672B">
        <w:rPr>
          <w:color w:val="EE0000"/>
        </w:rPr>
        <w:t>d</w:t>
      </w:r>
      <w:r w:rsidR="009F3740" w:rsidRPr="007B672B">
        <w:rPr>
          <w:color w:val="EE0000"/>
        </w:rPr>
        <w:t xml:space="preserve"> (e.g. Essay title)</w:t>
      </w:r>
      <w:r w:rsidR="00AB4A76" w:rsidRPr="007B672B">
        <w:rPr>
          <w:color w:val="EE0000"/>
        </w:rPr>
        <w:t>:</w:t>
      </w:r>
    </w:p>
    <w:p w14:paraId="7EA7F624" w14:textId="369C71F6" w:rsidR="00D701DF" w:rsidRDefault="00D701DF" w:rsidP="007A2018"/>
    <w:tbl>
      <w:tblPr>
        <w:tblStyle w:val="TableGrid"/>
        <w:tblW w:w="0" w:type="auto"/>
        <w:tblLook w:val="04A0" w:firstRow="1" w:lastRow="0" w:firstColumn="1" w:lastColumn="0" w:noHBand="0" w:noVBand="1"/>
      </w:tblPr>
      <w:tblGrid>
        <w:gridCol w:w="9016"/>
      </w:tblGrid>
      <w:tr w:rsidR="009F3740" w14:paraId="436591D9" w14:textId="77777777" w:rsidTr="009F3740">
        <w:trPr>
          <w:trHeight w:val="3010"/>
        </w:trPr>
        <w:tc>
          <w:tcPr>
            <w:tcW w:w="9628" w:type="dxa"/>
          </w:tcPr>
          <w:p w14:paraId="7ECD4530" w14:textId="3D99B7C4" w:rsidR="009F3740" w:rsidRDefault="00196EC2" w:rsidP="00196EC2">
            <w:r>
              <w:t>Using the theories of regulation discussed in this course, critically assess the EU’s decision to adopt a risk-based regulatory approach in the AI Act. Draw on the course readings to analyse whether and how these theories help to explain the advantages and limitations of the EU’s approach, and its decision to govern AI in this way.</w:t>
            </w:r>
          </w:p>
          <w:p w14:paraId="312A6B5D" w14:textId="60CEF657" w:rsidR="00370BD2" w:rsidRPr="00370BD2" w:rsidRDefault="00370BD2" w:rsidP="007B672B"/>
        </w:tc>
      </w:tr>
    </w:tbl>
    <w:p w14:paraId="4A05FA4A" w14:textId="77777777" w:rsidR="00961C22" w:rsidRDefault="00961C22" w:rsidP="00961C22"/>
    <w:p w14:paraId="3C803526" w14:textId="35C46290" w:rsidR="001059E6" w:rsidRDefault="00B17897" w:rsidP="007B672B">
      <w:pPr>
        <w:rPr>
          <w:i/>
          <w:iCs/>
          <w:color w:val="EE0000"/>
        </w:rPr>
        <w:sectPr w:rsidR="001059E6" w:rsidSect="005403ED">
          <w:headerReference w:type="even" r:id="rId10"/>
          <w:headerReference w:type="default" r:id="rId11"/>
          <w:footerReference w:type="even" r:id="rId12"/>
          <w:headerReference w:type="first" r:id="rId13"/>
          <w:type w:val="continuous"/>
          <w:pgSz w:w="11906" w:h="16838"/>
          <w:pgMar w:top="1440" w:right="1440" w:bottom="1440" w:left="1440" w:header="708" w:footer="708" w:gutter="0"/>
          <w:pgNumType w:start="1"/>
          <w:cols w:space="708"/>
          <w:docGrid w:linePitch="360"/>
        </w:sectPr>
      </w:pPr>
      <w:r w:rsidRPr="007B672B">
        <w:rPr>
          <w:i/>
          <w:iCs/>
          <w:color w:val="EE0000"/>
        </w:rPr>
        <w:t>Students</w:t>
      </w:r>
      <w:r w:rsidR="002D35DC" w:rsidRPr="007B672B">
        <w:rPr>
          <w:i/>
          <w:iCs/>
          <w:color w:val="EE0000"/>
        </w:rPr>
        <w:t>:</w:t>
      </w:r>
      <w:r w:rsidRPr="007B672B">
        <w:rPr>
          <w:i/>
          <w:iCs/>
          <w:color w:val="EE0000"/>
        </w:rPr>
        <w:t xml:space="preserve"> your </w:t>
      </w:r>
      <w:r w:rsidR="009F3740" w:rsidRPr="007B672B">
        <w:rPr>
          <w:i/>
          <w:iCs/>
          <w:color w:val="EE0000"/>
        </w:rPr>
        <w:t xml:space="preserve">coursework </w:t>
      </w:r>
      <w:r w:rsidRPr="007B672B">
        <w:rPr>
          <w:i/>
          <w:iCs/>
          <w:color w:val="EE0000"/>
        </w:rPr>
        <w:t>submission should be in</w:t>
      </w:r>
      <w:r w:rsidR="00E51A04" w:rsidRPr="007B672B">
        <w:rPr>
          <w:i/>
          <w:iCs/>
          <w:color w:val="EE0000"/>
        </w:rPr>
        <w:t>serted</w:t>
      </w:r>
      <w:r w:rsidRPr="007B672B">
        <w:rPr>
          <w:i/>
          <w:iCs/>
          <w:color w:val="EE0000"/>
        </w:rPr>
        <w:t xml:space="preserve"> </w:t>
      </w:r>
      <w:r w:rsidR="0068673B" w:rsidRPr="007B672B">
        <w:rPr>
          <w:i/>
          <w:iCs/>
          <w:color w:val="EE0000"/>
        </w:rPr>
        <w:t>below</w:t>
      </w:r>
      <w:r w:rsidR="002F3AC1" w:rsidRPr="007B672B">
        <w:rPr>
          <w:i/>
          <w:iCs/>
          <w:color w:val="EE0000"/>
        </w:rPr>
        <w:t xml:space="preserve">, indicating question numbers (where </w:t>
      </w:r>
      <w:r w:rsidR="009F3740" w:rsidRPr="007B672B">
        <w:rPr>
          <w:i/>
          <w:iCs/>
          <w:color w:val="EE0000"/>
        </w:rPr>
        <w:t>there are multiple elements):</w:t>
      </w:r>
    </w:p>
    <w:p w14:paraId="12302D0F" w14:textId="2D6A281E" w:rsidR="007A4273" w:rsidRDefault="007A4273" w:rsidP="0030669C">
      <w:pPr>
        <w:pStyle w:val="Heading1"/>
      </w:pPr>
      <w:r>
        <w:lastRenderedPageBreak/>
        <w:t>1. Introduction</w:t>
      </w:r>
    </w:p>
    <w:p w14:paraId="6305C8BA" w14:textId="44367684" w:rsidR="0030669C" w:rsidRDefault="009E27CB" w:rsidP="00E856BE">
      <w:pPr>
        <w:rPr>
          <w:lang w:eastAsia="zh-CN"/>
        </w:rPr>
      </w:pPr>
      <w:r>
        <w:t>The EU AI Act uses a risk-based framework, scaling duties from unacceptable and high-risk to lighter rules for limited and minimal-risk systems</w:t>
      </w:r>
      <w:r w:rsidR="001A6B23">
        <w:t>.</w:t>
      </w:r>
      <w:r w:rsidR="008C705A">
        <w:rPr>
          <w:rStyle w:val="FootnoteReference"/>
        </w:rPr>
        <w:footnoteReference w:id="2"/>
      </w:r>
      <w:r w:rsidR="001A6B23">
        <w:t xml:space="preserve"> </w:t>
      </w:r>
      <w:r w:rsidR="00A41B5F">
        <w:t>This essay applies regulatory theories to explain its strengths and weaknesses. Public-interest accounts support concentrating strict controls where harms and rights risks are greatest. Institutionalist views highlight decentralised, meta-regulatory tools—supply-chain duties, conformity assessment, and post-market monitoring. Private-interest and strategy critiques caution that boundary setting, standards, and weak enforcement may sometimes blunt protection.</w:t>
      </w:r>
    </w:p>
    <w:p w14:paraId="19157FCE" w14:textId="77777777" w:rsidR="00A41B5F" w:rsidRDefault="00A41B5F" w:rsidP="00E856BE">
      <w:pPr>
        <w:rPr>
          <w:rFonts w:cs="Times New Roman" w:hint="eastAsia"/>
          <w:lang w:eastAsia="zh-CN"/>
        </w:rPr>
      </w:pPr>
    </w:p>
    <w:p w14:paraId="7D539100" w14:textId="6C5C64D0" w:rsidR="007A4273" w:rsidRDefault="007A4273" w:rsidP="007A4273">
      <w:pPr>
        <w:pStyle w:val="Heading1"/>
      </w:pPr>
      <w:r>
        <w:t xml:space="preserve">2. </w:t>
      </w:r>
      <w:r w:rsidR="003F2B83">
        <w:t>Assessment</w:t>
      </w:r>
    </w:p>
    <w:p w14:paraId="61530D8C" w14:textId="05F05900" w:rsidR="002C0BD1" w:rsidRPr="00A727B6" w:rsidRDefault="00406791" w:rsidP="00A727B6">
      <w:pPr>
        <w:rPr>
          <w:lang w:eastAsia="zh-CN"/>
        </w:rPr>
      </w:pPr>
      <w:r>
        <w:t>Public-interest theories provide justification for the EU’s risk architecture because, under limited resources and compliance capacity, it targets intervention where AI’s social costs are highest.</w:t>
      </w:r>
      <w:r w:rsidR="00A727B6" w:rsidRPr="00A727B6">
        <w:t xml:space="preserve"> </w:t>
      </w:r>
      <w:r w:rsidR="00CD6F49">
        <w:t>They frame regulation as a response to externalities and information asymmetries</w:t>
      </w:r>
      <w:r w:rsidR="00A727B6" w:rsidRPr="00A727B6">
        <w:t>,</w:t>
      </w:r>
      <w:r w:rsidR="00B26487">
        <w:rPr>
          <w:rStyle w:val="FootnoteReference"/>
        </w:rPr>
        <w:footnoteReference w:id="3"/>
      </w:r>
      <w:r w:rsidR="00A727B6" w:rsidRPr="00A727B6">
        <w:t xml:space="preserve"> </w:t>
      </w:r>
      <w:r w:rsidR="00597C03">
        <w:t>and</w:t>
      </w:r>
      <w:r w:rsidR="00CD6F49">
        <w:t xml:space="preserve"> to rights-based and social rationales</w:t>
      </w:r>
      <w:r w:rsidR="00A727B6" w:rsidRPr="00A727B6">
        <w:t>.</w:t>
      </w:r>
      <w:r w:rsidR="00B26487">
        <w:rPr>
          <w:rStyle w:val="FootnoteReference"/>
        </w:rPr>
        <w:footnoteReference w:id="4"/>
      </w:r>
      <w:r w:rsidR="00A727B6" w:rsidRPr="00A727B6">
        <w:t xml:space="preserve"> A tiered model maps onto these rationales: the AI Act prohibits unacceptabl</w:t>
      </w:r>
      <w:r w:rsidR="0056086D">
        <w:t>e</w:t>
      </w:r>
      <w:r w:rsidR="00CD6F49">
        <w:t>-</w:t>
      </w:r>
      <w:r w:rsidR="00A727B6" w:rsidRPr="00A727B6">
        <w:t>risk uses that are hard to reconcile with fundamental rights</w:t>
      </w:r>
      <w:r w:rsidR="002F54BA">
        <w:t>—</w:t>
      </w:r>
      <w:r w:rsidR="00A727B6" w:rsidRPr="00A727B6">
        <w:t>manipulative or deceptive techniques, social scoring, and some biometric practices</w:t>
      </w:r>
      <w:r w:rsidR="000D21EA">
        <w:rPr>
          <w:rStyle w:val="FootnoteReference"/>
        </w:rPr>
        <w:footnoteReference w:id="5"/>
      </w:r>
      <w:r w:rsidR="002F54BA">
        <w:t>—</w:t>
      </w:r>
      <w:r w:rsidR="00A727B6" w:rsidRPr="00A727B6">
        <w:t>while imposing obligations on high-risk applications in contexts such as education</w:t>
      </w:r>
      <w:r w:rsidR="008C5DD1">
        <w:t xml:space="preserve"> and</w:t>
      </w:r>
      <w:r w:rsidR="00A727B6" w:rsidRPr="00A727B6">
        <w:t xml:space="preserve"> employment.</w:t>
      </w:r>
      <w:r w:rsidR="00E17546">
        <w:rPr>
          <w:rStyle w:val="FootnoteReference"/>
        </w:rPr>
        <w:footnoteReference w:id="6"/>
      </w:r>
      <w:r w:rsidR="00A727B6" w:rsidRPr="00A727B6">
        <w:t xml:space="preserve"> This is attractive in welfare terms because harms in these domains are not marginal: errors or bias </w:t>
      </w:r>
      <w:r w:rsidR="00130CCC">
        <w:t>could</w:t>
      </w:r>
      <w:r w:rsidR="00A727B6" w:rsidRPr="00A727B6">
        <w:t xml:space="preserve"> translate into exclusion, discrimination, or coercive state action. Conversely, limited</w:t>
      </w:r>
      <w:r w:rsidR="00A05CC8">
        <w:t>-</w:t>
      </w:r>
      <w:r w:rsidR="00A727B6" w:rsidRPr="00A727B6">
        <w:t xml:space="preserve">risk systems </w:t>
      </w:r>
      <w:r w:rsidR="003143C0">
        <w:t xml:space="preserve">face </w:t>
      </w:r>
      <w:r w:rsidR="00A727B6" w:rsidRPr="00A727B6">
        <w:t>transparency duties</w:t>
      </w:r>
      <w:r w:rsidR="00956B9C">
        <w:t>,</w:t>
      </w:r>
      <w:r w:rsidR="008A18F4">
        <w:rPr>
          <w:rStyle w:val="FootnoteReference"/>
        </w:rPr>
        <w:footnoteReference w:id="7"/>
      </w:r>
      <w:r w:rsidR="00956B9C">
        <w:t xml:space="preserve"> </w:t>
      </w:r>
      <w:r w:rsidR="00A727B6" w:rsidRPr="00A727B6">
        <w:t>and minimal</w:t>
      </w:r>
      <w:r w:rsidR="00286DA0">
        <w:t>-</w:t>
      </w:r>
      <w:r w:rsidR="00A727B6" w:rsidRPr="00A727B6">
        <w:t>risk systems are left largely unregulated or guided by voluntary codes.</w:t>
      </w:r>
      <w:r w:rsidR="001F1665">
        <w:rPr>
          <w:rStyle w:val="FootnoteReference"/>
        </w:rPr>
        <w:footnoteReference w:id="8"/>
      </w:r>
      <w:r w:rsidR="00A727B6" w:rsidRPr="00A727B6">
        <w:t xml:space="preserve"> In public-interest terms, this is a proportional allocation of compliance burdens and enforcement attention</w:t>
      </w:r>
      <w:r w:rsidR="002D2041">
        <w:t xml:space="preserve"> and avoids burdens on low-risk systems</w:t>
      </w:r>
      <w:r w:rsidR="00A727B6" w:rsidRPr="00A727B6">
        <w:t>.</w:t>
      </w:r>
    </w:p>
    <w:p w14:paraId="32C8BF3F" w14:textId="77777777" w:rsidR="00A727B6" w:rsidRPr="0017031F" w:rsidRDefault="00A727B6" w:rsidP="0017031F">
      <w:pPr>
        <w:rPr>
          <w:lang w:eastAsia="zh-CN"/>
        </w:rPr>
      </w:pPr>
    </w:p>
    <w:p w14:paraId="706497D1" w14:textId="040923BB" w:rsidR="0017031F" w:rsidRDefault="0017031F" w:rsidP="0017031F">
      <w:pPr>
        <w:rPr>
          <w:lang w:eastAsia="zh-CN"/>
        </w:rPr>
      </w:pPr>
      <w:r w:rsidRPr="00935FF0">
        <w:lastRenderedPageBreak/>
        <w:t>Institutionalist theories explain</w:t>
      </w:r>
      <w:r w:rsidRPr="0017031F">
        <w:t xml:space="preserve"> why a risk taxonomy is </w:t>
      </w:r>
      <w:r w:rsidR="000C0AD7">
        <w:t xml:space="preserve">also </w:t>
      </w:r>
      <w:r w:rsidRPr="0017031F">
        <w:t xml:space="preserve">institutionally </w:t>
      </w:r>
      <w:r w:rsidR="008D3BF5">
        <w:t>useful</w:t>
      </w:r>
      <w:r w:rsidRPr="0017031F">
        <w:t xml:space="preserve"> for governing AI</w:t>
      </w:r>
      <w:r w:rsidR="008D3BF5">
        <w:t xml:space="preserve"> across the EU.</w:t>
      </w:r>
      <w:r w:rsidRPr="0017031F">
        <w:t xml:space="preserve"> The</w:t>
      </w:r>
      <w:r w:rsidR="00D47E4C">
        <w:t xml:space="preserve">y </w:t>
      </w:r>
      <w:r w:rsidR="008D3BF5">
        <w:t>treat regulation as</w:t>
      </w:r>
      <w:r w:rsidRPr="00935FF0">
        <w:t xml:space="preserve"> decentred regulation and </w:t>
      </w:r>
      <w:r w:rsidR="008D3BF5">
        <w:t xml:space="preserve">operating within a </w:t>
      </w:r>
      <w:r w:rsidRPr="00935FF0">
        <w:t>regulatory space</w:t>
      </w:r>
      <w:r w:rsidR="00506750">
        <w:rPr>
          <w:rFonts w:hint="eastAsia"/>
          <w:lang w:eastAsia="zh-CN"/>
        </w:rPr>
        <w:t xml:space="preserve"> </w:t>
      </w:r>
      <w:r w:rsidR="00506750">
        <w:rPr>
          <w:lang w:eastAsia="zh-CN"/>
        </w:rPr>
        <w:t>populated by</w:t>
      </w:r>
      <w:r w:rsidRPr="00935FF0">
        <w:rPr>
          <w:rFonts w:hint="eastAsia"/>
          <w:lang w:eastAsia="zh-CN"/>
        </w:rPr>
        <w:t xml:space="preserve"> </w:t>
      </w:r>
      <w:r w:rsidRPr="00935FF0">
        <w:t>state and non-state actors,</w:t>
      </w:r>
      <w:r w:rsidR="00E033DE">
        <w:rPr>
          <w:rStyle w:val="FootnoteReference"/>
        </w:rPr>
        <w:footnoteReference w:id="9"/>
      </w:r>
      <w:r w:rsidRPr="00935FF0">
        <w:t xml:space="preserve"> </w:t>
      </w:r>
      <w:r w:rsidR="00950A05">
        <w:t>using</w:t>
      </w:r>
      <w:r w:rsidR="000C09AC" w:rsidRPr="000C09AC">
        <w:t xml:space="preserve"> </w:t>
      </w:r>
      <w:r w:rsidRPr="000C09AC">
        <w:t>co-regulation and meta-regulation</w:t>
      </w:r>
      <w:r w:rsidR="009174A8">
        <w:t xml:space="preserve"> rather than a single command structure</w:t>
      </w:r>
      <w:r w:rsidRPr="000C09AC">
        <w:t>.</w:t>
      </w:r>
      <w:r w:rsidR="002435B8">
        <w:rPr>
          <w:rStyle w:val="FootnoteReference"/>
        </w:rPr>
        <w:footnoteReference w:id="10"/>
      </w:r>
      <w:r w:rsidRPr="00935FF0">
        <w:t xml:space="preserve"> The AI Act</w:t>
      </w:r>
      <w:r w:rsidR="00EE2122">
        <w:t xml:space="preserve"> follows</w:t>
      </w:r>
      <w:r w:rsidRPr="00935FF0">
        <w:t xml:space="preserve"> this hybrid logic</w:t>
      </w:r>
      <w:r w:rsidR="00EE2122">
        <w:t>:</w:t>
      </w:r>
      <w:r w:rsidRPr="00935FF0">
        <w:t xml:space="preserve"> </w:t>
      </w:r>
      <w:r w:rsidR="00EE2122">
        <w:t>i</w:t>
      </w:r>
      <w:r w:rsidR="00A5721E">
        <w:t xml:space="preserve">t </w:t>
      </w:r>
      <w:r w:rsidR="00EE2122">
        <w:t>assigns duties</w:t>
      </w:r>
      <w:r w:rsidR="00A5721E">
        <w:t xml:space="preserve"> across the AI supply chain—providers, deployers, importers, and distributors</w:t>
      </w:r>
      <w:r w:rsidR="00A750B3">
        <w:rPr>
          <w:rStyle w:val="FootnoteReference"/>
        </w:rPr>
        <w:footnoteReference w:id="11"/>
      </w:r>
      <w:r w:rsidR="00A5721E">
        <w:t>—and</w:t>
      </w:r>
      <w:r w:rsidR="00DE5345">
        <w:t>,</w:t>
      </w:r>
      <w:r w:rsidR="00A5721E">
        <w:t xml:space="preserve"> for high-risk systems, </w:t>
      </w:r>
      <w:r w:rsidR="00DE5345">
        <w:t>relies on organisational processes such as</w:t>
      </w:r>
      <w:r w:rsidR="00A5721E">
        <w:t xml:space="preserve"> classification rules, conformity assessment, and post-market monitoring.</w:t>
      </w:r>
      <w:r w:rsidR="00765A70">
        <w:rPr>
          <w:rStyle w:val="FootnoteReference"/>
        </w:rPr>
        <w:footnoteReference w:id="12"/>
      </w:r>
      <w:r w:rsidRPr="00935FF0">
        <w:t xml:space="preserve"> </w:t>
      </w:r>
      <w:r w:rsidR="0043564C">
        <w:rPr>
          <w:lang w:eastAsia="zh-CN"/>
        </w:rPr>
        <w:t xml:space="preserve">This </w:t>
      </w:r>
      <w:r w:rsidRPr="00935FF0">
        <w:rPr>
          <w:rFonts w:hint="eastAsia"/>
          <w:lang w:eastAsia="zh-CN"/>
        </w:rPr>
        <w:t>r</w:t>
      </w:r>
      <w:r w:rsidRPr="00935FF0">
        <w:t xml:space="preserve">esembles meta-regulation: firm build organisational controls, while </w:t>
      </w:r>
      <w:r w:rsidR="00660E5A">
        <w:t xml:space="preserve">‘regulatory authority’ </w:t>
      </w:r>
      <w:r w:rsidR="00526768">
        <w:t>ensures</w:t>
      </w:r>
      <w:r w:rsidRPr="00935FF0">
        <w:t xml:space="preserve"> that those controls function</w:t>
      </w:r>
      <w:r w:rsidR="00785E93">
        <w:t xml:space="preserve"> correctly</w:t>
      </w:r>
      <w:r w:rsidRPr="00935FF0">
        <w:t>.</w:t>
      </w:r>
      <w:r w:rsidR="008F1DBF">
        <w:rPr>
          <w:rStyle w:val="FootnoteReference"/>
        </w:rPr>
        <w:footnoteReference w:id="13"/>
      </w:r>
      <w:r w:rsidRPr="00935FF0">
        <w:t xml:space="preserve"> </w:t>
      </w:r>
      <w:r w:rsidR="00034A39">
        <w:t>Rules on</w:t>
      </w:r>
      <w:r w:rsidR="00B82968">
        <w:t xml:space="preserve"> general-purpose AI and systemic risk models</w:t>
      </w:r>
      <w:r w:rsidR="001A7216">
        <w:t xml:space="preserve"> also reach upstream, using</w:t>
      </w:r>
      <w:r w:rsidR="00B82968">
        <w:t xml:space="preserve"> capability and impact indicators, such as compute thresholds and measures of market reach.</w:t>
      </w:r>
      <w:r w:rsidR="00B82968">
        <w:rPr>
          <w:rStyle w:val="FootnoteReference"/>
        </w:rPr>
        <w:footnoteReference w:id="14"/>
      </w:r>
      <w:r w:rsidRPr="00935FF0">
        <w:t xml:space="preserve"> That </w:t>
      </w:r>
      <w:r w:rsidR="001C1CF0">
        <w:rPr>
          <w:lang w:eastAsia="zh-CN"/>
        </w:rPr>
        <w:t>appears to reflect</w:t>
      </w:r>
      <w:r w:rsidRPr="00935FF0">
        <w:t xml:space="preserve"> </w:t>
      </w:r>
      <w:r w:rsidR="007A11F1">
        <w:t xml:space="preserve">an effort to tailor </w:t>
      </w:r>
      <w:r w:rsidRPr="0017031F">
        <w:t>regula</w:t>
      </w:r>
      <w:r w:rsidR="007A11F1">
        <w:t>tory approach</w:t>
      </w:r>
      <w:r w:rsidR="00D920FE">
        <w:t>es</w:t>
      </w:r>
      <w:r w:rsidRPr="0017031F">
        <w:t xml:space="preserve"> to complex, multi-level technological ecosystems</w:t>
      </w:r>
      <w:r w:rsidR="00D920FE">
        <w:t>,</w:t>
      </w:r>
      <w:r w:rsidRPr="0017031F">
        <w:t xml:space="preserve"> rather than treating AI as a single product category.</w:t>
      </w:r>
    </w:p>
    <w:p w14:paraId="2626C1C9" w14:textId="77777777" w:rsidR="0017031F" w:rsidRPr="0017031F" w:rsidRDefault="0017031F" w:rsidP="0017031F">
      <w:pPr>
        <w:rPr>
          <w:lang w:eastAsia="zh-CN"/>
        </w:rPr>
      </w:pPr>
    </w:p>
    <w:p w14:paraId="5E212137" w14:textId="50EECA92" w:rsidR="0017031F" w:rsidRDefault="003319E8" w:rsidP="0017031F">
      <w:pPr>
        <w:rPr>
          <w:lang w:eastAsia="zh-CN"/>
        </w:rPr>
      </w:pPr>
      <w:r>
        <w:t>However, private-interest theories suggest that the AI Act’s risk taxonomy is not a neutral technocratic device but a product of distributive politics and organised interest, thereby exposing structural limits in a risk-based regime</w:t>
      </w:r>
      <w:r w:rsidR="0017031F" w:rsidRPr="00EB726C">
        <w:t>. The</w:t>
      </w:r>
      <w:r w:rsidR="00F2031B">
        <w:t>y</w:t>
      </w:r>
      <w:r w:rsidR="0017031F" w:rsidRPr="00EB726C">
        <w:t xml:space="preserve"> note that regulation may serve organised interests, shaped by </w:t>
      </w:r>
      <w:r w:rsidR="0017031F" w:rsidRPr="003B7011">
        <w:t>lo</w:t>
      </w:r>
      <w:r w:rsidR="0017031F" w:rsidRPr="00DF3CD8">
        <w:t>bbying</w:t>
      </w:r>
      <w:r w:rsidR="0017031F" w:rsidRPr="00EB726C">
        <w:t xml:space="preserve"> and economic power, and can operate as a mechanism of regulatory favours.</w:t>
      </w:r>
      <w:r w:rsidR="004675C1">
        <w:rPr>
          <w:rStyle w:val="FootnoteReference"/>
        </w:rPr>
        <w:footnoteReference w:id="15"/>
      </w:r>
      <w:r w:rsidR="0017031F" w:rsidRPr="00EB726C">
        <w:t xml:space="preserve"> </w:t>
      </w:r>
      <w:r w:rsidR="0017031F" w:rsidRPr="000102E7">
        <w:t>In a taxonomy,</w:t>
      </w:r>
      <w:r w:rsidR="004E4C60">
        <w:t xml:space="preserve"> a </w:t>
      </w:r>
      <w:r w:rsidR="0017031F" w:rsidRPr="000102E7">
        <w:t>distributive struggle is boundary drawing</w:t>
      </w:r>
      <w:r w:rsidR="003404F4">
        <w:t>—</w:t>
      </w:r>
      <w:r w:rsidR="0017031F" w:rsidRPr="000102E7">
        <w:t>which use-cases count as high-risk, how broadly prohibitions are drafted, and where thresholds for systemic-risk models are set.</w:t>
      </w:r>
      <w:r w:rsidR="0017031F" w:rsidRPr="0017031F">
        <w:t xml:space="preserve"> Because high-risk classification </w:t>
      </w:r>
      <w:r w:rsidR="00A36906">
        <w:t xml:space="preserve">normally </w:t>
      </w:r>
      <w:r w:rsidR="0017031F" w:rsidRPr="0017031F">
        <w:t xml:space="preserve">triggers expensive compliance processes, firms </w:t>
      </w:r>
      <w:r w:rsidR="001812BA">
        <w:t xml:space="preserve">may </w:t>
      </w:r>
      <w:r w:rsidR="0017031F" w:rsidRPr="0017031F">
        <w:t xml:space="preserve">have incentives to narrow the high-risk perimeter, carve out exceptions, or push contested uses into limited or minimal categories. </w:t>
      </w:r>
      <w:r w:rsidR="00350BCF">
        <w:t xml:space="preserve">Risk-based regulation could therefore </w:t>
      </w:r>
      <w:r w:rsidR="00F476FA">
        <w:rPr>
          <w:rFonts w:hint="eastAsia"/>
          <w:lang w:eastAsia="zh-CN"/>
        </w:rPr>
        <w:t xml:space="preserve">be </w:t>
      </w:r>
      <w:r w:rsidR="00350BCF">
        <w:rPr>
          <w:rFonts w:hint="eastAsia"/>
          <w:lang w:eastAsia="zh-CN"/>
        </w:rPr>
        <w:t>p</w:t>
      </w:r>
      <w:r w:rsidR="00350BCF">
        <w:t>olitically feasible signal</w:t>
      </w:r>
      <w:r w:rsidR="00892BCA">
        <w:t>ling</w:t>
      </w:r>
      <w:r w:rsidR="00350BCF">
        <w:t xml:space="preserve"> strong protection while avoiding blanket regulation, yet normatively fragile in that its protective effect depends on contested </w:t>
      </w:r>
      <w:r w:rsidR="00350BCF">
        <w:lastRenderedPageBreak/>
        <w:t>classification choices.</w:t>
      </w:r>
      <w:r w:rsidR="0017031F" w:rsidRPr="0017031F">
        <w:t xml:space="preserve"> Capture risks </w:t>
      </w:r>
      <w:r w:rsidR="002F46F9">
        <w:t xml:space="preserve">might </w:t>
      </w:r>
      <w:r w:rsidR="0017031F" w:rsidRPr="0017031F">
        <w:t>also arise through the technical infrastructure of compliance</w:t>
      </w:r>
      <w:r w:rsidR="00DC0EE1">
        <w:t>. I</w:t>
      </w:r>
      <w:r w:rsidR="0017031F" w:rsidRPr="0017031F">
        <w:t>f standards and assessment practices are dominated by well-resourced incumbents, the regime may indirectly entrench market power and raise barriers to entry</w:t>
      </w:r>
      <w:r w:rsidR="004637D8">
        <w:t>. This</w:t>
      </w:r>
      <w:r w:rsidR="00FD0495">
        <w:t xml:space="preserve"> </w:t>
      </w:r>
      <w:r w:rsidR="0017031F" w:rsidRPr="0017031F">
        <w:t xml:space="preserve">ironically clashing with the </w:t>
      </w:r>
      <w:r w:rsidR="004637D8">
        <w:t xml:space="preserve">public-interest theories’ </w:t>
      </w:r>
      <w:r w:rsidR="0017031F" w:rsidRPr="0017031F">
        <w:t>concerns about monopolies.</w:t>
      </w:r>
      <w:r w:rsidR="00FE3D86">
        <w:rPr>
          <w:rStyle w:val="FootnoteReference"/>
        </w:rPr>
        <w:footnoteReference w:id="16"/>
      </w:r>
    </w:p>
    <w:p w14:paraId="73CD9077" w14:textId="77777777" w:rsidR="0017031F" w:rsidRPr="0017031F" w:rsidRDefault="0017031F" w:rsidP="0017031F">
      <w:pPr>
        <w:rPr>
          <w:lang w:eastAsia="zh-CN"/>
        </w:rPr>
      </w:pPr>
    </w:p>
    <w:p w14:paraId="38041139" w14:textId="5C8A8388" w:rsidR="0017031F" w:rsidRPr="005E04F3" w:rsidRDefault="0017031F" w:rsidP="0017031F">
      <w:r w:rsidRPr="0017031F">
        <w:t xml:space="preserve">Finally, </w:t>
      </w:r>
      <w:r w:rsidRPr="00F74753">
        <w:t>regulatory-strategy critiques</w:t>
      </w:r>
      <w:r w:rsidRPr="0017031F">
        <w:t xml:space="preserve"> clarify implementation trade-offs. </w:t>
      </w:r>
      <w:r w:rsidRPr="00E118A1">
        <w:t>The</w:t>
      </w:r>
      <w:r w:rsidR="0083372B" w:rsidRPr="00E118A1">
        <w:rPr>
          <w:lang w:eastAsia="zh-CN"/>
        </w:rPr>
        <w:t>y</w:t>
      </w:r>
      <w:r w:rsidRPr="00E118A1">
        <w:rPr>
          <w:rFonts w:hint="eastAsia"/>
          <w:lang w:eastAsia="zh-CN"/>
        </w:rPr>
        <w:t xml:space="preserve"> </w:t>
      </w:r>
      <w:r w:rsidRPr="00E118A1">
        <w:t>warn that command-and-control can be legalistic, slow and expensive to enforce,</w:t>
      </w:r>
      <w:r w:rsidR="00E118A1" w:rsidRPr="00E118A1">
        <w:rPr>
          <w:rStyle w:val="FootnoteReference"/>
        </w:rPr>
        <w:footnoteReference w:id="17"/>
      </w:r>
      <w:r w:rsidRPr="00E118A1">
        <w:t xml:space="preserve"> while and meta-regulation </w:t>
      </w:r>
      <w:r w:rsidR="00C73EE3">
        <w:t xml:space="preserve">and self-regulation </w:t>
      </w:r>
      <w:r w:rsidRPr="00E118A1">
        <w:t xml:space="preserve">can lack accountability if firms’ internal controls are </w:t>
      </w:r>
      <w:r w:rsidRPr="001823BE">
        <w:rPr>
          <w:rFonts w:cs="Times New Roman"/>
        </w:rPr>
        <w:t>weak</w:t>
      </w:r>
      <w:r w:rsidR="001823BE" w:rsidRPr="001823BE">
        <w:rPr>
          <w:rFonts w:eastAsia="Microsoft YaHei" w:cs="Times New Roman"/>
          <w:lang w:eastAsia="zh-CN"/>
        </w:rPr>
        <w:t>;</w:t>
      </w:r>
      <w:r w:rsidR="00F423B6" w:rsidRPr="001823BE">
        <w:rPr>
          <w:rStyle w:val="FootnoteReference"/>
          <w:rFonts w:cs="Times New Roman"/>
        </w:rPr>
        <w:footnoteReference w:id="18"/>
      </w:r>
      <w:r w:rsidR="001823BE">
        <w:t xml:space="preserve"> self-regulation poses similar concerns</w:t>
      </w:r>
      <w:r w:rsidR="007B06CF">
        <w:t>.</w:t>
      </w:r>
      <w:r w:rsidRPr="0017031F">
        <w:t xml:space="preserve"> The AI Act inherits both risks. </w:t>
      </w:r>
      <w:r w:rsidR="00D15D8F">
        <w:t>P</w:t>
      </w:r>
      <w:r w:rsidRPr="0017031F">
        <w:t>ost-market monitoring demand institutional capacity and technical expertise;</w:t>
      </w:r>
      <w:r w:rsidR="009A7658">
        <w:rPr>
          <w:rStyle w:val="FootnoteReference"/>
        </w:rPr>
        <w:footnoteReference w:id="19"/>
      </w:r>
      <w:r w:rsidRPr="0017031F">
        <w:t xml:space="preserve"> without credible auditing and sanctions, the system </w:t>
      </w:r>
      <w:r w:rsidR="002975C8">
        <w:t>could</w:t>
      </w:r>
      <w:r w:rsidRPr="0017031F">
        <w:t xml:space="preserve"> devolve into paperwork compliance</w:t>
      </w:r>
      <w:r w:rsidR="00E80EB4">
        <w:t xml:space="preserve">. </w:t>
      </w:r>
      <w:r w:rsidR="00C75465" w:rsidRPr="005E04F3">
        <w:t>At the same time, because classification is application-based,</w:t>
      </w:r>
      <w:r w:rsidR="003415E5">
        <w:rPr>
          <w:rStyle w:val="FootnoteReference"/>
        </w:rPr>
        <w:footnoteReference w:id="20"/>
      </w:r>
      <w:r w:rsidR="00C75465" w:rsidRPr="005E04F3">
        <w:t xml:space="preserve"> the same underlying technology may be placed in different categories depending on context. This creates edge cases and may result in under-inclusiveness, such as cumulative harms from minimal risk</w:t>
      </w:r>
      <w:r w:rsidR="00C75465" w:rsidRPr="005E04F3">
        <w:rPr>
          <w:rFonts w:hint="eastAsia"/>
          <w:lang w:eastAsia="zh-CN"/>
        </w:rPr>
        <w:t xml:space="preserve"> </w:t>
      </w:r>
      <w:r w:rsidR="00C75465" w:rsidRPr="005E04F3">
        <w:t>systems, as well as over-inclusiveness, such as high compliance burdens where risk is low in practice</w:t>
      </w:r>
      <w:r w:rsidRPr="005E04F3">
        <w:t>.</w:t>
      </w:r>
    </w:p>
    <w:p w14:paraId="21C3C87C" w14:textId="77777777" w:rsidR="007A4273" w:rsidRDefault="007A4273" w:rsidP="00E856BE">
      <w:pPr>
        <w:rPr>
          <w:rFonts w:cs="Times New Roman"/>
          <w:lang w:eastAsia="zh-CN"/>
        </w:rPr>
      </w:pPr>
    </w:p>
    <w:p w14:paraId="1B33AC5C" w14:textId="066FD120" w:rsidR="007A4273" w:rsidRDefault="007A4273" w:rsidP="007A4273">
      <w:pPr>
        <w:pStyle w:val="Heading1"/>
      </w:pPr>
      <w:r>
        <w:t>3. Conclusion</w:t>
      </w:r>
    </w:p>
    <w:p w14:paraId="727C5D78" w14:textId="78972EFB" w:rsidR="007A4273" w:rsidRPr="007A4273" w:rsidRDefault="00C93E3D" w:rsidP="007A4273">
      <w:pPr>
        <w:rPr>
          <w:rFonts w:hint="eastAsia"/>
          <w:lang w:eastAsia="zh-CN"/>
        </w:rPr>
      </w:pPr>
      <w:r>
        <w:t>Overall, regulatory theories illuminate both the appeal and fragility of the AI Act’s risk taxonomy. It can allocate burdens proportionately and enable hybrid governance, yet its effectiveness depends on contested classifications, inclusive standard-setting and enforcement. Without these safeguards, risk-based design may become symbolic, under-protect rights, or entrench incumbents through costs.</w:t>
      </w:r>
    </w:p>
    <w:sectPr w:rsidR="007A4273" w:rsidRPr="007A4273" w:rsidSect="001059E6">
      <w:headerReference w:type="default" r:id="rId14"/>
      <w:footerReference w:type="default" r:id="rId15"/>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CB1BD" w14:textId="77777777" w:rsidR="00F87702" w:rsidRDefault="00F87702">
      <w:r>
        <w:separator/>
      </w:r>
    </w:p>
  </w:endnote>
  <w:endnote w:type="continuationSeparator" w:id="0">
    <w:p w14:paraId="15F3EBC0" w14:textId="77777777" w:rsidR="00F87702" w:rsidRDefault="00F87702">
      <w:r>
        <w:continuationSeparator/>
      </w:r>
    </w:p>
  </w:endnote>
  <w:endnote w:type="continuationNotice" w:id="1">
    <w:p w14:paraId="48F66588" w14:textId="77777777" w:rsidR="00F87702" w:rsidRDefault="00F8770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56312450"/>
      <w:docPartObj>
        <w:docPartGallery w:val="Page Numbers (Bottom of Page)"/>
        <w:docPartUnique/>
      </w:docPartObj>
    </w:sdtPr>
    <w:sdtEndPr>
      <w:rPr>
        <w:rStyle w:val="PageNumber"/>
      </w:rPr>
    </w:sdtEndPr>
    <w:sdtContent>
      <w:p w14:paraId="5E3E9EE1" w14:textId="77777777" w:rsidR="00833800" w:rsidRDefault="00833800" w:rsidP="001059E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61FB40" w14:textId="77777777" w:rsidR="00833800" w:rsidRDefault="00833800" w:rsidP="005403E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29039178"/>
      <w:docPartObj>
        <w:docPartGallery w:val="Page Numbers (Bottom of Page)"/>
        <w:docPartUnique/>
      </w:docPartObj>
    </w:sdtPr>
    <w:sdtEndPr>
      <w:rPr>
        <w:rStyle w:val="PageNumber"/>
      </w:rPr>
    </w:sdtEndPr>
    <w:sdtContent>
      <w:p w14:paraId="3D2A9475" w14:textId="77777777" w:rsidR="001059E6" w:rsidRDefault="001059E6" w:rsidP="00D073A8">
        <w:pPr>
          <w:pStyle w:val="Footer"/>
          <w:framePr w:wrap="none" w:vAnchor="text" w:hAnchor="margin" w:xAlign="center" w:y="1"/>
          <w:rPr>
            <w:rStyle w:val="PageNumber"/>
          </w:rPr>
        </w:pPr>
        <w:r w:rsidRPr="0030669C">
          <w:rPr>
            <w:rStyle w:val="PageNumber"/>
            <w:sz w:val="18"/>
            <w:szCs w:val="18"/>
          </w:rPr>
          <w:fldChar w:fldCharType="begin"/>
        </w:r>
        <w:r w:rsidRPr="0030669C">
          <w:rPr>
            <w:rStyle w:val="PageNumber"/>
            <w:sz w:val="18"/>
            <w:szCs w:val="18"/>
          </w:rPr>
          <w:instrText xml:space="preserve"> PAGE </w:instrText>
        </w:r>
        <w:r w:rsidRPr="0030669C">
          <w:rPr>
            <w:rStyle w:val="PageNumber"/>
            <w:sz w:val="18"/>
            <w:szCs w:val="18"/>
          </w:rPr>
          <w:fldChar w:fldCharType="separate"/>
        </w:r>
        <w:r w:rsidRPr="0030669C">
          <w:rPr>
            <w:rStyle w:val="PageNumber"/>
            <w:noProof/>
            <w:sz w:val="18"/>
            <w:szCs w:val="18"/>
          </w:rPr>
          <w:t>1</w:t>
        </w:r>
        <w:r w:rsidRPr="0030669C">
          <w:rPr>
            <w:rStyle w:val="PageNumber"/>
            <w:sz w:val="18"/>
            <w:szCs w:val="18"/>
          </w:rPr>
          <w:fldChar w:fldCharType="end"/>
        </w:r>
      </w:p>
    </w:sdtContent>
  </w:sdt>
  <w:p w14:paraId="258E2106" w14:textId="77777777" w:rsidR="001059E6" w:rsidRDefault="00105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F9F18" w14:textId="77777777" w:rsidR="00F87702" w:rsidRDefault="00F87702">
      <w:r>
        <w:separator/>
      </w:r>
    </w:p>
  </w:footnote>
  <w:footnote w:type="continuationSeparator" w:id="0">
    <w:p w14:paraId="50B715D4" w14:textId="77777777" w:rsidR="00F87702" w:rsidRDefault="00F87702">
      <w:r>
        <w:continuationSeparator/>
      </w:r>
    </w:p>
  </w:footnote>
  <w:footnote w:type="continuationNotice" w:id="1">
    <w:p w14:paraId="52929E23" w14:textId="77777777" w:rsidR="00F87702" w:rsidRDefault="00F87702"/>
  </w:footnote>
  <w:footnote w:id="2">
    <w:p w14:paraId="1797DD09" w14:textId="03255811" w:rsidR="008C705A" w:rsidRPr="00220977" w:rsidRDefault="008C705A" w:rsidP="00220977">
      <w:pPr>
        <w:pStyle w:val="FootnoteText"/>
        <w:spacing w:line="360" w:lineRule="auto"/>
        <w:rPr>
          <w:rFonts w:cs="Times New Roman" w:hint="eastAsia"/>
          <w:lang w:eastAsia="zh-CN"/>
        </w:rPr>
      </w:pPr>
      <w:r w:rsidRPr="00220977">
        <w:rPr>
          <w:rStyle w:val="FootnoteReference"/>
          <w:rFonts w:cs="Times New Roman"/>
        </w:rPr>
        <w:footnoteRef/>
      </w:r>
      <w:r w:rsidRPr="00220977">
        <w:rPr>
          <w:rFonts w:cs="Times New Roman"/>
        </w:rPr>
        <w:t xml:space="preserve"> </w:t>
      </w:r>
      <w:r w:rsidR="00220977" w:rsidRPr="00220977">
        <w:rPr>
          <w:rFonts w:cs="Times New Roman"/>
        </w:rPr>
        <w:t>Martin Ebers, ‘Truly Risk-based Regulation of Artificial Intelligence How to Implement the EU’s AI Act’ (2025) 16 European Journal of Risk Regulation 684,</w:t>
      </w:r>
      <w:r w:rsidR="00220977">
        <w:rPr>
          <w:rFonts w:cs="Times New Roman"/>
        </w:rPr>
        <w:t xml:space="preserve"> </w:t>
      </w:r>
      <w:r w:rsidR="00220977" w:rsidRPr="00220977">
        <w:rPr>
          <w:rFonts w:cs="Times New Roman"/>
        </w:rPr>
        <w:t>687</w:t>
      </w:r>
      <w:r w:rsidR="00220977" w:rsidRPr="00220977">
        <w:rPr>
          <w:rFonts w:cs="Times New Roman"/>
        </w:rPr>
        <w:t>.</w:t>
      </w:r>
    </w:p>
  </w:footnote>
  <w:footnote w:id="3">
    <w:p w14:paraId="399D4D2B" w14:textId="075AA0A3" w:rsidR="00B26487" w:rsidRPr="001F1665" w:rsidRDefault="00B26487" w:rsidP="008C705A">
      <w:pPr>
        <w:pStyle w:val="FootnoteText"/>
        <w:spacing w:line="360" w:lineRule="auto"/>
        <w:rPr>
          <w:rFonts w:cs="Times New Roman"/>
        </w:rPr>
      </w:pPr>
      <w:r w:rsidRPr="001F1665">
        <w:rPr>
          <w:rStyle w:val="FootnoteReference"/>
          <w:rFonts w:cs="Times New Roman"/>
        </w:rPr>
        <w:footnoteRef/>
      </w:r>
      <w:r w:rsidRPr="001F1665">
        <w:rPr>
          <w:rFonts w:cs="Times New Roman"/>
        </w:rPr>
        <w:t xml:space="preserve"> </w:t>
      </w:r>
      <w:r w:rsidR="000A5813" w:rsidRPr="001F1665">
        <w:rPr>
          <w:rFonts w:cs="Times New Roman"/>
        </w:rPr>
        <w:t>Bronwen Morgan and Karen Yeung,</w:t>
      </w:r>
      <w:r w:rsidR="000A5813" w:rsidRPr="001F1665">
        <w:rPr>
          <w:rStyle w:val="Emphasis"/>
          <w:rFonts w:cs="Times New Roman"/>
        </w:rPr>
        <w:t xml:space="preserve"> An Introduction to Law and Regulation: Text and Materials</w:t>
      </w:r>
      <w:r w:rsidR="000A5813" w:rsidRPr="001F1665">
        <w:rPr>
          <w:rFonts w:cs="Times New Roman"/>
        </w:rPr>
        <w:t xml:space="preserve"> (</w:t>
      </w:r>
      <w:r w:rsidR="00C229ED">
        <w:rPr>
          <w:rFonts w:cs="Times New Roman"/>
          <w:lang w:eastAsia="zh-CN"/>
        </w:rPr>
        <w:t xml:space="preserve">CUP </w:t>
      </w:r>
      <w:r w:rsidR="000A5813" w:rsidRPr="001F1665">
        <w:rPr>
          <w:rFonts w:cs="Times New Roman" w:hint="eastAsia"/>
          <w:lang w:eastAsia="zh-CN"/>
        </w:rPr>
        <w:t>2</w:t>
      </w:r>
      <w:r w:rsidR="000A5813" w:rsidRPr="001F1665">
        <w:rPr>
          <w:rFonts w:cs="Times New Roman"/>
        </w:rPr>
        <w:t>012) 18.</w:t>
      </w:r>
    </w:p>
  </w:footnote>
  <w:footnote w:id="4">
    <w:p w14:paraId="67B04F99" w14:textId="5C64BE15" w:rsidR="00B26487" w:rsidRPr="001F1665" w:rsidRDefault="00B26487" w:rsidP="008C705A">
      <w:pPr>
        <w:pStyle w:val="FootnoteText"/>
        <w:spacing w:line="360" w:lineRule="auto"/>
        <w:rPr>
          <w:rFonts w:cs="Times New Roman"/>
        </w:rPr>
      </w:pPr>
      <w:r w:rsidRPr="001F1665">
        <w:rPr>
          <w:rStyle w:val="FootnoteReference"/>
          <w:rFonts w:cs="Times New Roman"/>
        </w:rPr>
        <w:footnoteRef/>
      </w:r>
      <w:r w:rsidRPr="001F1665">
        <w:rPr>
          <w:rFonts w:cs="Times New Roman"/>
        </w:rPr>
        <w:t xml:space="preserve"> </w:t>
      </w:r>
      <w:r w:rsidR="001B0076" w:rsidRPr="001F1665">
        <w:rPr>
          <w:rFonts w:cs="Times New Roman"/>
        </w:rPr>
        <w:t xml:space="preserve">Robert Baldwin, Martin Cave, and Martin Lodge, </w:t>
      </w:r>
      <w:r w:rsidR="001B0076" w:rsidRPr="001F1665">
        <w:rPr>
          <w:rStyle w:val="Emphasis"/>
          <w:rFonts w:cs="Times New Roman"/>
        </w:rPr>
        <w:t>Understanding Regulation: Theory, Strategy, and Practice</w:t>
      </w:r>
      <w:r w:rsidR="00E17546" w:rsidRPr="001F1665">
        <w:rPr>
          <w:rFonts w:cs="Times New Roman"/>
        </w:rPr>
        <w:t xml:space="preserve"> </w:t>
      </w:r>
      <w:r w:rsidR="001B0076" w:rsidRPr="001F1665">
        <w:rPr>
          <w:rFonts w:cs="Times New Roman"/>
        </w:rPr>
        <w:t xml:space="preserve">(2nd </w:t>
      </w:r>
      <w:proofErr w:type="spellStart"/>
      <w:r w:rsidR="001B0076" w:rsidRPr="001F1665">
        <w:rPr>
          <w:rFonts w:cs="Times New Roman"/>
        </w:rPr>
        <w:t>edn</w:t>
      </w:r>
      <w:proofErr w:type="spellEnd"/>
      <w:r w:rsidR="001B0076" w:rsidRPr="001F1665">
        <w:rPr>
          <w:rFonts w:cs="Times New Roman"/>
        </w:rPr>
        <w:t xml:space="preserve">, </w:t>
      </w:r>
      <w:r w:rsidR="00C229ED">
        <w:rPr>
          <w:rFonts w:cs="Times New Roman"/>
        </w:rPr>
        <w:t>OUP</w:t>
      </w:r>
      <w:r w:rsidR="001B0076" w:rsidRPr="001F1665">
        <w:rPr>
          <w:rFonts w:cs="Times New Roman"/>
        </w:rPr>
        <w:t xml:space="preserve"> 2011) 22</w:t>
      </w:r>
      <w:r w:rsidR="00634899" w:rsidRPr="001F1665">
        <w:t>–</w:t>
      </w:r>
      <w:r w:rsidR="001B0076" w:rsidRPr="001F1665">
        <w:rPr>
          <w:rFonts w:cs="Times New Roman"/>
        </w:rPr>
        <w:t>23.</w:t>
      </w:r>
    </w:p>
  </w:footnote>
  <w:footnote w:id="5">
    <w:p w14:paraId="3BD58062" w14:textId="44624B5F" w:rsidR="000D21EA" w:rsidRPr="001F1665" w:rsidRDefault="000D21EA" w:rsidP="008C705A">
      <w:pPr>
        <w:pStyle w:val="FootnoteText"/>
        <w:spacing w:line="360" w:lineRule="auto"/>
      </w:pPr>
      <w:r w:rsidRPr="001F1665">
        <w:rPr>
          <w:rStyle w:val="FootnoteReference"/>
        </w:rPr>
        <w:footnoteRef/>
      </w:r>
      <w:r w:rsidRPr="001F1665">
        <w:t xml:space="preserve"> </w:t>
      </w:r>
      <w:r w:rsidR="00471A2D" w:rsidRPr="001F1665">
        <w:t xml:space="preserve">Regulation (EU) 2024/1689 (AI Act), art </w:t>
      </w:r>
      <w:r w:rsidR="00061A46" w:rsidRPr="001F1665">
        <w:t>5(1)(a), (c),</w:t>
      </w:r>
      <w:r w:rsidR="004879CD">
        <w:rPr>
          <w:lang w:eastAsia="zh-CN"/>
        </w:rPr>
        <w:t xml:space="preserve"> and</w:t>
      </w:r>
      <w:r w:rsidR="00061A46" w:rsidRPr="001F1665">
        <w:rPr>
          <w:rFonts w:hint="eastAsia"/>
          <w:lang w:eastAsia="zh-CN"/>
        </w:rPr>
        <w:t xml:space="preserve"> </w:t>
      </w:r>
      <w:r w:rsidR="00061A46" w:rsidRPr="001F1665">
        <w:t>(g)</w:t>
      </w:r>
      <w:r w:rsidR="00281404" w:rsidRPr="001F1665">
        <w:t>–</w:t>
      </w:r>
      <w:r w:rsidR="00061A46" w:rsidRPr="001F1665">
        <w:t>(h).</w:t>
      </w:r>
    </w:p>
  </w:footnote>
  <w:footnote w:id="6">
    <w:p w14:paraId="4BBDC68D" w14:textId="57CD9782" w:rsidR="00E17546" w:rsidRPr="001F1665" w:rsidRDefault="00E17546" w:rsidP="008C705A">
      <w:pPr>
        <w:pStyle w:val="FootnoteText"/>
        <w:spacing w:line="360" w:lineRule="auto"/>
      </w:pPr>
      <w:r w:rsidRPr="001F1665">
        <w:rPr>
          <w:rStyle w:val="FootnoteReference"/>
        </w:rPr>
        <w:footnoteRef/>
      </w:r>
      <w:r w:rsidRPr="001F1665">
        <w:t xml:space="preserve"> </w:t>
      </w:r>
      <w:r w:rsidR="003A1A13" w:rsidRPr="001F1665">
        <w:t xml:space="preserve">ibid, annex </w:t>
      </w:r>
      <w:r w:rsidR="003A1A13" w:rsidRPr="001F1665">
        <w:rPr>
          <w:rFonts w:cs="Times New Roman"/>
        </w:rPr>
        <w:t>III</w:t>
      </w:r>
      <w:r w:rsidR="00946053" w:rsidRPr="001F1665">
        <w:rPr>
          <w:rFonts w:eastAsia="Microsoft YaHei" w:cs="Times New Roman"/>
          <w:lang w:eastAsia="zh-CN"/>
        </w:rPr>
        <w:t>,</w:t>
      </w:r>
      <w:r w:rsidR="003A1A13" w:rsidRPr="001F1665">
        <w:rPr>
          <w:rFonts w:cs="Times New Roman"/>
        </w:rPr>
        <w:t xml:space="preserve"> point</w:t>
      </w:r>
      <w:r w:rsidR="00922AC4">
        <w:rPr>
          <w:rFonts w:cs="Times New Roman"/>
        </w:rPr>
        <w:t>s</w:t>
      </w:r>
      <w:r w:rsidR="003A1A13" w:rsidRPr="001F1665">
        <w:rPr>
          <w:rFonts w:cs="Times New Roman"/>
        </w:rPr>
        <w:t xml:space="preserve"> 3</w:t>
      </w:r>
      <w:r w:rsidR="003A1A13" w:rsidRPr="001F1665">
        <w:t xml:space="preserve"> and 4.</w:t>
      </w:r>
    </w:p>
  </w:footnote>
  <w:footnote w:id="7">
    <w:p w14:paraId="339BF530" w14:textId="7B246318" w:rsidR="008A18F4" w:rsidRPr="001F1665" w:rsidRDefault="008A18F4" w:rsidP="008C705A">
      <w:pPr>
        <w:pStyle w:val="FootnoteText"/>
        <w:spacing w:line="360" w:lineRule="auto"/>
      </w:pPr>
      <w:r w:rsidRPr="001F1665">
        <w:rPr>
          <w:rStyle w:val="FootnoteReference"/>
        </w:rPr>
        <w:footnoteRef/>
      </w:r>
      <w:r w:rsidRPr="001F1665">
        <w:t xml:space="preserve"> ibid, art 50.</w:t>
      </w:r>
    </w:p>
  </w:footnote>
  <w:footnote w:id="8">
    <w:p w14:paraId="2C8D5D57" w14:textId="0841E15B" w:rsidR="001F1665" w:rsidRDefault="001F1665" w:rsidP="008C705A">
      <w:pPr>
        <w:pStyle w:val="FootnoteText"/>
        <w:spacing w:line="360" w:lineRule="auto"/>
      </w:pPr>
      <w:r w:rsidRPr="001F1665">
        <w:rPr>
          <w:rStyle w:val="FootnoteReference"/>
        </w:rPr>
        <w:footnoteRef/>
      </w:r>
      <w:r w:rsidRPr="001F1665">
        <w:t xml:space="preserve"> </w:t>
      </w:r>
      <w:r w:rsidR="00690146" w:rsidRPr="001F1665">
        <w:t xml:space="preserve">ibid, art </w:t>
      </w:r>
      <w:r w:rsidR="00690146">
        <w:t>95</w:t>
      </w:r>
      <w:r w:rsidR="00690146" w:rsidRPr="001F1665">
        <w:t>.</w:t>
      </w:r>
    </w:p>
  </w:footnote>
  <w:footnote w:id="9">
    <w:p w14:paraId="002E508C" w14:textId="46DD088C" w:rsidR="00E033DE" w:rsidRDefault="00E033DE" w:rsidP="002435B8">
      <w:pPr>
        <w:pStyle w:val="FootnoteText"/>
        <w:spacing w:line="360" w:lineRule="auto"/>
        <w:rPr>
          <w:lang w:eastAsia="zh-CN"/>
        </w:rPr>
      </w:pPr>
      <w:r>
        <w:rPr>
          <w:rStyle w:val="FootnoteReference"/>
        </w:rPr>
        <w:footnoteRef/>
      </w:r>
      <w:r>
        <w:t xml:space="preserve"> </w:t>
      </w:r>
      <w:r w:rsidR="00CF7E6C" w:rsidRPr="001F1665">
        <w:rPr>
          <w:rFonts w:cs="Times New Roman"/>
        </w:rPr>
        <w:t>Morgan</w:t>
      </w:r>
      <w:r w:rsidR="00CF7E6C">
        <w:rPr>
          <w:rFonts w:cs="Times New Roman"/>
        </w:rPr>
        <w:t xml:space="preserve"> and </w:t>
      </w:r>
      <w:r w:rsidR="00CF7E6C" w:rsidRPr="001F1665">
        <w:rPr>
          <w:rFonts w:cs="Times New Roman"/>
        </w:rPr>
        <w:t>Yeung</w:t>
      </w:r>
      <w:r w:rsidR="00CF7E6C">
        <w:rPr>
          <w:rFonts w:cs="Times New Roman"/>
        </w:rPr>
        <w:t xml:space="preserve"> (n 1), </w:t>
      </w:r>
      <w:r w:rsidR="00F90B48">
        <w:rPr>
          <w:rFonts w:cs="Times New Roman"/>
        </w:rPr>
        <w:t>59</w:t>
      </w:r>
      <w:r w:rsidR="00F90B48" w:rsidRPr="001F1665">
        <w:t>–</w:t>
      </w:r>
      <w:r w:rsidR="00F90B48">
        <w:rPr>
          <w:rFonts w:cs="Times New Roman"/>
        </w:rPr>
        <w:t>60.</w:t>
      </w:r>
    </w:p>
  </w:footnote>
  <w:footnote w:id="10">
    <w:p w14:paraId="1C1F29FD" w14:textId="74392BDF" w:rsidR="002435B8" w:rsidRDefault="002435B8" w:rsidP="002435B8">
      <w:pPr>
        <w:pStyle w:val="FootnoteText"/>
        <w:spacing w:line="360" w:lineRule="auto"/>
      </w:pPr>
      <w:r>
        <w:rPr>
          <w:rStyle w:val="FootnoteReference"/>
        </w:rPr>
        <w:footnoteRef/>
      </w:r>
      <w:r>
        <w:t xml:space="preserve"> </w:t>
      </w:r>
      <w:r w:rsidR="00821EFA">
        <w:t>Pedro Rubim Borges Fortes, Pablo Marcello Baquero, and David Restrepo Amariles</w:t>
      </w:r>
      <w:r w:rsidR="004F7237">
        <w:t xml:space="preserve">, ‘Artificial Intelligence Risks and Algorithmic Regulation’ (2022) 13 </w:t>
      </w:r>
      <w:r w:rsidR="00C8781B">
        <w:t>European Journal of Risk Regulation 357</w:t>
      </w:r>
      <w:r w:rsidR="004F7237">
        <w:t>, 361.</w:t>
      </w:r>
    </w:p>
  </w:footnote>
  <w:footnote w:id="11">
    <w:p w14:paraId="0B970443" w14:textId="40C4D3D5" w:rsidR="00A750B3" w:rsidRDefault="00A750B3" w:rsidP="00FE3D86">
      <w:pPr>
        <w:pStyle w:val="FootnoteText"/>
        <w:spacing w:line="360" w:lineRule="auto"/>
      </w:pPr>
      <w:r>
        <w:rPr>
          <w:rStyle w:val="FootnoteReference"/>
        </w:rPr>
        <w:footnoteRef/>
      </w:r>
      <w:r>
        <w:t xml:space="preserve"> AI Act, art 3.</w:t>
      </w:r>
    </w:p>
  </w:footnote>
  <w:footnote w:id="12">
    <w:p w14:paraId="5A1C6DBB" w14:textId="46766AAC" w:rsidR="00765A70" w:rsidRDefault="00765A70" w:rsidP="00FE3D86">
      <w:pPr>
        <w:pStyle w:val="FootnoteText"/>
        <w:spacing w:line="360" w:lineRule="auto"/>
      </w:pPr>
      <w:r>
        <w:rPr>
          <w:rStyle w:val="FootnoteReference"/>
        </w:rPr>
        <w:footnoteRef/>
      </w:r>
      <w:r>
        <w:t xml:space="preserve"> ibid, annex III </w:t>
      </w:r>
      <w:r w:rsidR="00BB4152">
        <w:t xml:space="preserve">and </w:t>
      </w:r>
      <w:r w:rsidR="004C4794">
        <w:t>art</w:t>
      </w:r>
      <w:r w:rsidR="00100EDC">
        <w:rPr>
          <w:lang w:eastAsia="zh-CN"/>
        </w:rPr>
        <w:t>s</w:t>
      </w:r>
      <w:r w:rsidR="004C4794">
        <w:rPr>
          <w:rFonts w:hint="eastAsia"/>
          <w:lang w:eastAsia="zh-CN"/>
        </w:rPr>
        <w:t xml:space="preserve"> </w:t>
      </w:r>
      <w:r w:rsidR="004C4794">
        <w:t>43 and 72.</w:t>
      </w:r>
    </w:p>
  </w:footnote>
  <w:footnote w:id="13">
    <w:p w14:paraId="727CEE78" w14:textId="3B2E0F84" w:rsidR="008F1DBF" w:rsidRDefault="008F1DBF" w:rsidP="00FE3D86">
      <w:pPr>
        <w:pStyle w:val="FootnoteText"/>
        <w:spacing w:line="360" w:lineRule="auto"/>
        <w:rPr>
          <w:lang w:eastAsia="zh-CN"/>
        </w:rPr>
      </w:pPr>
      <w:r>
        <w:rPr>
          <w:rStyle w:val="FootnoteReference"/>
        </w:rPr>
        <w:footnoteRef/>
      </w:r>
      <w:r>
        <w:t xml:space="preserve"> </w:t>
      </w:r>
      <w:r w:rsidR="00242CFE" w:rsidRPr="001F1665">
        <w:rPr>
          <w:rFonts w:cs="Times New Roman"/>
        </w:rPr>
        <w:t>Baldwin</w:t>
      </w:r>
      <w:r w:rsidR="00242CFE">
        <w:rPr>
          <w:rFonts w:cs="Times New Roman"/>
        </w:rPr>
        <w:t xml:space="preserve">, </w:t>
      </w:r>
      <w:r w:rsidR="00242CFE" w:rsidRPr="001F1665">
        <w:rPr>
          <w:rFonts w:cs="Times New Roman"/>
        </w:rPr>
        <w:t>Cave</w:t>
      </w:r>
      <w:r w:rsidR="00242CFE">
        <w:rPr>
          <w:rFonts w:cs="Times New Roman"/>
        </w:rPr>
        <w:t xml:space="preserve">, and </w:t>
      </w:r>
      <w:r w:rsidR="00242CFE" w:rsidRPr="001F1665">
        <w:rPr>
          <w:rFonts w:cs="Times New Roman"/>
        </w:rPr>
        <w:t>Lodge</w:t>
      </w:r>
      <w:r w:rsidR="00242CFE">
        <w:rPr>
          <w:rFonts w:cs="Times New Roman"/>
        </w:rPr>
        <w:t xml:space="preserve"> (n 2)</w:t>
      </w:r>
      <w:r w:rsidR="00242CFE">
        <w:rPr>
          <w:rFonts w:eastAsia="Microsoft YaHei" w:cs="Times New Roman"/>
          <w:lang w:eastAsia="zh-CN"/>
        </w:rPr>
        <w:t xml:space="preserve">, </w:t>
      </w:r>
      <w:r w:rsidR="00242CFE">
        <w:rPr>
          <w:rFonts w:hint="eastAsia"/>
          <w:lang w:eastAsia="zh-CN"/>
        </w:rPr>
        <w:t>147.</w:t>
      </w:r>
    </w:p>
  </w:footnote>
  <w:footnote w:id="14">
    <w:p w14:paraId="4E4A045D" w14:textId="1E78C6F3" w:rsidR="00B82968" w:rsidRDefault="00B82968" w:rsidP="00FE3D86">
      <w:pPr>
        <w:pStyle w:val="FootnoteText"/>
        <w:spacing w:line="360" w:lineRule="auto"/>
        <w:rPr>
          <w:lang w:eastAsia="zh-CN"/>
        </w:rPr>
      </w:pPr>
      <w:r>
        <w:rPr>
          <w:rStyle w:val="FootnoteReference"/>
        </w:rPr>
        <w:footnoteRef/>
      </w:r>
      <w:r>
        <w:t xml:space="preserve"> </w:t>
      </w:r>
      <w:r w:rsidR="00843061">
        <w:t>AI Act, art</w:t>
      </w:r>
      <w:r w:rsidR="007909F7">
        <w:t>s</w:t>
      </w:r>
      <w:r w:rsidR="00843061">
        <w:t xml:space="preserve"> 51(1)</w:t>
      </w:r>
      <w:proofErr w:type="gramStart"/>
      <w:r w:rsidR="00931FEE" w:rsidRPr="001F1665">
        <w:t>–</w:t>
      </w:r>
      <w:r w:rsidR="00843061">
        <w:t>(</w:t>
      </w:r>
      <w:proofErr w:type="gramEnd"/>
      <w:r w:rsidR="00843061">
        <w:t xml:space="preserve">2), </w:t>
      </w:r>
      <w:r w:rsidR="00B5337E">
        <w:t>annex XIII</w:t>
      </w:r>
      <w:r w:rsidR="00CA48F0">
        <w:t xml:space="preserve">, points </w:t>
      </w:r>
      <w:r w:rsidR="00B5337E">
        <w:t>(c)</w:t>
      </w:r>
      <w:r w:rsidR="00AF5299">
        <w:t xml:space="preserve"> and</w:t>
      </w:r>
      <w:r w:rsidR="00B5337E">
        <w:t xml:space="preserve"> (f)</w:t>
      </w:r>
      <w:r w:rsidR="00F313A2">
        <w:t>, and recital</w:t>
      </w:r>
      <w:r w:rsidR="00891CEA">
        <w:t>s</w:t>
      </w:r>
      <w:r w:rsidR="00F313A2">
        <w:t xml:space="preserve"> 110</w:t>
      </w:r>
      <w:r w:rsidR="00F313A2" w:rsidRPr="001F1665">
        <w:t>–</w:t>
      </w:r>
      <w:r w:rsidR="00F313A2">
        <w:t>111.</w:t>
      </w:r>
    </w:p>
  </w:footnote>
  <w:footnote w:id="15">
    <w:p w14:paraId="36851509" w14:textId="43DC4AEE" w:rsidR="004675C1" w:rsidRDefault="004675C1" w:rsidP="00FE3D86">
      <w:pPr>
        <w:pStyle w:val="FootnoteText"/>
        <w:spacing w:line="360" w:lineRule="auto"/>
        <w:rPr>
          <w:lang w:eastAsia="zh-CN"/>
        </w:rPr>
      </w:pPr>
      <w:r>
        <w:rPr>
          <w:rStyle w:val="FootnoteReference"/>
        </w:rPr>
        <w:footnoteRef/>
      </w:r>
      <w:r>
        <w:t xml:space="preserve"> </w:t>
      </w:r>
      <w:r w:rsidR="00574543">
        <w:t>George J. Stigle</w:t>
      </w:r>
      <w:r w:rsidR="00574543">
        <w:rPr>
          <w:lang w:eastAsia="zh-CN"/>
        </w:rPr>
        <w:t>r, ‘</w:t>
      </w:r>
      <w:r w:rsidR="00574543">
        <w:t>The Theory of Economic Regulation</w:t>
      </w:r>
      <w:r w:rsidR="00574543">
        <w:rPr>
          <w:lang w:eastAsia="zh-CN"/>
        </w:rPr>
        <w:t>’ (</w:t>
      </w:r>
      <w:r w:rsidR="00326454">
        <w:t>1971</w:t>
      </w:r>
      <w:r w:rsidR="00574543">
        <w:rPr>
          <w:lang w:eastAsia="zh-CN"/>
        </w:rPr>
        <w:t>)</w:t>
      </w:r>
      <w:r w:rsidR="00326454">
        <w:rPr>
          <w:lang w:eastAsia="zh-CN"/>
        </w:rPr>
        <w:t xml:space="preserve"> 2 </w:t>
      </w:r>
      <w:r w:rsidR="00326454">
        <w:t xml:space="preserve">The Bell Journal of Economics and Management Science </w:t>
      </w:r>
      <w:r w:rsidR="006C0FD0">
        <w:t xml:space="preserve">3, 3 and </w:t>
      </w:r>
      <w:r w:rsidR="00172298">
        <w:t>12.</w:t>
      </w:r>
    </w:p>
  </w:footnote>
  <w:footnote w:id="16">
    <w:p w14:paraId="62F70627" w14:textId="4D9DA456" w:rsidR="00FE3D86" w:rsidRDefault="00FE3D86" w:rsidP="00FE3D86">
      <w:pPr>
        <w:pStyle w:val="FootnoteText"/>
        <w:spacing w:line="360" w:lineRule="auto"/>
      </w:pPr>
      <w:r>
        <w:rPr>
          <w:rStyle w:val="FootnoteReference"/>
        </w:rPr>
        <w:footnoteRef/>
      </w:r>
      <w:r>
        <w:t xml:space="preserve"> </w:t>
      </w:r>
      <w:r w:rsidR="00687CBC" w:rsidRPr="001F1665">
        <w:rPr>
          <w:rFonts w:cs="Times New Roman"/>
        </w:rPr>
        <w:t>Morgan</w:t>
      </w:r>
      <w:r w:rsidR="00687CBC">
        <w:rPr>
          <w:rFonts w:cs="Times New Roman"/>
        </w:rPr>
        <w:t xml:space="preserve"> and </w:t>
      </w:r>
      <w:r w:rsidR="00687CBC" w:rsidRPr="001F1665">
        <w:rPr>
          <w:rFonts w:cs="Times New Roman"/>
        </w:rPr>
        <w:t>Yeung</w:t>
      </w:r>
      <w:r w:rsidR="00687CBC">
        <w:rPr>
          <w:rFonts w:cs="Times New Roman"/>
        </w:rPr>
        <w:t xml:space="preserve"> (n 1), </w:t>
      </w:r>
      <w:r w:rsidR="00E264FC">
        <w:rPr>
          <w:rFonts w:cs="Times New Roman"/>
        </w:rPr>
        <w:t>18.</w:t>
      </w:r>
    </w:p>
  </w:footnote>
  <w:footnote w:id="17">
    <w:p w14:paraId="1D9E4A1D" w14:textId="1F9F0071" w:rsidR="00E118A1" w:rsidRDefault="00E118A1" w:rsidP="002936E7">
      <w:pPr>
        <w:pStyle w:val="FootnoteText"/>
        <w:spacing w:line="360" w:lineRule="auto"/>
      </w:pPr>
      <w:r>
        <w:rPr>
          <w:rStyle w:val="FootnoteReference"/>
        </w:rPr>
        <w:footnoteRef/>
      </w:r>
      <w:r>
        <w:t xml:space="preserve"> </w:t>
      </w:r>
      <w:r w:rsidR="00655F8F">
        <w:t>Dalia Gilbert</w:t>
      </w:r>
      <w:r w:rsidR="00FC68D7">
        <w:t>,</w:t>
      </w:r>
      <w:r w:rsidR="00655F8F">
        <w:t xml:space="preserve"> </w:t>
      </w:r>
      <w:r w:rsidR="00C90BA5">
        <w:t xml:space="preserve">‘Corporate Social Responsibility’ </w:t>
      </w:r>
      <w:r w:rsidR="001C2C33">
        <w:t xml:space="preserve">in </w:t>
      </w:r>
      <w:r w:rsidR="003E6EFB">
        <w:t xml:space="preserve">Myron Harrison and Christine Coussens (eds), </w:t>
      </w:r>
      <w:r w:rsidR="001D6ED1" w:rsidRPr="001C2C33">
        <w:rPr>
          <w:i/>
          <w:iCs/>
        </w:rPr>
        <w:t>Global Environmental Health in the 21st Century: From Governmental Regulation to Corporate Social Responsibility</w:t>
      </w:r>
      <w:r w:rsidR="001D6ED1">
        <w:t xml:space="preserve"> (</w:t>
      </w:r>
      <w:r w:rsidR="00121F2A">
        <w:t>The National Acad</w:t>
      </w:r>
      <w:r w:rsidR="00B41424">
        <w:t>e</w:t>
      </w:r>
      <w:r w:rsidR="00121F2A">
        <w:t>mies P</w:t>
      </w:r>
      <w:r w:rsidR="00B41424">
        <w:t>ress 2007</w:t>
      </w:r>
      <w:r w:rsidR="001D6ED1">
        <w:t>)</w:t>
      </w:r>
      <w:r w:rsidR="00043CDF">
        <w:t xml:space="preserve"> </w:t>
      </w:r>
      <w:r w:rsidR="003A0A38">
        <w:t>85</w:t>
      </w:r>
      <w:r w:rsidR="00043CDF">
        <w:t>.</w:t>
      </w:r>
    </w:p>
  </w:footnote>
  <w:footnote w:id="18">
    <w:p w14:paraId="10BE7721" w14:textId="34E5E84D" w:rsidR="00F423B6" w:rsidRPr="00F62B56" w:rsidRDefault="00F423B6" w:rsidP="00A674A2">
      <w:pPr>
        <w:pStyle w:val="FootnoteText"/>
        <w:spacing w:line="360" w:lineRule="auto"/>
      </w:pPr>
      <w:r>
        <w:rPr>
          <w:rStyle w:val="FootnoteReference"/>
        </w:rPr>
        <w:footnoteRef/>
      </w:r>
      <w:r>
        <w:t xml:space="preserve"> </w:t>
      </w:r>
      <w:r w:rsidR="00A674A2" w:rsidRPr="00A674A2">
        <w:t>Parker Christine</w:t>
      </w:r>
      <w:r w:rsidR="00A674A2">
        <w:t>, ‘</w:t>
      </w:r>
      <w:r w:rsidR="00A674A2" w:rsidRPr="00A674A2">
        <w:t>Meta-Regulation: Legal Accountability for Corporate Social Responsibility</w:t>
      </w:r>
      <w:r w:rsidR="00A674A2">
        <w:t xml:space="preserve">’ </w:t>
      </w:r>
      <w:r w:rsidR="00FC68D7">
        <w:t xml:space="preserve">in </w:t>
      </w:r>
      <w:r w:rsidR="000D3660" w:rsidRPr="000D3660">
        <w:t>David Kinley</w:t>
      </w:r>
      <w:r w:rsidR="00FC68D7">
        <w:t xml:space="preserve"> (ed), </w:t>
      </w:r>
      <w:r w:rsidR="00FC68D7" w:rsidRPr="00FC68D7">
        <w:rPr>
          <w:i/>
          <w:iCs/>
        </w:rPr>
        <w:t>Human Rights and Corporations</w:t>
      </w:r>
      <w:r w:rsidR="00F62B56">
        <w:rPr>
          <w:i/>
          <w:iCs/>
        </w:rPr>
        <w:t xml:space="preserve"> </w:t>
      </w:r>
      <w:r w:rsidR="00F62B56">
        <w:t>(</w:t>
      </w:r>
      <w:r w:rsidR="006E48EA" w:rsidRPr="006E48EA">
        <w:t>Routledge</w:t>
      </w:r>
      <w:r w:rsidR="00D11798">
        <w:t xml:space="preserve"> 2009</w:t>
      </w:r>
      <w:r w:rsidR="00F62B56">
        <w:t>)</w:t>
      </w:r>
      <w:r w:rsidR="00D11798">
        <w:t xml:space="preserve"> </w:t>
      </w:r>
      <w:r w:rsidR="00D91292">
        <w:t>3</w:t>
      </w:r>
      <w:r w:rsidR="003B4C5A">
        <w:t>52</w:t>
      </w:r>
      <w:r w:rsidR="00D11798">
        <w:t>.</w:t>
      </w:r>
    </w:p>
  </w:footnote>
  <w:footnote w:id="19">
    <w:p w14:paraId="6FC77DCA" w14:textId="54102F87" w:rsidR="009A7658" w:rsidRPr="009A7658" w:rsidRDefault="009A7658" w:rsidP="00E118A1">
      <w:pPr>
        <w:pStyle w:val="FootnoteText"/>
        <w:spacing w:line="360" w:lineRule="auto"/>
      </w:pPr>
      <w:r>
        <w:rPr>
          <w:rStyle w:val="FootnoteReference"/>
        </w:rPr>
        <w:footnoteRef/>
      </w:r>
      <w:r>
        <w:t xml:space="preserve"> </w:t>
      </w:r>
      <w:r w:rsidR="00743B43">
        <w:t>UNES</w:t>
      </w:r>
      <w:r w:rsidR="00D777A5">
        <w:t>CO, ‘</w:t>
      </w:r>
      <w:r w:rsidR="00D777A5" w:rsidRPr="00D777A5">
        <w:t>Pathways on Capacity Building for AI Supervisory Authorities: Insights and Recommendations From the 1st UNESCO Expert Roundtable on AI Supervision</w:t>
      </w:r>
      <w:r w:rsidR="00D777A5">
        <w:t>’ (</w:t>
      </w:r>
      <w:r w:rsidR="009678CE">
        <w:t xml:space="preserve">Document Code: </w:t>
      </w:r>
      <w:r w:rsidR="009678CE" w:rsidRPr="009678CE">
        <w:t>SHS/REI/EAI/CAAI/2025/PR</w:t>
      </w:r>
      <w:r w:rsidR="009678CE">
        <w:t>,</w:t>
      </w:r>
      <w:r w:rsidR="009678CE" w:rsidRPr="009678CE">
        <w:t xml:space="preserve"> </w:t>
      </w:r>
      <w:r w:rsidR="000B1D04">
        <w:t>UNESCO</w:t>
      </w:r>
      <w:r w:rsidR="000A4115">
        <w:t xml:space="preserve"> </w:t>
      </w:r>
      <w:r w:rsidR="000A4115" w:rsidRPr="000A4115">
        <w:t>2025</w:t>
      </w:r>
      <w:r w:rsidR="00D777A5">
        <w:t>)</w:t>
      </w:r>
      <w:r w:rsidR="008F0F06">
        <w:t xml:space="preserve"> 18</w:t>
      </w:r>
      <w:r w:rsidR="000B1D04">
        <w:t>.</w:t>
      </w:r>
    </w:p>
  </w:footnote>
  <w:footnote w:id="20">
    <w:p w14:paraId="4FD5DA15" w14:textId="2C009E43" w:rsidR="003415E5" w:rsidRPr="003415E5" w:rsidRDefault="003415E5" w:rsidP="00E118A1">
      <w:pPr>
        <w:pStyle w:val="FootnoteText"/>
        <w:spacing w:line="360" w:lineRule="auto"/>
        <w:rPr>
          <w:rFonts w:cs="Times New Roman"/>
        </w:rPr>
      </w:pPr>
      <w:r w:rsidRPr="003415E5">
        <w:rPr>
          <w:rStyle w:val="FootnoteReference"/>
          <w:rFonts w:cs="Times New Roman"/>
        </w:rPr>
        <w:footnoteRef/>
      </w:r>
      <w:r w:rsidRPr="003415E5">
        <w:rPr>
          <w:rFonts w:cs="Times New Roman"/>
        </w:rPr>
        <w:t xml:space="preserve"> European Commission, ‘European Approach to Artificial Intelligence’ (</w:t>
      </w:r>
      <w:r w:rsidRPr="003415E5">
        <w:rPr>
          <w:rStyle w:val="Emphasis"/>
          <w:rFonts w:cs="Times New Roman"/>
        </w:rPr>
        <w:t>Shaping Europe’s Digital Future</w:t>
      </w:r>
      <w:r w:rsidRPr="003415E5">
        <w:rPr>
          <w:rFonts w:cs="Times New Roman"/>
        </w:rPr>
        <w:t>) &lt;https://digital-strategy.ec.europa.eu/en/policies/european-approach-artificial-intelligence&gt; accessed</w:t>
      </w:r>
      <w:r>
        <w:rPr>
          <w:rFonts w:cs="Times New Roman"/>
        </w:rPr>
        <w:t xml:space="preserve"> </w:t>
      </w:r>
      <w:r w:rsidR="00D03B2D">
        <w:rPr>
          <w:rFonts w:cs="Times New Roman"/>
        </w:rPr>
        <w:t>7 February 2026</w:t>
      </w:r>
      <w:r w:rsidRPr="003415E5">
        <w:rPr>
          <w:rFonts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87CCB" w14:textId="719AFB73" w:rsidR="00833800" w:rsidRDefault="00833800">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01C4B">
      <w:rPr>
        <w:rStyle w:val="PageNumber"/>
        <w:noProof/>
      </w:rPr>
      <w:t>1</w:t>
    </w:r>
    <w:r>
      <w:rPr>
        <w:rStyle w:val="PageNumber"/>
      </w:rPr>
      <w:fldChar w:fldCharType="end"/>
    </w:r>
  </w:p>
  <w:p w14:paraId="49386AE9" w14:textId="77777777" w:rsidR="00833800" w:rsidRDefault="0083380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28B1" w14:textId="4746CD5B" w:rsidR="00833800" w:rsidRPr="00DA6CDE" w:rsidRDefault="00833800" w:rsidP="005E3099">
    <w:pPr>
      <w:pStyle w:val="Header"/>
      <w:ind w:right="360"/>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78B9" w14:textId="77777777" w:rsidR="00833800" w:rsidRDefault="00833800">
    <w:pPr>
      <w:pStyle w:val="Header"/>
      <w:jc w:val="right"/>
      <w:rPr>
        <w:sz w:val="1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C9AF2" w14:textId="77777777" w:rsidR="005E3099" w:rsidRPr="00A5118B" w:rsidRDefault="005E3099" w:rsidP="009C7489">
    <w:pPr>
      <w:pStyle w:val="Header"/>
      <w:ind w:right="360"/>
      <w:jc w:val="center"/>
      <w:rPr>
        <w:sz w:val="18"/>
        <w:szCs w:val="18"/>
      </w:rPr>
    </w:pPr>
    <w:r w:rsidRPr="00A5118B">
      <w:rPr>
        <w:sz w:val="18"/>
        <w:szCs w:val="18"/>
      </w:rPr>
      <w:t>3103914 Artificial Intelligence and the Law Formative Essay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72FFD"/>
    <w:multiLevelType w:val="multilevel"/>
    <w:tmpl w:val="8D9A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DCE3A2B"/>
    <w:multiLevelType w:val="multilevel"/>
    <w:tmpl w:val="9BD4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6D221F"/>
    <w:multiLevelType w:val="hybridMultilevel"/>
    <w:tmpl w:val="5FD8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2228433">
    <w:abstractNumId w:val="2"/>
  </w:num>
  <w:num w:numId="2" w16cid:durableId="275600164">
    <w:abstractNumId w:val="0"/>
  </w:num>
  <w:num w:numId="3" w16cid:durableId="587546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1DF"/>
    <w:rsid w:val="000102E7"/>
    <w:rsid w:val="00021E46"/>
    <w:rsid w:val="0002230D"/>
    <w:rsid w:val="000307DB"/>
    <w:rsid w:val="00034A39"/>
    <w:rsid w:val="00043CDF"/>
    <w:rsid w:val="00045006"/>
    <w:rsid w:val="00050703"/>
    <w:rsid w:val="000554EA"/>
    <w:rsid w:val="00061A46"/>
    <w:rsid w:val="00067AF7"/>
    <w:rsid w:val="000731A1"/>
    <w:rsid w:val="00073D0B"/>
    <w:rsid w:val="00080181"/>
    <w:rsid w:val="0008157D"/>
    <w:rsid w:val="000A4115"/>
    <w:rsid w:val="000A5813"/>
    <w:rsid w:val="000B1540"/>
    <w:rsid w:val="000B1D04"/>
    <w:rsid w:val="000C09AC"/>
    <w:rsid w:val="000C0AD7"/>
    <w:rsid w:val="000C2CDB"/>
    <w:rsid w:val="000C48B8"/>
    <w:rsid w:val="000C517B"/>
    <w:rsid w:val="000D21EA"/>
    <w:rsid w:val="000D3660"/>
    <w:rsid w:val="000E0BBB"/>
    <w:rsid w:val="000E1F0E"/>
    <w:rsid w:val="000E4C43"/>
    <w:rsid w:val="000E620C"/>
    <w:rsid w:val="00100EDC"/>
    <w:rsid w:val="00104766"/>
    <w:rsid w:val="001059E6"/>
    <w:rsid w:val="00113299"/>
    <w:rsid w:val="00115058"/>
    <w:rsid w:val="00120C5F"/>
    <w:rsid w:val="001215B2"/>
    <w:rsid w:val="00121B6D"/>
    <w:rsid w:val="00121F2A"/>
    <w:rsid w:val="00130CCC"/>
    <w:rsid w:val="0013452B"/>
    <w:rsid w:val="00136D25"/>
    <w:rsid w:val="00137EB4"/>
    <w:rsid w:val="00155492"/>
    <w:rsid w:val="0017031F"/>
    <w:rsid w:val="001710CE"/>
    <w:rsid w:val="00172298"/>
    <w:rsid w:val="0017573E"/>
    <w:rsid w:val="00175CCF"/>
    <w:rsid w:val="00177A41"/>
    <w:rsid w:val="001812BA"/>
    <w:rsid w:val="001823BE"/>
    <w:rsid w:val="00192B39"/>
    <w:rsid w:val="00196EC2"/>
    <w:rsid w:val="001A214C"/>
    <w:rsid w:val="001A4A58"/>
    <w:rsid w:val="001A4BCC"/>
    <w:rsid w:val="001A6B23"/>
    <w:rsid w:val="001A7216"/>
    <w:rsid w:val="001B0076"/>
    <w:rsid w:val="001B30AC"/>
    <w:rsid w:val="001B4306"/>
    <w:rsid w:val="001B604A"/>
    <w:rsid w:val="001B7B0E"/>
    <w:rsid w:val="001C0055"/>
    <w:rsid w:val="001C1CF0"/>
    <w:rsid w:val="001C2C33"/>
    <w:rsid w:val="001C34EA"/>
    <w:rsid w:val="001D08C3"/>
    <w:rsid w:val="001D6ED1"/>
    <w:rsid w:val="001D7078"/>
    <w:rsid w:val="001F1665"/>
    <w:rsid w:val="001F37E8"/>
    <w:rsid w:val="001F4889"/>
    <w:rsid w:val="0020243B"/>
    <w:rsid w:val="00202C88"/>
    <w:rsid w:val="00212BEC"/>
    <w:rsid w:val="0021360E"/>
    <w:rsid w:val="00213E11"/>
    <w:rsid w:val="00220977"/>
    <w:rsid w:val="00221F01"/>
    <w:rsid w:val="0023283D"/>
    <w:rsid w:val="00237881"/>
    <w:rsid w:val="00242C68"/>
    <w:rsid w:val="00242CDF"/>
    <w:rsid w:val="00242CFE"/>
    <w:rsid w:val="002435B8"/>
    <w:rsid w:val="00254E6B"/>
    <w:rsid w:val="00261698"/>
    <w:rsid w:val="00275472"/>
    <w:rsid w:val="002804C1"/>
    <w:rsid w:val="00281404"/>
    <w:rsid w:val="00286DA0"/>
    <w:rsid w:val="002936E7"/>
    <w:rsid w:val="002975C8"/>
    <w:rsid w:val="002A4DB7"/>
    <w:rsid w:val="002A50F9"/>
    <w:rsid w:val="002C0177"/>
    <w:rsid w:val="002C0BD1"/>
    <w:rsid w:val="002C1808"/>
    <w:rsid w:val="002C446E"/>
    <w:rsid w:val="002D2041"/>
    <w:rsid w:val="002D35DC"/>
    <w:rsid w:val="002D7C0D"/>
    <w:rsid w:val="002E0128"/>
    <w:rsid w:val="002F0FBB"/>
    <w:rsid w:val="002F1E17"/>
    <w:rsid w:val="002F2045"/>
    <w:rsid w:val="002F22CE"/>
    <w:rsid w:val="002F3AC1"/>
    <w:rsid w:val="002F3EF3"/>
    <w:rsid w:val="002F46F9"/>
    <w:rsid w:val="002F54BA"/>
    <w:rsid w:val="00305B50"/>
    <w:rsid w:val="0030669C"/>
    <w:rsid w:val="0031272E"/>
    <w:rsid w:val="003143C0"/>
    <w:rsid w:val="00320A5A"/>
    <w:rsid w:val="00326454"/>
    <w:rsid w:val="003319E8"/>
    <w:rsid w:val="00334B95"/>
    <w:rsid w:val="0033730C"/>
    <w:rsid w:val="00337839"/>
    <w:rsid w:val="003404F4"/>
    <w:rsid w:val="003415E5"/>
    <w:rsid w:val="00350BCF"/>
    <w:rsid w:val="00370BD2"/>
    <w:rsid w:val="00371819"/>
    <w:rsid w:val="0037604D"/>
    <w:rsid w:val="003768B3"/>
    <w:rsid w:val="00377AF0"/>
    <w:rsid w:val="00383347"/>
    <w:rsid w:val="003874A2"/>
    <w:rsid w:val="003874DF"/>
    <w:rsid w:val="00391FDA"/>
    <w:rsid w:val="003A0A38"/>
    <w:rsid w:val="003A1537"/>
    <w:rsid w:val="003A1A13"/>
    <w:rsid w:val="003B1E30"/>
    <w:rsid w:val="003B4C5A"/>
    <w:rsid w:val="003B7011"/>
    <w:rsid w:val="003C03E9"/>
    <w:rsid w:val="003C7333"/>
    <w:rsid w:val="003D1B1D"/>
    <w:rsid w:val="003D4E45"/>
    <w:rsid w:val="003D5FAA"/>
    <w:rsid w:val="003E4B63"/>
    <w:rsid w:val="003E6EFB"/>
    <w:rsid w:val="003F2B83"/>
    <w:rsid w:val="00406791"/>
    <w:rsid w:val="00406B70"/>
    <w:rsid w:val="00410AE3"/>
    <w:rsid w:val="00432772"/>
    <w:rsid w:val="004333F7"/>
    <w:rsid w:val="00434829"/>
    <w:rsid w:val="0043564C"/>
    <w:rsid w:val="00436D8A"/>
    <w:rsid w:val="00440CB0"/>
    <w:rsid w:val="00442952"/>
    <w:rsid w:val="00444D3B"/>
    <w:rsid w:val="00450F94"/>
    <w:rsid w:val="004637D8"/>
    <w:rsid w:val="00464CF8"/>
    <w:rsid w:val="004651EB"/>
    <w:rsid w:val="00465B24"/>
    <w:rsid w:val="004675C1"/>
    <w:rsid w:val="004713A6"/>
    <w:rsid w:val="00471443"/>
    <w:rsid w:val="00471A2D"/>
    <w:rsid w:val="004732F5"/>
    <w:rsid w:val="00480CAC"/>
    <w:rsid w:val="004879CD"/>
    <w:rsid w:val="00490FE2"/>
    <w:rsid w:val="004A19EC"/>
    <w:rsid w:val="004B3A9D"/>
    <w:rsid w:val="004B511C"/>
    <w:rsid w:val="004C31C2"/>
    <w:rsid w:val="004C3994"/>
    <w:rsid w:val="004C431C"/>
    <w:rsid w:val="004C4794"/>
    <w:rsid w:val="004C51DA"/>
    <w:rsid w:val="004C58A8"/>
    <w:rsid w:val="004E0216"/>
    <w:rsid w:val="004E207B"/>
    <w:rsid w:val="004E21E0"/>
    <w:rsid w:val="004E3DAC"/>
    <w:rsid w:val="004E3FEB"/>
    <w:rsid w:val="004E4C60"/>
    <w:rsid w:val="004F0647"/>
    <w:rsid w:val="004F7237"/>
    <w:rsid w:val="00506750"/>
    <w:rsid w:val="00506851"/>
    <w:rsid w:val="00526768"/>
    <w:rsid w:val="00532E28"/>
    <w:rsid w:val="005403ED"/>
    <w:rsid w:val="00540FF3"/>
    <w:rsid w:val="00542D99"/>
    <w:rsid w:val="005558B1"/>
    <w:rsid w:val="0056086D"/>
    <w:rsid w:val="00570D19"/>
    <w:rsid w:val="00571BBF"/>
    <w:rsid w:val="00574543"/>
    <w:rsid w:val="00574A13"/>
    <w:rsid w:val="0057758B"/>
    <w:rsid w:val="005816D0"/>
    <w:rsid w:val="005918CE"/>
    <w:rsid w:val="00597871"/>
    <w:rsid w:val="00597C03"/>
    <w:rsid w:val="005B0574"/>
    <w:rsid w:val="005B21EC"/>
    <w:rsid w:val="005B46FB"/>
    <w:rsid w:val="005C262F"/>
    <w:rsid w:val="005C4CC1"/>
    <w:rsid w:val="005C649F"/>
    <w:rsid w:val="005E04F3"/>
    <w:rsid w:val="005E13B7"/>
    <w:rsid w:val="005E3099"/>
    <w:rsid w:val="005E3B15"/>
    <w:rsid w:val="00614D32"/>
    <w:rsid w:val="006206D3"/>
    <w:rsid w:val="006213B0"/>
    <w:rsid w:val="00634899"/>
    <w:rsid w:val="00635243"/>
    <w:rsid w:val="00644339"/>
    <w:rsid w:val="00645EC8"/>
    <w:rsid w:val="006517A5"/>
    <w:rsid w:val="006529B6"/>
    <w:rsid w:val="006546B4"/>
    <w:rsid w:val="00655F8F"/>
    <w:rsid w:val="00660E5A"/>
    <w:rsid w:val="0066730C"/>
    <w:rsid w:val="006771BD"/>
    <w:rsid w:val="00677354"/>
    <w:rsid w:val="00684CF5"/>
    <w:rsid w:val="0068573D"/>
    <w:rsid w:val="0068673B"/>
    <w:rsid w:val="00687CBC"/>
    <w:rsid w:val="00690146"/>
    <w:rsid w:val="00693898"/>
    <w:rsid w:val="006B2C9D"/>
    <w:rsid w:val="006B4B83"/>
    <w:rsid w:val="006B56E9"/>
    <w:rsid w:val="006C0F50"/>
    <w:rsid w:val="006C0FD0"/>
    <w:rsid w:val="006E48EA"/>
    <w:rsid w:val="006E7B6B"/>
    <w:rsid w:val="006F66CB"/>
    <w:rsid w:val="00701C4B"/>
    <w:rsid w:val="00705BAA"/>
    <w:rsid w:val="00731126"/>
    <w:rsid w:val="00732916"/>
    <w:rsid w:val="00736E0F"/>
    <w:rsid w:val="00740E19"/>
    <w:rsid w:val="00743B43"/>
    <w:rsid w:val="007448D7"/>
    <w:rsid w:val="0075219B"/>
    <w:rsid w:val="00756FD1"/>
    <w:rsid w:val="00760AAD"/>
    <w:rsid w:val="00760C05"/>
    <w:rsid w:val="0076549E"/>
    <w:rsid w:val="00765A70"/>
    <w:rsid w:val="007714F6"/>
    <w:rsid w:val="007740BC"/>
    <w:rsid w:val="00785E93"/>
    <w:rsid w:val="00786B04"/>
    <w:rsid w:val="00787C69"/>
    <w:rsid w:val="007909F7"/>
    <w:rsid w:val="00791D42"/>
    <w:rsid w:val="007A005E"/>
    <w:rsid w:val="007A11F1"/>
    <w:rsid w:val="007A2018"/>
    <w:rsid w:val="007A4273"/>
    <w:rsid w:val="007B0080"/>
    <w:rsid w:val="007B06CF"/>
    <w:rsid w:val="007B64C9"/>
    <w:rsid w:val="007B672B"/>
    <w:rsid w:val="007C00F8"/>
    <w:rsid w:val="007C381B"/>
    <w:rsid w:val="007D31A5"/>
    <w:rsid w:val="007E60DE"/>
    <w:rsid w:val="007F0043"/>
    <w:rsid w:val="007F474F"/>
    <w:rsid w:val="00806FB7"/>
    <w:rsid w:val="008206A3"/>
    <w:rsid w:val="008208D1"/>
    <w:rsid w:val="00821EFA"/>
    <w:rsid w:val="00822582"/>
    <w:rsid w:val="0083372B"/>
    <w:rsid w:val="00833800"/>
    <w:rsid w:val="00836CF3"/>
    <w:rsid w:val="00843061"/>
    <w:rsid w:val="00844B4A"/>
    <w:rsid w:val="008611B7"/>
    <w:rsid w:val="00862FEA"/>
    <w:rsid w:val="00864E2E"/>
    <w:rsid w:val="008753F6"/>
    <w:rsid w:val="0088037F"/>
    <w:rsid w:val="008838A7"/>
    <w:rsid w:val="00891CEA"/>
    <w:rsid w:val="00892BCA"/>
    <w:rsid w:val="00893601"/>
    <w:rsid w:val="008A18F4"/>
    <w:rsid w:val="008A70A2"/>
    <w:rsid w:val="008B2E17"/>
    <w:rsid w:val="008B7FEF"/>
    <w:rsid w:val="008C4AC1"/>
    <w:rsid w:val="008C5910"/>
    <w:rsid w:val="008C5DD1"/>
    <w:rsid w:val="008C6E6E"/>
    <w:rsid w:val="008C705A"/>
    <w:rsid w:val="008D3BF5"/>
    <w:rsid w:val="008D3FE9"/>
    <w:rsid w:val="008D5B67"/>
    <w:rsid w:val="008E39FF"/>
    <w:rsid w:val="008E4F79"/>
    <w:rsid w:val="008F0F06"/>
    <w:rsid w:val="008F1DBF"/>
    <w:rsid w:val="0090077F"/>
    <w:rsid w:val="0090372E"/>
    <w:rsid w:val="0090395B"/>
    <w:rsid w:val="0090559F"/>
    <w:rsid w:val="0091183F"/>
    <w:rsid w:val="009174A8"/>
    <w:rsid w:val="00920DCB"/>
    <w:rsid w:val="00922AC4"/>
    <w:rsid w:val="009244FB"/>
    <w:rsid w:val="00931FEE"/>
    <w:rsid w:val="00935FF0"/>
    <w:rsid w:val="009402C1"/>
    <w:rsid w:val="00944314"/>
    <w:rsid w:val="00946053"/>
    <w:rsid w:val="00950A05"/>
    <w:rsid w:val="00956B9C"/>
    <w:rsid w:val="00957742"/>
    <w:rsid w:val="009611FC"/>
    <w:rsid w:val="00961C22"/>
    <w:rsid w:val="009678CE"/>
    <w:rsid w:val="009779D3"/>
    <w:rsid w:val="00982E95"/>
    <w:rsid w:val="00983264"/>
    <w:rsid w:val="009838C3"/>
    <w:rsid w:val="009904E9"/>
    <w:rsid w:val="00993FB9"/>
    <w:rsid w:val="00995724"/>
    <w:rsid w:val="00995B1B"/>
    <w:rsid w:val="00997394"/>
    <w:rsid w:val="009A43C8"/>
    <w:rsid w:val="009A7658"/>
    <w:rsid w:val="009B49FC"/>
    <w:rsid w:val="009C7489"/>
    <w:rsid w:val="009D1D56"/>
    <w:rsid w:val="009D4E81"/>
    <w:rsid w:val="009E27CB"/>
    <w:rsid w:val="009E3A03"/>
    <w:rsid w:val="009F0C7E"/>
    <w:rsid w:val="009F0E58"/>
    <w:rsid w:val="009F3740"/>
    <w:rsid w:val="009F60BE"/>
    <w:rsid w:val="009F6109"/>
    <w:rsid w:val="00A05CC8"/>
    <w:rsid w:val="00A26A4C"/>
    <w:rsid w:val="00A36906"/>
    <w:rsid w:val="00A41B5F"/>
    <w:rsid w:val="00A451B4"/>
    <w:rsid w:val="00A460F7"/>
    <w:rsid w:val="00A5118B"/>
    <w:rsid w:val="00A51EC0"/>
    <w:rsid w:val="00A52543"/>
    <w:rsid w:val="00A538B6"/>
    <w:rsid w:val="00A5721E"/>
    <w:rsid w:val="00A674A2"/>
    <w:rsid w:val="00A67619"/>
    <w:rsid w:val="00A727B6"/>
    <w:rsid w:val="00A750B3"/>
    <w:rsid w:val="00A9440D"/>
    <w:rsid w:val="00AA2F3C"/>
    <w:rsid w:val="00AA4C6B"/>
    <w:rsid w:val="00AA7485"/>
    <w:rsid w:val="00AB45DD"/>
    <w:rsid w:val="00AB4A76"/>
    <w:rsid w:val="00AC099E"/>
    <w:rsid w:val="00AC2323"/>
    <w:rsid w:val="00AC3DBA"/>
    <w:rsid w:val="00AC5D3D"/>
    <w:rsid w:val="00AD296D"/>
    <w:rsid w:val="00AD3467"/>
    <w:rsid w:val="00AF5299"/>
    <w:rsid w:val="00AF7ED7"/>
    <w:rsid w:val="00B10840"/>
    <w:rsid w:val="00B13675"/>
    <w:rsid w:val="00B14AE1"/>
    <w:rsid w:val="00B17897"/>
    <w:rsid w:val="00B20080"/>
    <w:rsid w:val="00B2230D"/>
    <w:rsid w:val="00B2561C"/>
    <w:rsid w:val="00B26487"/>
    <w:rsid w:val="00B362F9"/>
    <w:rsid w:val="00B41424"/>
    <w:rsid w:val="00B460EB"/>
    <w:rsid w:val="00B467BD"/>
    <w:rsid w:val="00B5337E"/>
    <w:rsid w:val="00B65324"/>
    <w:rsid w:val="00B6600F"/>
    <w:rsid w:val="00B733FE"/>
    <w:rsid w:val="00B82968"/>
    <w:rsid w:val="00BA1D7E"/>
    <w:rsid w:val="00BA4396"/>
    <w:rsid w:val="00BB4152"/>
    <w:rsid w:val="00BB5D7A"/>
    <w:rsid w:val="00BD01DA"/>
    <w:rsid w:val="00BD2C18"/>
    <w:rsid w:val="00BE38E6"/>
    <w:rsid w:val="00BE6F14"/>
    <w:rsid w:val="00BE7E75"/>
    <w:rsid w:val="00BF697F"/>
    <w:rsid w:val="00C229ED"/>
    <w:rsid w:val="00C25FD0"/>
    <w:rsid w:val="00C30070"/>
    <w:rsid w:val="00C3739C"/>
    <w:rsid w:val="00C41048"/>
    <w:rsid w:val="00C437CA"/>
    <w:rsid w:val="00C43BAD"/>
    <w:rsid w:val="00C4718B"/>
    <w:rsid w:val="00C51288"/>
    <w:rsid w:val="00C54DEE"/>
    <w:rsid w:val="00C57149"/>
    <w:rsid w:val="00C73EE3"/>
    <w:rsid w:val="00C74FA8"/>
    <w:rsid w:val="00C75465"/>
    <w:rsid w:val="00C8781B"/>
    <w:rsid w:val="00C909AD"/>
    <w:rsid w:val="00C90BA5"/>
    <w:rsid w:val="00C90F73"/>
    <w:rsid w:val="00C93E3D"/>
    <w:rsid w:val="00C96783"/>
    <w:rsid w:val="00CA48F0"/>
    <w:rsid w:val="00CA5A4C"/>
    <w:rsid w:val="00CB2E3F"/>
    <w:rsid w:val="00CB482C"/>
    <w:rsid w:val="00CC28B1"/>
    <w:rsid w:val="00CD120E"/>
    <w:rsid w:val="00CD6F49"/>
    <w:rsid w:val="00CE2233"/>
    <w:rsid w:val="00CF13D6"/>
    <w:rsid w:val="00CF77F9"/>
    <w:rsid w:val="00CF7E6C"/>
    <w:rsid w:val="00D03B2D"/>
    <w:rsid w:val="00D11798"/>
    <w:rsid w:val="00D13076"/>
    <w:rsid w:val="00D15D8F"/>
    <w:rsid w:val="00D47E4C"/>
    <w:rsid w:val="00D5614B"/>
    <w:rsid w:val="00D678D3"/>
    <w:rsid w:val="00D701DF"/>
    <w:rsid w:val="00D7088F"/>
    <w:rsid w:val="00D70930"/>
    <w:rsid w:val="00D777A5"/>
    <w:rsid w:val="00D86EA3"/>
    <w:rsid w:val="00D91292"/>
    <w:rsid w:val="00D920FE"/>
    <w:rsid w:val="00DA4DD4"/>
    <w:rsid w:val="00DA6CDE"/>
    <w:rsid w:val="00DB0412"/>
    <w:rsid w:val="00DB3134"/>
    <w:rsid w:val="00DB688B"/>
    <w:rsid w:val="00DC0EE1"/>
    <w:rsid w:val="00DD287D"/>
    <w:rsid w:val="00DD3AB7"/>
    <w:rsid w:val="00DE5345"/>
    <w:rsid w:val="00DF3CD8"/>
    <w:rsid w:val="00E033DE"/>
    <w:rsid w:val="00E04D08"/>
    <w:rsid w:val="00E118A1"/>
    <w:rsid w:val="00E1410B"/>
    <w:rsid w:val="00E17546"/>
    <w:rsid w:val="00E24053"/>
    <w:rsid w:val="00E264FC"/>
    <w:rsid w:val="00E27DF0"/>
    <w:rsid w:val="00E32177"/>
    <w:rsid w:val="00E37688"/>
    <w:rsid w:val="00E406A1"/>
    <w:rsid w:val="00E427D2"/>
    <w:rsid w:val="00E51A04"/>
    <w:rsid w:val="00E5507B"/>
    <w:rsid w:val="00E63552"/>
    <w:rsid w:val="00E80EB4"/>
    <w:rsid w:val="00E856BE"/>
    <w:rsid w:val="00E913C2"/>
    <w:rsid w:val="00EB260F"/>
    <w:rsid w:val="00EB726C"/>
    <w:rsid w:val="00EC1419"/>
    <w:rsid w:val="00ED1A34"/>
    <w:rsid w:val="00EE2122"/>
    <w:rsid w:val="00EF4E9F"/>
    <w:rsid w:val="00F2031B"/>
    <w:rsid w:val="00F213ED"/>
    <w:rsid w:val="00F23D83"/>
    <w:rsid w:val="00F25D42"/>
    <w:rsid w:val="00F313A2"/>
    <w:rsid w:val="00F3700A"/>
    <w:rsid w:val="00F407C9"/>
    <w:rsid w:val="00F40EB3"/>
    <w:rsid w:val="00F423B6"/>
    <w:rsid w:val="00F42A0E"/>
    <w:rsid w:val="00F476FA"/>
    <w:rsid w:val="00F62B56"/>
    <w:rsid w:val="00F66241"/>
    <w:rsid w:val="00F67057"/>
    <w:rsid w:val="00F67557"/>
    <w:rsid w:val="00F73713"/>
    <w:rsid w:val="00F74753"/>
    <w:rsid w:val="00F85AC7"/>
    <w:rsid w:val="00F8622A"/>
    <w:rsid w:val="00F87702"/>
    <w:rsid w:val="00F90B48"/>
    <w:rsid w:val="00F91B44"/>
    <w:rsid w:val="00F93406"/>
    <w:rsid w:val="00FA4630"/>
    <w:rsid w:val="00FA4B88"/>
    <w:rsid w:val="00FB05EB"/>
    <w:rsid w:val="00FB0AEB"/>
    <w:rsid w:val="00FC68D7"/>
    <w:rsid w:val="00FD0495"/>
    <w:rsid w:val="00FD1189"/>
    <w:rsid w:val="00FE3D86"/>
    <w:rsid w:val="00FE552D"/>
    <w:rsid w:val="00FF41D3"/>
    <w:rsid w:val="02BD6325"/>
    <w:rsid w:val="034386F9"/>
    <w:rsid w:val="062CF60D"/>
    <w:rsid w:val="163DD829"/>
    <w:rsid w:val="186D35FE"/>
    <w:rsid w:val="286346CB"/>
    <w:rsid w:val="32BDB8A5"/>
    <w:rsid w:val="497344AF"/>
    <w:rsid w:val="5A72C08B"/>
    <w:rsid w:val="5CD7BC5C"/>
    <w:rsid w:val="62B4B133"/>
    <w:rsid w:val="64AC1CBB"/>
    <w:rsid w:val="6574DBA2"/>
    <w:rsid w:val="7A5C3F9F"/>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5E7C9"/>
  <w14:defaultImageDpi w14:val="32767"/>
  <w15:chartTrackingRefBased/>
  <w15:docId w15:val="{44A27CC1-C5D8-4768-A84C-28DA86ECD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17031F"/>
    <w:pPr>
      <w:spacing w:line="360" w:lineRule="auto"/>
      <w:jc w:val="both"/>
    </w:pPr>
    <w:rPr>
      <w:rFonts w:ascii="Times New Roman" w:eastAsiaTheme="minorHAnsi" w:hAnsi="Times New Roman"/>
      <w:szCs w:val="22"/>
      <w:lang w:eastAsia="en-US"/>
    </w:rPr>
  </w:style>
  <w:style w:type="paragraph" w:styleId="Heading1">
    <w:name w:val="heading 1"/>
    <w:basedOn w:val="Normal"/>
    <w:next w:val="Normal"/>
    <w:link w:val="Heading1Char"/>
    <w:qFormat/>
    <w:rsid w:val="007A4273"/>
    <w:pPr>
      <w:keepNext/>
      <w:outlineLvl w:val="0"/>
    </w:pPr>
    <w:rPr>
      <w:rFonts w:eastAsia="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4273"/>
    <w:rPr>
      <w:rFonts w:ascii="Times New Roman" w:eastAsia="Times New Roman" w:hAnsi="Times New Roman" w:cs="Times New Roman"/>
      <w:b/>
      <w:sz w:val="28"/>
      <w:szCs w:val="20"/>
      <w:lang w:eastAsia="en-US"/>
    </w:rPr>
  </w:style>
  <w:style w:type="paragraph" w:styleId="BodyTextIndent">
    <w:name w:val="Body Text Indent"/>
    <w:basedOn w:val="Normal"/>
    <w:link w:val="BodyTextIndentChar"/>
    <w:rsid w:val="00D701DF"/>
    <w:pPr>
      <w:widowControl w:val="0"/>
      <w:tabs>
        <w:tab w:val="left" w:pos="284"/>
      </w:tabs>
      <w:ind w:left="284" w:hanging="284"/>
      <w:jc w:val="center"/>
    </w:pPr>
    <w:rPr>
      <w:rFonts w:eastAsia="Times New Roman" w:cs="Times New Roman"/>
      <w:snapToGrid w:val="0"/>
      <w:spacing w:val="-3"/>
      <w:sz w:val="28"/>
      <w:szCs w:val="28"/>
    </w:rPr>
  </w:style>
  <w:style w:type="character" w:customStyle="1" w:styleId="BodyTextIndentChar">
    <w:name w:val="Body Text Indent Char"/>
    <w:basedOn w:val="DefaultParagraphFont"/>
    <w:link w:val="BodyTextIndent"/>
    <w:rsid w:val="00D701DF"/>
    <w:rPr>
      <w:rFonts w:ascii="Times New Roman" w:eastAsia="Times New Roman" w:hAnsi="Times New Roman" w:cs="Times New Roman"/>
      <w:snapToGrid w:val="0"/>
      <w:spacing w:val="-3"/>
      <w:sz w:val="28"/>
      <w:szCs w:val="28"/>
      <w:lang w:eastAsia="en-US"/>
    </w:rPr>
  </w:style>
  <w:style w:type="character" w:styleId="Hyperlink">
    <w:name w:val="Hyperlink"/>
    <w:basedOn w:val="DefaultParagraphFont"/>
    <w:uiPriority w:val="99"/>
    <w:unhideWhenUsed/>
    <w:rsid w:val="00D701DF"/>
    <w:rPr>
      <w:color w:val="0563C1" w:themeColor="hyperlink"/>
      <w:u w:val="single"/>
    </w:rPr>
  </w:style>
  <w:style w:type="table" w:styleId="TableGrid">
    <w:name w:val="Table Grid"/>
    <w:basedOn w:val="TableNormal"/>
    <w:uiPriority w:val="39"/>
    <w:rsid w:val="00D701DF"/>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701DF"/>
  </w:style>
  <w:style w:type="paragraph" w:styleId="Header">
    <w:name w:val="header"/>
    <w:basedOn w:val="Normal"/>
    <w:link w:val="HeaderChar"/>
    <w:rsid w:val="00D701DF"/>
    <w:pPr>
      <w:tabs>
        <w:tab w:val="center" w:pos="4153"/>
        <w:tab w:val="right" w:pos="8306"/>
      </w:tabs>
    </w:pPr>
    <w:rPr>
      <w:rFonts w:eastAsia="Times New Roman" w:cs="Times New Roman"/>
      <w:szCs w:val="24"/>
      <w:lang w:eastAsia="en-GB"/>
    </w:rPr>
  </w:style>
  <w:style w:type="character" w:customStyle="1" w:styleId="HeaderChar">
    <w:name w:val="Header Char"/>
    <w:basedOn w:val="DefaultParagraphFont"/>
    <w:link w:val="Header"/>
    <w:rsid w:val="00D701DF"/>
    <w:rPr>
      <w:rFonts w:ascii="Times New Roman" w:eastAsia="Times New Roman" w:hAnsi="Times New Roman" w:cs="Times New Roman"/>
      <w:lang w:eastAsia="en-GB"/>
    </w:rPr>
  </w:style>
  <w:style w:type="paragraph" w:styleId="Footer">
    <w:name w:val="footer"/>
    <w:basedOn w:val="Normal"/>
    <w:link w:val="FooterChar"/>
    <w:uiPriority w:val="99"/>
    <w:unhideWhenUsed/>
    <w:rsid w:val="00D701DF"/>
    <w:pPr>
      <w:tabs>
        <w:tab w:val="center" w:pos="4680"/>
        <w:tab w:val="right" w:pos="9360"/>
      </w:tabs>
    </w:pPr>
  </w:style>
  <w:style w:type="character" w:customStyle="1" w:styleId="FooterChar">
    <w:name w:val="Footer Char"/>
    <w:basedOn w:val="DefaultParagraphFont"/>
    <w:link w:val="Footer"/>
    <w:uiPriority w:val="99"/>
    <w:rsid w:val="00D701DF"/>
    <w:rPr>
      <w:rFonts w:eastAsiaTheme="minorHAnsi"/>
      <w:sz w:val="22"/>
      <w:szCs w:val="22"/>
      <w:lang w:eastAsia="en-US"/>
    </w:rPr>
  </w:style>
  <w:style w:type="character" w:styleId="CommentReference">
    <w:name w:val="annotation reference"/>
    <w:basedOn w:val="DefaultParagraphFont"/>
    <w:uiPriority w:val="99"/>
    <w:semiHidden/>
    <w:unhideWhenUsed/>
    <w:rsid w:val="004C51DA"/>
    <w:rPr>
      <w:sz w:val="16"/>
      <w:szCs w:val="16"/>
    </w:rPr>
  </w:style>
  <w:style w:type="paragraph" w:styleId="CommentText">
    <w:name w:val="annotation text"/>
    <w:basedOn w:val="Normal"/>
    <w:link w:val="CommentTextChar"/>
    <w:uiPriority w:val="99"/>
    <w:semiHidden/>
    <w:unhideWhenUsed/>
    <w:rsid w:val="004C51DA"/>
    <w:rPr>
      <w:sz w:val="20"/>
      <w:szCs w:val="20"/>
    </w:rPr>
  </w:style>
  <w:style w:type="character" w:customStyle="1" w:styleId="CommentTextChar">
    <w:name w:val="Comment Text Char"/>
    <w:basedOn w:val="DefaultParagraphFont"/>
    <w:link w:val="CommentText"/>
    <w:uiPriority w:val="99"/>
    <w:semiHidden/>
    <w:rsid w:val="004C51DA"/>
    <w:rPr>
      <w:rFonts w:eastAsiaTheme="minorHAnsi"/>
      <w:sz w:val="20"/>
      <w:szCs w:val="20"/>
      <w:lang w:eastAsia="en-US"/>
    </w:rPr>
  </w:style>
  <w:style w:type="paragraph" w:styleId="CommentSubject">
    <w:name w:val="annotation subject"/>
    <w:basedOn w:val="CommentText"/>
    <w:next w:val="CommentText"/>
    <w:link w:val="CommentSubjectChar"/>
    <w:uiPriority w:val="99"/>
    <w:semiHidden/>
    <w:unhideWhenUsed/>
    <w:rsid w:val="004C51DA"/>
    <w:rPr>
      <w:b/>
      <w:bCs/>
    </w:rPr>
  </w:style>
  <w:style w:type="character" w:customStyle="1" w:styleId="CommentSubjectChar">
    <w:name w:val="Comment Subject Char"/>
    <w:basedOn w:val="CommentTextChar"/>
    <w:link w:val="CommentSubject"/>
    <w:uiPriority w:val="99"/>
    <w:semiHidden/>
    <w:rsid w:val="004C51DA"/>
    <w:rPr>
      <w:rFonts w:eastAsiaTheme="minorHAnsi"/>
      <w:b/>
      <w:bCs/>
      <w:sz w:val="20"/>
      <w:szCs w:val="20"/>
      <w:lang w:eastAsia="en-US"/>
    </w:rPr>
  </w:style>
  <w:style w:type="paragraph" w:styleId="BalloonText">
    <w:name w:val="Balloon Text"/>
    <w:basedOn w:val="Normal"/>
    <w:link w:val="BalloonTextChar"/>
    <w:uiPriority w:val="99"/>
    <w:semiHidden/>
    <w:unhideWhenUsed/>
    <w:rsid w:val="004C51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C51DA"/>
    <w:rPr>
      <w:rFonts w:ascii="Segoe UI" w:eastAsiaTheme="minorHAnsi" w:hAnsi="Segoe UI" w:cs="Segoe UI"/>
      <w:sz w:val="18"/>
      <w:szCs w:val="18"/>
      <w:lang w:eastAsia="en-US"/>
    </w:rPr>
  </w:style>
  <w:style w:type="paragraph" w:styleId="NormalWeb">
    <w:name w:val="Normal (Web)"/>
    <w:basedOn w:val="Normal"/>
    <w:uiPriority w:val="99"/>
    <w:unhideWhenUsed/>
    <w:rsid w:val="00AC3DBA"/>
    <w:pPr>
      <w:spacing w:before="100" w:beforeAutospacing="1" w:after="100" w:afterAutospacing="1"/>
    </w:pPr>
    <w:rPr>
      <w:rFonts w:eastAsia="Times New Roman" w:cs="Times New Roman"/>
      <w:szCs w:val="24"/>
      <w:lang w:eastAsia="en-GB"/>
    </w:rPr>
  </w:style>
  <w:style w:type="paragraph" w:styleId="ListParagraph">
    <w:name w:val="List Paragraph"/>
    <w:basedOn w:val="Normal"/>
    <w:uiPriority w:val="34"/>
    <w:rsid w:val="00AB45DD"/>
    <w:pPr>
      <w:ind w:left="720"/>
      <w:contextualSpacing/>
    </w:pPr>
  </w:style>
  <w:style w:type="paragraph" w:styleId="FootnoteText">
    <w:name w:val="footnote text"/>
    <w:basedOn w:val="Normal"/>
    <w:link w:val="FootnoteTextChar"/>
    <w:uiPriority w:val="99"/>
    <w:semiHidden/>
    <w:unhideWhenUsed/>
    <w:rsid w:val="002C1808"/>
    <w:pPr>
      <w:spacing w:line="240" w:lineRule="auto"/>
    </w:pPr>
    <w:rPr>
      <w:sz w:val="20"/>
      <w:szCs w:val="20"/>
    </w:rPr>
  </w:style>
  <w:style w:type="character" w:customStyle="1" w:styleId="FootnoteTextChar">
    <w:name w:val="Footnote Text Char"/>
    <w:basedOn w:val="DefaultParagraphFont"/>
    <w:link w:val="FootnoteText"/>
    <w:uiPriority w:val="99"/>
    <w:semiHidden/>
    <w:rsid w:val="002C18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2C1808"/>
    <w:rPr>
      <w:vertAlign w:val="superscript"/>
    </w:rPr>
  </w:style>
  <w:style w:type="character" w:styleId="Emphasis">
    <w:name w:val="Emphasis"/>
    <w:basedOn w:val="DefaultParagraphFont"/>
    <w:uiPriority w:val="20"/>
    <w:qFormat/>
    <w:rsid w:val="007B0080"/>
    <w:rPr>
      <w:i/>
      <w:iCs/>
    </w:rPr>
  </w:style>
  <w:style w:type="character" w:styleId="Strong">
    <w:name w:val="Strong"/>
    <w:basedOn w:val="DefaultParagraphFont"/>
    <w:uiPriority w:val="22"/>
    <w:rsid w:val="00192B39"/>
    <w:rPr>
      <w:b/>
      <w:bCs/>
    </w:rPr>
  </w:style>
  <w:style w:type="character" w:styleId="UnresolvedMention">
    <w:name w:val="Unresolved Mention"/>
    <w:basedOn w:val="DefaultParagraphFont"/>
    <w:uiPriority w:val="99"/>
    <w:rsid w:val="000D3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1608">
      <w:bodyDiv w:val="1"/>
      <w:marLeft w:val="0"/>
      <w:marRight w:val="0"/>
      <w:marTop w:val="0"/>
      <w:marBottom w:val="0"/>
      <w:divBdr>
        <w:top w:val="none" w:sz="0" w:space="0" w:color="auto"/>
        <w:left w:val="none" w:sz="0" w:space="0" w:color="auto"/>
        <w:bottom w:val="none" w:sz="0" w:space="0" w:color="auto"/>
        <w:right w:val="none" w:sz="0" w:space="0" w:color="auto"/>
      </w:divBdr>
      <w:divsChild>
        <w:div w:id="401411610">
          <w:marLeft w:val="0"/>
          <w:marRight w:val="0"/>
          <w:marTop w:val="0"/>
          <w:marBottom w:val="0"/>
          <w:divBdr>
            <w:top w:val="none" w:sz="0" w:space="0" w:color="auto"/>
            <w:left w:val="none" w:sz="0" w:space="0" w:color="auto"/>
            <w:bottom w:val="none" w:sz="0" w:space="0" w:color="auto"/>
            <w:right w:val="none" w:sz="0" w:space="0" w:color="auto"/>
          </w:divBdr>
          <w:divsChild>
            <w:div w:id="526917194">
              <w:marLeft w:val="0"/>
              <w:marRight w:val="0"/>
              <w:marTop w:val="0"/>
              <w:marBottom w:val="0"/>
              <w:divBdr>
                <w:top w:val="none" w:sz="0" w:space="0" w:color="auto"/>
                <w:left w:val="none" w:sz="0" w:space="0" w:color="auto"/>
                <w:bottom w:val="none" w:sz="0" w:space="0" w:color="auto"/>
                <w:right w:val="none" w:sz="0" w:space="0" w:color="auto"/>
              </w:divBdr>
              <w:divsChild>
                <w:div w:id="1611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005655">
      <w:bodyDiv w:val="1"/>
      <w:marLeft w:val="0"/>
      <w:marRight w:val="0"/>
      <w:marTop w:val="0"/>
      <w:marBottom w:val="0"/>
      <w:divBdr>
        <w:top w:val="none" w:sz="0" w:space="0" w:color="auto"/>
        <w:left w:val="none" w:sz="0" w:space="0" w:color="auto"/>
        <w:bottom w:val="none" w:sz="0" w:space="0" w:color="auto"/>
        <w:right w:val="none" w:sz="0" w:space="0" w:color="auto"/>
      </w:divBdr>
      <w:divsChild>
        <w:div w:id="1337727482">
          <w:marLeft w:val="0"/>
          <w:marRight w:val="0"/>
          <w:marTop w:val="0"/>
          <w:marBottom w:val="0"/>
          <w:divBdr>
            <w:top w:val="none" w:sz="0" w:space="0" w:color="auto"/>
            <w:left w:val="none" w:sz="0" w:space="0" w:color="auto"/>
            <w:bottom w:val="none" w:sz="0" w:space="0" w:color="auto"/>
            <w:right w:val="none" w:sz="0" w:space="0" w:color="auto"/>
          </w:divBdr>
          <w:divsChild>
            <w:div w:id="1846242360">
              <w:marLeft w:val="0"/>
              <w:marRight w:val="0"/>
              <w:marTop w:val="0"/>
              <w:marBottom w:val="0"/>
              <w:divBdr>
                <w:top w:val="none" w:sz="0" w:space="0" w:color="auto"/>
                <w:left w:val="none" w:sz="0" w:space="0" w:color="auto"/>
                <w:bottom w:val="none" w:sz="0" w:space="0" w:color="auto"/>
                <w:right w:val="none" w:sz="0" w:space="0" w:color="auto"/>
              </w:divBdr>
              <w:divsChild>
                <w:div w:id="174765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681530">
      <w:bodyDiv w:val="1"/>
      <w:marLeft w:val="0"/>
      <w:marRight w:val="0"/>
      <w:marTop w:val="0"/>
      <w:marBottom w:val="0"/>
      <w:divBdr>
        <w:top w:val="none" w:sz="0" w:space="0" w:color="auto"/>
        <w:left w:val="none" w:sz="0" w:space="0" w:color="auto"/>
        <w:bottom w:val="none" w:sz="0" w:space="0" w:color="auto"/>
        <w:right w:val="none" w:sz="0" w:space="0" w:color="auto"/>
      </w:divBdr>
      <w:divsChild>
        <w:div w:id="915896106">
          <w:marLeft w:val="0"/>
          <w:marRight w:val="0"/>
          <w:marTop w:val="0"/>
          <w:marBottom w:val="0"/>
          <w:divBdr>
            <w:top w:val="none" w:sz="0" w:space="0" w:color="auto"/>
            <w:left w:val="none" w:sz="0" w:space="0" w:color="auto"/>
            <w:bottom w:val="none" w:sz="0" w:space="0" w:color="auto"/>
            <w:right w:val="none" w:sz="0" w:space="0" w:color="auto"/>
          </w:divBdr>
          <w:divsChild>
            <w:div w:id="1066803350">
              <w:marLeft w:val="0"/>
              <w:marRight w:val="0"/>
              <w:marTop w:val="0"/>
              <w:marBottom w:val="0"/>
              <w:divBdr>
                <w:top w:val="none" w:sz="0" w:space="0" w:color="auto"/>
                <w:left w:val="none" w:sz="0" w:space="0" w:color="auto"/>
                <w:bottom w:val="none" w:sz="0" w:space="0" w:color="auto"/>
                <w:right w:val="none" w:sz="0" w:space="0" w:color="auto"/>
              </w:divBdr>
              <w:divsChild>
                <w:div w:id="176922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www.gla.ac.uk/visualidentity/downloads/files/School%20of%20Law/BMP/Law_mono.bmp" TargetMode="Externa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2B5D7-4B25-1A4E-BFEB-F015927BA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839</Words>
  <Characters>5360</Characters>
  <Application>Microsoft Office Word</Application>
  <DocSecurity>0</DocSecurity>
  <Lines>109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Finlay</dc:creator>
  <cp:keywords/>
  <dc:description/>
  <cp:lastModifiedBy>Tianshi Li (student)</cp:lastModifiedBy>
  <cp:revision>8</cp:revision>
  <dcterms:created xsi:type="dcterms:W3CDTF">2026-02-08T02:10:00Z</dcterms:created>
  <dcterms:modified xsi:type="dcterms:W3CDTF">2026-02-08T02:15:00Z</dcterms:modified>
</cp:coreProperties>
</file>