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15F5" w14:textId="77777777" w:rsidR="006242A8" w:rsidRPr="004A319B" w:rsidRDefault="006242A8" w:rsidP="006242A8">
      <w:pPr>
        <w:autoSpaceDE w:val="0"/>
        <w:autoSpaceDN w:val="0"/>
        <w:adjustRightInd w:val="0"/>
        <w:jc w:val="center"/>
        <w:rPr>
          <w:rFonts w:ascii="Garamond" w:eastAsia="TTE65D52E0t00" w:hAnsi="Garamond" w:cs="Calibri"/>
          <w:smallCaps/>
        </w:rPr>
      </w:pPr>
      <w:r w:rsidRPr="004A319B">
        <w:rPr>
          <w:rFonts w:ascii="Garamond" w:hAnsi="Garamond" w:cs="Calibri"/>
          <w:b/>
          <w:smallCaps/>
        </w:rPr>
        <w:t>Seminar 3 – Protection against Expropriation</w:t>
      </w:r>
    </w:p>
    <w:p w14:paraId="4FEC1632" w14:textId="77777777" w:rsidR="006242A8" w:rsidRPr="004A319B" w:rsidRDefault="006242A8" w:rsidP="006242A8">
      <w:pPr>
        <w:pStyle w:val="BodyTextIndent"/>
        <w:jc w:val="left"/>
        <w:rPr>
          <w:rFonts w:ascii="Garamond" w:hAnsi="Garamond" w:cs="Calibri"/>
          <w:lang w:val="en-US"/>
        </w:rPr>
      </w:pPr>
    </w:p>
    <w:p w14:paraId="2F1C4CDD" w14:textId="77777777" w:rsidR="006242A8" w:rsidRPr="004A319B" w:rsidRDefault="006242A8" w:rsidP="006242A8">
      <w:pPr>
        <w:pStyle w:val="BodyTextIndent"/>
        <w:jc w:val="left"/>
        <w:rPr>
          <w:rFonts w:ascii="Garamond" w:hAnsi="Garamond" w:cs="Calibri"/>
          <w:b/>
          <w:lang w:val="en-US"/>
        </w:rPr>
      </w:pPr>
      <w:r w:rsidRPr="004A319B">
        <w:rPr>
          <w:rFonts w:ascii="Garamond" w:hAnsi="Garamond" w:cs="Calibri"/>
          <w:b/>
          <w:lang w:val="en-US"/>
        </w:rPr>
        <w:t xml:space="preserve">I. </w:t>
      </w:r>
      <w:r w:rsidRPr="004A319B">
        <w:rPr>
          <w:rFonts w:ascii="Garamond" w:hAnsi="Garamond" w:cs="Calibri"/>
          <w:b/>
          <w:smallCaps/>
          <w:lang w:val="en-US"/>
        </w:rPr>
        <w:t>Essential Reading</w:t>
      </w:r>
    </w:p>
    <w:p w14:paraId="6BBD85CF" w14:textId="77777777" w:rsidR="006242A8" w:rsidRPr="004A319B" w:rsidRDefault="006242A8" w:rsidP="006242A8">
      <w:pPr>
        <w:pStyle w:val="BodyTextIndent"/>
        <w:jc w:val="left"/>
        <w:rPr>
          <w:rFonts w:ascii="Garamond" w:hAnsi="Garamond" w:cs="Calibri"/>
          <w:lang w:val="en-US"/>
        </w:rPr>
      </w:pPr>
    </w:p>
    <w:p w14:paraId="60C359FF" w14:textId="77777777" w:rsidR="006242A8" w:rsidRPr="004A319B" w:rsidRDefault="006242A8" w:rsidP="006242A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b/>
          <w:lang w:val="en-US"/>
        </w:rPr>
      </w:pPr>
      <w:hyperlink r:id="rId5" w:history="1">
        <w:r w:rsidRPr="004A319B">
          <w:rPr>
            <w:rStyle w:val="Hyperlink"/>
            <w:rFonts w:ascii="Garamond" w:eastAsiaTheme="majorEastAsia" w:hAnsi="Garamond" w:cs="Calibri"/>
            <w:lang w:val="en-US"/>
          </w:rPr>
          <w:t xml:space="preserve">Lim, Ho &amp; </w:t>
        </w:r>
        <w:proofErr w:type="spellStart"/>
        <w:r w:rsidRPr="004A319B">
          <w:rPr>
            <w:rStyle w:val="Hyperlink"/>
            <w:rFonts w:ascii="Garamond" w:eastAsiaTheme="majorEastAsia" w:hAnsi="Garamond" w:cs="Calibri"/>
            <w:lang w:val="en-US"/>
          </w:rPr>
          <w:t>Paparinskis</w:t>
        </w:r>
        <w:proofErr w:type="spellEnd"/>
      </w:hyperlink>
      <w:r w:rsidRPr="004A319B">
        <w:rPr>
          <w:rFonts w:ascii="Garamond" w:hAnsi="Garamond" w:cs="Calibri"/>
          <w:lang w:val="en-US"/>
        </w:rPr>
        <w:t>, pp. 399-431</w:t>
      </w:r>
    </w:p>
    <w:p w14:paraId="416078F5" w14:textId="77777777" w:rsidR="006242A8" w:rsidRPr="004A319B" w:rsidRDefault="006242A8" w:rsidP="006242A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b/>
          <w:lang w:val="en-US"/>
        </w:rPr>
      </w:pPr>
      <w:proofErr w:type="spellStart"/>
      <w:r w:rsidRPr="004A319B">
        <w:rPr>
          <w:rFonts w:ascii="Garamond" w:hAnsi="Garamond" w:cs="Calibri"/>
          <w:lang w:val="en-US"/>
        </w:rPr>
        <w:t>Nicholás</w:t>
      </w:r>
      <w:proofErr w:type="spellEnd"/>
      <w:r w:rsidRPr="004A319B">
        <w:rPr>
          <w:rFonts w:ascii="Garamond" w:hAnsi="Garamond" w:cs="Calibri"/>
          <w:lang w:val="en-US"/>
        </w:rPr>
        <w:t xml:space="preserve"> M. Perrone, ‘Expropriation’, in Schneiderman and Van Harten, </w:t>
      </w:r>
      <w:hyperlink r:id="rId6" w:history="1">
        <w:r w:rsidRPr="004A319B">
          <w:rPr>
            <w:rStyle w:val="Hyperlink"/>
            <w:rFonts w:ascii="Garamond" w:eastAsiaTheme="majorEastAsia" w:hAnsi="Garamond" w:cs="Calibri"/>
            <w:i/>
            <w:iCs/>
            <w:lang w:val="en-US"/>
          </w:rPr>
          <w:t>Rethinking Investment Law</w:t>
        </w:r>
      </w:hyperlink>
      <w:r w:rsidRPr="004A319B">
        <w:rPr>
          <w:rFonts w:ascii="Garamond" w:hAnsi="Garamond" w:cs="Calibri"/>
          <w:i/>
          <w:iCs/>
          <w:lang w:val="en-US"/>
        </w:rPr>
        <w:t xml:space="preserve">, </w:t>
      </w:r>
      <w:r w:rsidRPr="004A319B">
        <w:rPr>
          <w:rFonts w:ascii="Garamond" w:hAnsi="Garamond" w:cs="Calibri"/>
          <w:lang w:val="en-US"/>
        </w:rPr>
        <w:t>chapter 4, pp. 64-88.</w:t>
      </w:r>
      <w:r w:rsidRPr="004A319B">
        <w:rPr>
          <w:rFonts w:ascii="Garamond" w:hAnsi="Garamond" w:cs="Calibri"/>
          <w:i/>
          <w:iCs/>
          <w:lang w:val="en-US"/>
        </w:rPr>
        <w:t xml:space="preserve"> </w:t>
      </w:r>
    </w:p>
    <w:p w14:paraId="2D0D295E" w14:textId="77777777" w:rsidR="006242A8" w:rsidRPr="004A319B" w:rsidRDefault="006242A8" w:rsidP="006242A8">
      <w:pPr>
        <w:pStyle w:val="BodyTextIndent"/>
        <w:ind w:left="0" w:firstLine="0"/>
        <w:jc w:val="left"/>
        <w:rPr>
          <w:rFonts w:ascii="Garamond" w:hAnsi="Garamond" w:cs="Calibri"/>
          <w:lang w:val="en-US"/>
        </w:rPr>
      </w:pPr>
    </w:p>
    <w:p w14:paraId="6CF8D73C" w14:textId="77777777" w:rsidR="006242A8" w:rsidRPr="004A319B" w:rsidRDefault="006242A8" w:rsidP="006242A8">
      <w:pPr>
        <w:pStyle w:val="BodyTextIndent"/>
        <w:jc w:val="left"/>
        <w:rPr>
          <w:rFonts w:ascii="Garamond" w:hAnsi="Garamond" w:cs="Calibri"/>
          <w:b/>
          <w:lang w:val="en-US"/>
        </w:rPr>
      </w:pPr>
      <w:r w:rsidRPr="004A319B">
        <w:rPr>
          <w:rFonts w:ascii="Garamond" w:hAnsi="Garamond" w:cs="Calibri"/>
          <w:b/>
          <w:lang w:val="en-US"/>
        </w:rPr>
        <w:t xml:space="preserve">II. </w:t>
      </w:r>
      <w:r w:rsidRPr="004A319B">
        <w:rPr>
          <w:rFonts w:ascii="Garamond" w:hAnsi="Garamond" w:cs="Calibri"/>
          <w:b/>
          <w:smallCaps/>
          <w:lang w:val="en-US"/>
        </w:rPr>
        <w:t>Optional Reading</w:t>
      </w:r>
    </w:p>
    <w:p w14:paraId="2165FBB4" w14:textId="77777777" w:rsidR="006242A8" w:rsidRPr="004A319B" w:rsidRDefault="006242A8" w:rsidP="006242A8">
      <w:pPr>
        <w:pStyle w:val="BodyTextIndent"/>
        <w:jc w:val="left"/>
        <w:rPr>
          <w:rFonts w:ascii="Garamond" w:hAnsi="Garamond" w:cs="Calibri"/>
          <w:lang w:val="en-US"/>
        </w:rPr>
      </w:pPr>
    </w:p>
    <w:p w14:paraId="6075F93D" w14:textId="77777777" w:rsidR="006242A8" w:rsidRPr="004A319B" w:rsidRDefault="006242A8" w:rsidP="006242A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hyperlink r:id="rId7" w:history="1">
        <w:proofErr w:type="spellStart"/>
        <w:r w:rsidRPr="004A319B">
          <w:rPr>
            <w:rStyle w:val="Hyperlink"/>
            <w:rFonts w:ascii="Garamond" w:eastAsiaTheme="majorEastAsia" w:hAnsi="Garamond" w:cs="Calibri"/>
            <w:lang w:val="en-US"/>
          </w:rPr>
          <w:t>Dolzer</w:t>
        </w:r>
        <w:proofErr w:type="spellEnd"/>
        <w:r w:rsidRPr="004A319B">
          <w:rPr>
            <w:rStyle w:val="Hyperlink"/>
            <w:rFonts w:ascii="Garamond" w:eastAsiaTheme="majorEastAsia" w:hAnsi="Garamond" w:cs="Calibri"/>
            <w:lang w:val="en-US"/>
          </w:rPr>
          <w:t>/</w:t>
        </w:r>
        <w:proofErr w:type="spellStart"/>
        <w:r w:rsidRPr="004A319B">
          <w:rPr>
            <w:rStyle w:val="Hyperlink"/>
            <w:rFonts w:ascii="Garamond" w:eastAsiaTheme="majorEastAsia" w:hAnsi="Garamond" w:cs="Calibri"/>
            <w:lang w:val="en-US"/>
          </w:rPr>
          <w:t>Schreuer</w:t>
        </w:r>
        <w:proofErr w:type="spellEnd"/>
      </w:hyperlink>
      <w:r w:rsidRPr="004A319B">
        <w:rPr>
          <w:rFonts w:ascii="Garamond" w:hAnsi="Garamond" w:cs="Calibri"/>
          <w:lang w:val="en-US"/>
        </w:rPr>
        <w:t>, Chapter VI</w:t>
      </w:r>
    </w:p>
    <w:p w14:paraId="28E772A0" w14:textId="77777777" w:rsidR="006242A8" w:rsidRPr="004A319B" w:rsidRDefault="006242A8" w:rsidP="006242A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proofErr w:type="spellStart"/>
      <w:r w:rsidRPr="004A319B">
        <w:rPr>
          <w:rFonts w:ascii="Garamond" w:hAnsi="Garamond" w:cs="Calibri"/>
          <w:lang w:val="en-US"/>
        </w:rPr>
        <w:t>Khachvani</w:t>
      </w:r>
      <w:proofErr w:type="spellEnd"/>
      <w:r w:rsidRPr="004A319B">
        <w:rPr>
          <w:rFonts w:ascii="Garamond" w:hAnsi="Garamond" w:cs="Calibri"/>
          <w:lang w:val="en-US"/>
        </w:rPr>
        <w:t>, Compensation for Unlawful Expropriation: Targeting the Illegality, ICSID Review, Vol. 32, No. 2 (2017) 385-403.</w:t>
      </w:r>
    </w:p>
    <w:p w14:paraId="52253951" w14:textId="77777777" w:rsidR="006242A8" w:rsidRPr="004A319B" w:rsidRDefault="006242A8" w:rsidP="006242A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proofErr w:type="spellStart"/>
      <w:r w:rsidRPr="004A319B">
        <w:rPr>
          <w:rFonts w:ascii="Garamond" w:hAnsi="Garamond" w:cs="Calibri"/>
          <w:lang w:val="en-US"/>
        </w:rPr>
        <w:t>Bonnitcha</w:t>
      </w:r>
      <w:proofErr w:type="spellEnd"/>
      <w:r w:rsidRPr="004A319B">
        <w:rPr>
          <w:rFonts w:ascii="Garamond" w:hAnsi="Garamond" w:cs="Calibri"/>
          <w:lang w:val="en-US"/>
        </w:rPr>
        <w:t xml:space="preserve">, Poulsen, Waibel, </w:t>
      </w:r>
      <w:r w:rsidRPr="004A319B">
        <w:rPr>
          <w:rFonts w:ascii="Garamond" w:hAnsi="Garamond" w:cs="Calibri"/>
          <w:i/>
          <w:iCs/>
          <w:lang w:val="en-US"/>
        </w:rPr>
        <w:t xml:space="preserve">The Political Economy of the Investment Treaty Regime, </w:t>
      </w:r>
      <w:r w:rsidRPr="004A319B">
        <w:rPr>
          <w:rFonts w:ascii="Garamond" w:hAnsi="Garamond" w:cs="Calibri"/>
          <w:lang w:val="en-US"/>
        </w:rPr>
        <w:t>(OUP, 2017), 104-108.</w:t>
      </w:r>
    </w:p>
    <w:p w14:paraId="7914C66B" w14:textId="77777777" w:rsidR="006242A8" w:rsidRPr="004A319B" w:rsidRDefault="006242A8" w:rsidP="006242A8">
      <w:pPr>
        <w:pStyle w:val="BodyTextIndent"/>
        <w:ind w:left="0" w:firstLine="0"/>
        <w:jc w:val="left"/>
        <w:rPr>
          <w:rFonts w:ascii="Garamond" w:hAnsi="Garamond" w:cs="Calibri"/>
        </w:rPr>
      </w:pPr>
    </w:p>
    <w:p w14:paraId="2D0CE996" w14:textId="77777777" w:rsidR="006242A8" w:rsidRPr="004A319B" w:rsidRDefault="006242A8" w:rsidP="006242A8">
      <w:pPr>
        <w:pStyle w:val="BodyTextIndent"/>
        <w:jc w:val="left"/>
        <w:rPr>
          <w:rFonts w:ascii="Garamond" w:hAnsi="Garamond" w:cs="Calibri"/>
          <w:b/>
          <w:caps/>
          <w:lang w:val="en-US"/>
        </w:rPr>
      </w:pPr>
      <w:r w:rsidRPr="004A319B">
        <w:rPr>
          <w:rFonts w:ascii="Garamond" w:hAnsi="Garamond" w:cs="Calibri"/>
          <w:b/>
          <w:caps/>
          <w:lang w:val="en-US"/>
        </w:rPr>
        <w:t xml:space="preserve">III. </w:t>
      </w:r>
      <w:r w:rsidRPr="004A319B">
        <w:rPr>
          <w:rFonts w:ascii="Garamond" w:hAnsi="Garamond" w:cs="Calibri"/>
          <w:b/>
          <w:smallCaps/>
          <w:lang w:val="en-US"/>
        </w:rPr>
        <w:t>Materials (optional)</w:t>
      </w:r>
    </w:p>
    <w:p w14:paraId="6369FCED" w14:textId="77777777" w:rsidR="006242A8" w:rsidRPr="004A319B" w:rsidRDefault="006242A8" w:rsidP="006242A8">
      <w:pPr>
        <w:pStyle w:val="BodyTextIndent"/>
        <w:jc w:val="left"/>
        <w:rPr>
          <w:rFonts w:ascii="Garamond" w:hAnsi="Garamond" w:cs="Calibri"/>
          <w:caps/>
          <w:lang w:val="en-US"/>
        </w:rPr>
      </w:pPr>
    </w:p>
    <w:p w14:paraId="7418FD57" w14:textId="77777777" w:rsidR="006242A8" w:rsidRPr="004A319B" w:rsidRDefault="006242A8" w:rsidP="006242A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r w:rsidRPr="004A319B">
        <w:rPr>
          <w:rFonts w:ascii="Garamond" w:hAnsi="Garamond" w:cs="Calibri"/>
          <w:lang w:val="en-US"/>
        </w:rPr>
        <w:t xml:space="preserve">1959 Germany – Pakistan Treaty, In Tams/Tietje, Documents, p. 361, and available online at </w:t>
      </w:r>
      <w:hyperlink r:id="rId8" w:history="1">
        <w:r w:rsidRPr="004A319B">
          <w:rPr>
            <w:rStyle w:val="Hyperlink"/>
            <w:rFonts w:ascii="Garamond" w:eastAsiaTheme="majorEastAsia" w:hAnsi="Garamond" w:cs="Calibri"/>
            <w:lang w:val="en-US"/>
          </w:rPr>
          <w:t>http://www.iisd.org/pdf/2006/investment_pakistan_germany.pdf</w:t>
        </w:r>
      </w:hyperlink>
    </w:p>
    <w:p w14:paraId="7DBBEC5C" w14:textId="77777777" w:rsidR="006242A8" w:rsidRPr="004A319B" w:rsidRDefault="006242A8" w:rsidP="006242A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r w:rsidRPr="004A319B">
        <w:rPr>
          <w:rFonts w:ascii="Garamond" w:hAnsi="Garamond" w:cs="Calibri"/>
          <w:lang w:val="en-US"/>
        </w:rPr>
        <w:t xml:space="preserve">2012 US Model Bilateral Investment Treaty, </w:t>
      </w:r>
      <w:r w:rsidRPr="004A319B">
        <w:rPr>
          <w:rFonts w:ascii="Garamond" w:hAnsi="Garamond" w:cs="Calibri"/>
        </w:rPr>
        <w:t xml:space="preserve">Documents, p. 432, available online at </w:t>
      </w:r>
      <w:hyperlink r:id="rId9" w:history="1">
        <w:r w:rsidRPr="004A319B">
          <w:rPr>
            <w:rStyle w:val="Hyperlink"/>
            <w:rFonts w:ascii="Garamond" w:eastAsiaTheme="majorEastAsia" w:hAnsi="Garamond" w:cs="Calibri"/>
          </w:rPr>
          <w:t>http://www.state.gov/documents/organization/188371.pdf</w:t>
        </w:r>
      </w:hyperlink>
    </w:p>
    <w:p w14:paraId="2D678C12" w14:textId="77777777" w:rsidR="006242A8" w:rsidRPr="004A319B" w:rsidRDefault="006242A8" w:rsidP="006242A8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  <w:lang w:val="en-US"/>
        </w:rPr>
      </w:pPr>
      <w:r w:rsidRPr="004A319B">
        <w:rPr>
          <w:rFonts w:ascii="Garamond" w:hAnsi="Garamond" w:cs="Calibri"/>
        </w:rPr>
        <w:t xml:space="preserve">Model BITs of selected countries, reproduced at </w:t>
      </w:r>
      <w:hyperlink r:id="rId10" w:history="1">
        <w:r w:rsidRPr="004A319B">
          <w:rPr>
            <w:rStyle w:val="Hyperlink"/>
            <w:rFonts w:ascii="Garamond" w:eastAsiaTheme="majorEastAsia" w:hAnsi="Garamond" w:cs="Calibri"/>
          </w:rPr>
          <w:t>https://www.italaw.com/investment-treaties</w:t>
        </w:r>
      </w:hyperlink>
    </w:p>
    <w:p w14:paraId="787551BF" w14:textId="77777777" w:rsidR="006242A8" w:rsidRPr="004A319B" w:rsidRDefault="006242A8" w:rsidP="006242A8">
      <w:pPr>
        <w:pStyle w:val="BodyTextIndent"/>
        <w:ind w:left="0" w:firstLine="0"/>
        <w:jc w:val="left"/>
        <w:rPr>
          <w:rFonts w:ascii="Garamond" w:hAnsi="Garamond" w:cs="Calibri"/>
        </w:rPr>
      </w:pPr>
    </w:p>
    <w:p w14:paraId="47CE09F7" w14:textId="77777777" w:rsidR="006242A8" w:rsidRPr="004A319B" w:rsidRDefault="006242A8" w:rsidP="006242A8">
      <w:pPr>
        <w:pStyle w:val="BodyTextIndent"/>
        <w:jc w:val="left"/>
        <w:rPr>
          <w:rFonts w:ascii="Garamond" w:hAnsi="Garamond" w:cs="Calibri"/>
          <w:b/>
          <w:lang w:val="en-US"/>
        </w:rPr>
      </w:pPr>
      <w:r w:rsidRPr="004A319B">
        <w:rPr>
          <w:rFonts w:ascii="Garamond" w:hAnsi="Garamond" w:cs="Calibri"/>
          <w:b/>
          <w:lang w:val="en-US"/>
        </w:rPr>
        <w:t xml:space="preserve">IV. </w:t>
      </w:r>
      <w:r w:rsidRPr="004A319B">
        <w:rPr>
          <w:rFonts w:ascii="Garamond" w:hAnsi="Garamond" w:cs="Calibri"/>
          <w:b/>
          <w:smallCaps/>
          <w:lang w:val="en-US"/>
        </w:rPr>
        <w:t>Discussion Prompts</w:t>
      </w:r>
    </w:p>
    <w:p w14:paraId="4661330E" w14:textId="77777777" w:rsidR="006242A8" w:rsidRPr="004A319B" w:rsidRDefault="006242A8" w:rsidP="006242A8">
      <w:pPr>
        <w:pStyle w:val="BodyTextIndent"/>
        <w:jc w:val="left"/>
        <w:rPr>
          <w:rFonts w:ascii="Garamond" w:hAnsi="Garamond" w:cs="Calibri"/>
          <w:lang w:val="en-US"/>
        </w:rPr>
      </w:pPr>
    </w:p>
    <w:p w14:paraId="19F07043" w14:textId="77777777" w:rsidR="006242A8" w:rsidRPr="004A319B" w:rsidRDefault="006242A8" w:rsidP="006242A8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>How do modern BITs (such as those referred to in the ‘Materials section’) define the concept of expropriation?</w:t>
      </w:r>
    </w:p>
    <w:p w14:paraId="380F7B74" w14:textId="77777777" w:rsidR="006242A8" w:rsidRPr="004A319B" w:rsidRDefault="006242A8" w:rsidP="006242A8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>Does international law outlaw expropriation? Why (not)?</w:t>
      </w:r>
    </w:p>
    <w:p w14:paraId="44FFE50F" w14:textId="77777777" w:rsidR="006242A8" w:rsidRPr="004A319B" w:rsidRDefault="006242A8" w:rsidP="006242A8">
      <w:pPr>
        <w:numPr>
          <w:ilvl w:val="0"/>
          <w:numId w:val="1"/>
        </w:numPr>
        <w:autoSpaceDE w:val="0"/>
        <w:autoSpaceDN w:val="0"/>
        <w:adjustRightInd w:val="0"/>
        <w:ind w:left="641" w:hanging="357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>What is an indirect expropriation? How can it be distinguished from regulatory measures adopted by States?</w:t>
      </w:r>
    </w:p>
    <w:p w14:paraId="28035B13" w14:textId="77777777" w:rsidR="006242A8" w:rsidRPr="004A319B" w:rsidRDefault="006242A8" w:rsidP="006242A8">
      <w:pPr>
        <w:numPr>
          <w:ilvl w:val="0"/>
          <w:numId w:val="1"/>
        </w:numPr>
        <w:autoSpaceDE w:val="0"/>
        <w:autoSpaceDN w:val="0"/>
        <w:adjustRightInd w:val="0"/>
        <w:ind w:left="641" w:hanging="357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 xml:space="preserve">In the </w:t>
      </w:r>
      <w:r w:rsidRPr="004A319B">
        <w:rPr>
          <w:rFonts w:ascii="Garamond" w:eastAsia="TTE65D52E0t00" w:hAnsi="Garamond" w:cs="Calibri"/>
          <w:i/>
        </w:rPr>
        <w:t xml:space="preserve">Santa Elena case, </w:t>
      </w:r>
      <w:r w:rsidRPr="004A319B">
        <w:rPr>
          <w:rFonts w:ascii="Garamond" w:eastAsia="TTE65D52E0t00" w:hAnsi="Garamond" w:cs="Calibri"/>
        </w:rPr>
        <w:t>the Tribunal, discussing certain measures allegedly taken to protect the environment, stated: “</w:t>
      </w:r>
      <w:r w:rsidRPr="004A319B">
        <w:rPr>
          <w:rFonts w:ascii="Garamond" w:hAnsi="Garamond" w:cs="Calibri"/>
        </w:rPr>
        <w:t xml:space="preserve">the purpose of protecting the environment for which the Property was taken does not alter the legal character of the taking for which adequate compensation must be paid ... </w:t>
      </w:r>
      <w:r w:rsidRPr="004A319B">
        <w:rPr>
          <w:rFonts w:ascii="Garamond" w:eastAsia="TTE65D52E0t00" w:hAnsi="Garamond" w:cs="Calibri"/>
        </w:rPr>
        <w:t>Expropriatory environmental measures – no matter how laudable and beneficial to society as a whole – are, in this respect, similar to any other expropriatory measures that a state may take in order to implement its policies: where property is expropriated, even for environmental purposes, whether domestic or international, the state’s obligation to pay compensation remains”. Do you agree? Does this statement, in your assessment, reflect a proper understanding of the regime governing expropriation?</w:t>
      </w:r>
    </w:p>
    <w:p w14:paraId="23C9AD96" w14:textId="77777777" w:rsidR="006242A8" w:rsidRPr="004A319B" w:rsidRDefault="006242A8" w:rsidP="006242A8">
      <w:pPr>
        <w:numPr>
          <w:ilvl w:val="0"/>
          <w:numId w:val="1"/>
        </w:numPr>
        <w:autoSpaceDE w:val="0"/>
        <w:autoSpaceDN w:val="0"/>
        <w:adjustRightInd w:val="0"/>
        <w:ind w:left="641" w:hanging="357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 xml:space="preserve">Have a look at Annex A of the 2012 US Model BIT (listed in the ‘Materials section’). How does it relate to the excerpt from the </w:t>
      </w:r>
      <w:r w:rsidRPr="004A319B">
        <w:rPr>
          <w:rFonts w:ascii="Garamond" w:eastAsia="TTE65D52E0t00" w:hAnsi="Garamond" w:cs="Calibri"/>
          <w:i/>
        </w:rPr>
        <w:t xml:space="preserve">Santa Elena case </w:t>
      </w:r>
      <w:r w:rsidRPr="004A319B">
        <w:rPr>
          <w:rFonts w:ascii="Garamond" w:eastAsia="TTE65D52E0t00" w:hAnsi="Garamond" w:cs="Calibri"/>
        </w:rPr>
        <w:t>just quoted? What is, in your assessment, the thinking behind Annex A?</w:t>
      </w:r>
    </w:p>
    <w:p w14:paraId="0B152A7D" w14:textId="77777777" w:rsidR="006242A8" w:rsidRPr="004A319B" w:rsidRDefault="006242A8" w:rsidP="006242A8">
      <w:pPr>
        <w:numPr>
          <w:ilvl w:val="0"/>
          <w:numId w:val="1"/>
        </w:numPr>
        <w:autoSpaceDE w:val="0"/>
        <w:autoSpaceDN w:val="0"/>
        <w:adjustRightInd w:val="0"/>
        <w:ind w:left="641" w:hanging="357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 xml:space="preserve">Have a look at Article 2 of the Charter of Economic Rights and Duties of States, proclaimed as </w:t>
      </w:r>
      <w:hyperlink r:id="rId11" w:history="1">
        <w:r w:rsidRPr="004A319B">
          <w:rPr>
            <w:rStyle w:val="Hyperlink"/>
            <w:rFonts w:ascii="Garamond" w:eastAsia="TTE65D52E0t00" w:hAnsi="Garamond" w:cs="Calibri"/>
          </w:rPr>
          <w:t>General Assembly Res. 3281</w:t>
        </w:r>
      </w:hyperlink>
      <w:r w:rsidRPr="004A319B">
        <w:rPr>
          <w:rFonts w:ascii="Garamond" w:eastAsia="TTE65D52E0t00" w:hAnsi="Garamond" w:cs="Calibri"/>
        </w:rPr>
        <w:t xml:space="preserve"> in 1974, part of a resolution passed by the UN General Assembly circa 50 years ago. How does Article 2 compare to the provisions on expropriations found in contemporary BITs? What are the main differences?</w:t>
      </w:r>
    </w:p>
    <w:p w14:paraId="460BAC77" w14:textId="77777777" w:rsidR="00D02F8C" w:rsidRDefault="00D02F8C"/>
    <w:sectPr w:rsidR="00D02F8C" w:rsidSect="003144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TE65D52E0t00">
    <w:altName w:val="Arial Unicode MS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76717"/>
    <w:multiLevelType w:val="hybridMultilevel"/>
    <w:tmpl w:val="03BE09CC"/>
    <w:lvl w:ilvl="0" w:tplc="294474DE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249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A8"/>
    <w:rsid w:val="000E4C97"/>
    <w:rsid w:val="001A4CDD"/>
    <w:rsid w:val="00244A40"/>
    <w:rsid w:val="00314493"/>
    <w:rsid w:val="006242A8"/>
    <w:rsid w:val="0067096F"/>
    <w:rsid w:val="00797073"/>
    <w:rsid w:val="00814379"/>
    <w:rsid w:val="008904DD"/>
    <w:rsid w:val="00903AF5"/>
    <w:rsid w:val="00D02F8C"/>
    <w:rsid w:val="00F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809BA"/>
  <w15:chartTrackingRefBased/>
  <w15:docId w15:val="{F940AF09-B972-7F42-A018-13C0B909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2A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2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2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2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2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2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2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2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6242A8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6242A8"/>
    <w:pPr>
      <w:ind w:left="540" w:hanging="540"/>
      <w:jc w:val="both"/>
    </w:pPr>
    <w:rPr>
      <w:lang w:val="en-GB" w:eastAsia="it-IT"/>
    </w:rPr>
  </w:style>
  <w:style w:type="character" w:customStyle="1" w:styleId="BodyTextIndentChar">
    <w:name w:val="Body Text Indent Char"/>
    <w:basedOn w:val="DefaultParagraphFont"/>
    <w:link w:val="BodyTextIndent"/>
    <w:rsid w:val="006242A8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isd.org/pdf/2006/investment_pakistan_germany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ncore.lib.gla.ac.uk/iii/encore/record/C__Rb2952208?lang=e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.exlibris.link/wDVcG00l" TargetMode="External"/><Relationship Id="rId11" Type="http://schemas.openxmlformats.org/officeDocument/2006/relationships/hyperlink" Target="http://www.un-documents.net/a29r3281.htm" TargetMode="External"/><Relationship Id="rId5" Type="http://schemas.openxmlformats.org/officeDocument/2006/relationships/hyperlink" Target="https://go.exlibris.link/g2MP9cxF" TargetMode="External"/><Relationship Id="rId10" Type="http://schemas.openxmlformats.org/officeDocument/2006/relationships/hyperlink" Target="https://www.italaw.com/investment-treat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tate.gov/documents/organization/18837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2523</Characters>
  <Application>Microsoft Office Word</Application>
  <DocSecurity>0</DocSecurity>
  <Lines>36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Devaney</dc:creator>
  <cp:keywords/>
  <dc:description/>
  <cp:lastModifiedBy>James Devaney</cp:lastModifiedBy>
  <cp:revision>1</cp:revision>
  <dcterms:created xsi:type="dcterms:W3CDTF">2025-09-28T23:41:00Z</dcterms:created>
  <dcterms:modified xsi:type="dcterms:W3CDTF">2025-09-28T23:41:00Z</dcterms:modified>
</cp:coreProperties>
</file>