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01ED" w14:textId="738F9380" w:rsidR="004708F5" w:rsidRPr="00A75542" w:rsidRDefault="004708F5" w:rsidP="00A75542">
      <w:pPr>
        <w:jc w:val="center"/>
        <w:rPr>
          <w:rFonts w:ascii="Garamond" w:hAnsi="Garamond" w:cs="Calibri"/>
        </w:rPr>
      </w:pPr>
      <w:r w:rsidRPr="004708F5">
        <w:rPr>
          <w:rFonts w:ascii="Garamond" w:hAnsi="Garamond" w:cs="Calibri"/>
          <w:b/>
          <w:smallCaps/>
          <w:lang w:val="en-GB"/>
        </w:rPr>
        <w:t xml:space="preserve">Seminar </w:t>
      </w:r>
      <w:r w:rsidR="00A75542">
        <w:rPr>
          <w:rFonts w:ascii="Garamond" w:hAnsi="Garamond" w:cs="Calibri"/>
          <w:b/>
          <w:smallCaps/>
          <w:lang w:val="en-GB"/>
        </w:rPr>
        <w:t>6</w:t>
      </w:r>
      <w:r w:rsidRPr="004708F5">
        <w:rPr>
          <w:rFonts w:ascii="Garamond" w:hAnsi="Garamond" w:cs="Calibri"/>
          <w:b/>
          <w:smallCaps/>
          <w:lang w:val="en-GB"/>
        </w:rPr>
        <w:t>: Investment Arbitration</w:t>
      </w:r>
    </w:p>
    <w:p w14:paraId="0784B65F" w14:textId="77777777" w:rsidR="004708F5" w:rsidRPr="004708F5" w:rsidRDefault="004708F5" w:rsidP="004708F5">
      <w:pPr>
        <w:rPr>
          <w:rFonts w:ascii="Garamond" w:hAnsi="Garamond" w:cs="Calibri"/>
          <w:bCs/>
          <w:lang w:val="en-GB"/>
        </w:rPr>
      </w:pPr>
    </w:p>
    <w:p w14:paraId="095502C0" w14:textId="77777777" w:rsidR="004708F5" w:rsidRPr="004708F5" w:rsidRDefault="004708F5" w:rsidP="004708F5">
      <w:pPr>
        <w:rPr>
          <w:rFonts w:ascii="Garamond" w:hAnsi="Garamond" w:cs="Calibri"/>
          <w:b/>
          <w:smallCaps/>
          <w:lang w:val="en-GB"/>
        </w:rPr>
      </w:pPr>
      <w:r w:rsidRPr="004708F5">
        <w:rPr>
          <w:rFonts w:ascii="Garamond" w:hAnsi="Garamond" w:cs="Calibri"/>
          <w:b/>
          <w:smallCaps/>
          <w:lang w:val="en-GB"/>
        </w:rPr>
        <w:t>Required Reading</w:t>
      </w:r>
      <w:r w:rsidRPr="004708F5">
        <w:rPr>
          <w:rFonts w:ascii="Garamond" w:hAnsi="Garamond" w:cs="Calibri"/>
          <w:b/>
          <w:smallCaps/>
          <w:lang w:val="en-GB"/>
        </w:rPr>
        <w:br/>
      </w:r>
    </w:p>
    <w:p w14:paraId="48916601" w14:textId="29DDE865" w:rsidR="004708F5" w:rsidRPr="004A319B" w:rsidRDefault="004708F5" w:rsidP="004708F5">
      <w:pPr>
        <w:pStyle w:val="ListParagraph"/>
        <w:numPr>
          <w:ilvl w:val="0"/>
          <w:numId w:val="1"/>
        </w:numPr>
        <w:rPr>
          <w:rFonts w:cs="Calibri"/>
          <w:bCs/>
          <w:sz w:val="24"/>
          <w:szCs w:val="24"/>
        </w:rPr>
      </w:pPr>
      <w:hyperlink r:id="rId5" w:history="1">
        <w:r w:rsidRPr="004A319B">
          <w:rPr>
            <w:rStyle w:val="Hyperlink"/>
            <w:rFonts w:cs="Calibri"/>
            <w:sz w:val="24"/>
            <w:szCs w:val="24"/>
            <w:lang w:val="en-US"/>
          </w:rPr>
          <w:t xml:space="preserve">Lim, Ho &amp; </w:t>
        </w:r>
        <w:proofErr w:type="spellStart"/>
        <w:r w:rsidRPr="004A319B">
          <w:rPr>
            <w:rStyle w:val="Hyperlink"/>
            <w:rFonts w:cs="Calibri"/>
            <w:sz w:val="24"/>
            <w:szCs w:val="24"/>
            <w:lang w:val="en-US"/>
          </w:rPr>
          <w:t>Paparinskis</w:t>
        </w:r>
        <w:proofErr w:type="spellEnd"/>
      </w:hyperlink>
      <w:r w:rsidRPr="004A319B">
        <w:rPr>
          <w:rFonts w:cs="Calibri"/>
          <w:sz w:val="24"/>
          <w:szCs w:val="24"/>
          <w:lang w:val="en-US"/>
        </w:rPr>
        <w:t xml:space="preserve">, </w:t>
      </w:r>
      <w:r w:rsidRPr="004A319B">
        <w:rPr>
          <w:rFonts w:cs="Calibri"/>
          <w:bCs/>
          <w:sz w:val="24"/>
          <w:szCs w:val="24"/>
        </w:rPr>
        <w:t>Ch 4 [27pp] and Ch 5 (</w:t>
      </w:r>
      <w:proofErr w:type="gramStart"/>
      <w:r w:rsidRPr="004A319B">
        <w:rPr>
          <w:rFonts w:cs="Calibri"/>
          <w:bCs/>
          <w:sz w:val="24"/>
          <w:szCs w:val="24"/>
        </w:rPr>
        <w:t>in particular section</w:t>
      </w:r>
      <w:proofErr w:type="gramEnd"/>
      <w:r w:rsidRPr="004A319B">
        <w:rPr>
          <w:rFonts w:cs="Calibri"/>
          <w:bCs/>
          <w:sz w:val="24"/>
          <w:szCs w:val="24"/>
        </w:rPr>
        <w:t xml:space="preserve"> 5 on parallel proceedings) [37pp]</w:t>
      </w:r>
    </w:p>
    <w:p w14:paraId="387145EB" w14:textId="77777777" w:rsidR="004708F5" w:rsidRPr="004708F5" w:rsidRDefault="004708F5" w:rsidP="004708F5">
      <w:pPr>
        <w:rPr>
          <w:rFonts w:ascii="Garamond" w:hAnsi="Garamond" w:cs="Calibri"/>
          <w:bCs/>
          <w:lang w:val="en-GB"/>
        </w:rPr>
      </w:pPr>
    </w:p>
    <w:p w14:paraId="6C942B20" w14:textId="77777777" w:rsidR="004708F5" w:rsidRPr="004708F5" w:rsidRDefault="004708F5" w:rsidP="004708F5">
      <w:pPr>
        <w:rPr>
          <w:rFonts w:ascii="Garamond" w:hAnsi="Garamond" w:cs="Calibri"/>
          <w:bCs/>
          <w:lang w:val="en-GB"/>
        </w:rPr>
      </w:pPr>
    </w:p>
    <w:p w14:paraId="0B4753E7" w14:textId="1A82DA9C" w:rsidR="004708F5" w:rsidRPr="004A319B" w:rsidRDefault="004708F5" w:rsidP="004708F5">
      <w:pPr>
        <w:rPr>
          <w:rFonts w:ascii="Garamond" w:hAnsi="Garamond" w:cs="Calibri"/>
          <w:b/>
          <w:smallCaps/>
          <w:lang w:val="en-GB"/>
        </w:rPr>
      </w:pPr>
      <w:r w:rsidRPr="004708F5">
        <w:rPr>
          <w:rFonts w:ascii="Garamond" w:hAnsi="Garamond" w:cs="Calibri"/>
          <w:b/>
          <w:smallCaps/>
          <w:lang w:val="en-GB"/>
        </w:rPr>
        <w:t>Discussion questions</w:t>
      </w:r>
    </w:p>
    <w:p w14:paraId="645EEB44" w14:textId="77777777" w:rsidR="004708F5" w:rsidRPr="004708F5" w:rsidRDefault="004708F5" w:rsidP="004708F5">
      <w:pPr>
        <w:rPr>
          <w:rFonts w:ascii="Garamond" w:hAnsi="Garamond" w:cs="Calibri"/>
          <w:b/>
          <w:smallCaps/>
          <w:lang w:val="en-GB"/>
        </w:rPr>
      </w:pPr>
    </w:p>
    <w:p w14:paraId="4A6A8056" w14:textId="77777777" w:rsidR="004708F5" w:rsidRPr="004708F5" w:rsidRDefault="004708F5" w:rsidP="004708F5">
      <w:pPr>
        <w:numPr>
          <w:ilvl w:val="0"/>
          <w:numId w:val="2"/>
        </w:numPr>
        <w:rPr>
          <w:rFonts w:ascii="Garamond" w:hAnsi="Garamond" w:cs="Calibri"/>
          <w:bCs/>
          <w:lang w:val="en-GB"/>
        </w:rPr>
      </w:pPr>
      <w:r w:rsidRPr="004708F5">
        <w:rPr>
          <w:rFonts w:ascii="Garamond" w:hAnsi="Garamond" w:cs="Calibri"/>
          <w:bCs/>
          <w:lang w:val="en-GB"/>
        </w:rPr>
        <w:t>What are the dispute settlement options available to investors?</w:t>
      </w:r>
    </w:p>
    <w:p w14:paraId="72CA3EA7" w14:textId="77777777" w:rsidR="004708F5" w:rsidRPr="004708F5" w:rsidRDefault="004708F5" w:rsidP="004708F5">
      <w:pPr>
        <w:numPr>
          <w:ilvl w:val="0"/>
          <w:numId w:val="2"/>
        </w:numPr>
        <w:rPr>
          <w:rFonts w:ascii="Garamond" w:hAnsi="Garamond" w:cs="Calibri"/>
          <w:bCs/>
          <w:lang w:val="en-GB"/>
        </w:rPr>
      </w:pPr>
      <w:r w:rsidRPr="004708F5">
        <w:rPr>
          <w:rFonts w:ascii="Garamond" w:hAnsi="Garamond" w:cs="Calibri"/>
          <w:bCs/>
          <w:lang w:val="en-GB"/>
        </w:rPr>
        <w:t>What is meant by the expression ‘arbitration without privity’?</w:t>
      </w:r>
    </w:p>
    <w:p w14:paraId="53D27D96" w14:textId="77777777" w:rsidR="004708F5" w:rsidRPr="004708F5" w:rsidRDefault="004708F5" w:rsidP="004708F5">
      <w:pPr>
        <w:numPr>
          <w:ilvl w:val="0"/>
          <w:numId w:val="2"/>
        </w:numPr>
        <w:rPr>
          <w:rFonts w:ascii="Garamond" w:hAnsi="Garamond" w:cs="Calibri"/>
          <w:bCs/>
          <w:lang w:val="en-GB"/>
        </w:rPr>
      </w:pPr>
      <w:r w:rsidRPr="004708F5">
        <w:rPr>
          <w:rFonts w:ascii="Garamond" w:hAnsi="Garamond" w:cs="Calibri"/>
          <w:bCs/>
          <w:lang w:val="en-GB"/>
        </w:rPr>
        <w:t>What differences exist between ICSID and Ad Hoc arbitrations?</w:t>
      </w:r>
    </w:p>
    <w:p w14:paraId="4D28B324" w14:textId="77777777" w:rsidR="004708F5" w:rsidRPr="004708F5" w:rsidRDefault="004708F5" w:rsidP="004708F5">
      <w:pPr>
        <w:numPr>
          <w:ilvl w:val="0"/>
          <w:numId w:val="2"/>
        </w:numPr>
        <w:rPr>
          <w:rFonts w:ascii="Garamond" w:hAnsi="Garamond" w:cs="Calibri"/>
          <w:bCs/>
          <w:lang w:val="en-GB"/>
        </w:rPr>
      </w:pPr>
      <w:r w:rsidRPr="004708F5">
        <w:rPr>
          <w:rFonts w:ascii="Garamond" w:hAnsi="Garamond" w:cs="Calibri"/>
          <w:bCs/>
          <w:lang w:val="en-GB"/>
        </w:rPr>
        <w:t>What is a ‘fork-in-the-road’ clause?</w:t>
      </w:r>
    </w:p>
    <w:p w14:paraId="2D6D4924" w14:textId="77777777" w:rsidR="004708F5" w:rsidRPr="004708F5" w:rsidRDefault="004708F5" w:rsidP="004708F5">
      <w:pPr>
        <w:numPr>
          <w:ilvl w:val="0"/>
          <w:numId w:val="2"/>
        </w:numPr>
        <w:rPr>
          <w:rFonts w:ascii="Garamond" w:hAnsi="Garamond" w:cs="Calibri"/>
          <w:bCs/>
          <w:lang w:val="en-GB"/>
        </w:rPr>
      </w:pPr>
      <w:r w:rsidRPr="004708F5">
        <w:rPr>
          <w:rFonts w:ascii="Garamond" w:hAnsi="Garamond" w:cs="Calibri"/>
          <w:bCs/>
          <w:lang w:val="en-GB"/>
        </w:rPr>
        <w:t>What problems arise from parallel proceedings? How do tribunals approach the problem of parallel proceedings?</w:t>
      </w:r>
    </w:p>
    <w:p w14:paraId="549BB47B" w14:textId="77777777" w:rsidR="004708F5" w:rsidRPr="004708F5" w:rsidRDefault="004708F5" w:rsidP="004708F5">
      <w:pPr>
        <w:rPr>
          <w:rFonts w:ascii="Garamond" w:hAnsi="Garamond" w:cs="Calibri"/>
          <w:bCs/>
          <w:lang w:val="en-GB"/>
        </w:rPr>
      </w:pPr>
    </w:p>
    <w:p w14:paraId="7467BAAE" w14:textId="77777777" w:rsidR="004708F5" w:rsidRPr="004708F5" w:rsidRDefault="004708F5" w:rsidP="004708F5">
      <w:pPr>
        <w:rPr>
          <w:rFonts w:ascii="Garamond" w:hAnsi="Garamond" w:cs="Calibri"/>
          <w:bCs/>
          <w:lang w:val="en-GB"/>
        </w:rPr>
      </w:pPr>
    </w:p>
    <w:p w14:paraId="4A71A9E9" w14:textId="77777777" w:rsidR="004708F5" w:rsidRPr="004708F5" w:rsidRDefault="004708F5" w:rsidP="004708F5">
      <w:pPr>
        <w:rPr>
          <w:rFonts w:ascii="Garamond" w:hAnsi="Garamond" w:cs="Calibri"/>
          <w:b/>
          <w:smallCaps/>
          <w:lang w:val="en-GB"/>
        </w:rPr>
      </w:pPr>
      <w:r w:rsidRPr="004708F5">
        <w:rPr>
          <w:rFonts w:ascii="Garamond" w:hAnsi="Garamond" w:cs="Calibri"/>
          <w:b/>
          <w:smallCaps/>
          <w:lang w:val="en-GB"/>
        </w:rPr>
        <w:t>Additional Reading</w:t>
      </w:r>
    </w:p>
    <w:p w14:paraId="05901D80" w14:textId="77777777" w:rsidR="004708F5" w:rsidRPr="004708F5" w:rsidRDefault="004708F5" w:rsidP="004708F5">
      <w:pPr>
        <w:rPr>
          <w:rFonts w:ascii="Garamond" w:hAnsi="Garamond" w:cs="Calibri"/>
          <w:bCs/>
          <w:lang w:val="en-GB"/>
        </w:rPr>
      </w:pPr>
    </w:p>
    <w:p w14:paraId="4A280B60" w14:textId="77777777" w:rsidR="004708F5" w:rsidRPr="004A319B" w:rsidRDefault="004708F5" w:rsidP="004708F5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hyperlink r:id="rId6" w:history="1">
        <w:r w:rsidRPr="004A319B">
          <w:rPr>
            <w:rStyle w:val="Hyperlink"/>
            <w:rFonts w:cs="Calibri"/>
            <w:sz w:val="24"/>
            <w:szCs w:val="24"/>
            <w:lang w:val="de-DE"/>
          </w:rPr>
          <w:t>Dolzer/</w:t>
        </w:r>
        <w:proofErr w:type="spellStart"/>
        <w:r w:rsidRPr="004A319B">
          <w:rPr>
            <w:rStyle w:val="Hyperlink"/>
            <w:rFonts w:cs="Calibri"/>
            <w:sz w:val="24"/>
            <w:szCs w:val="24"/>
            <w:lang w:val="de-DE"/>
          </w:rPr>
          <w:t>Schreuer</w:t>
        </w:r>
        <w:proofErr w:type="spellEnd"/>
        <w:r w:rsidRPr="004A319B">
          <w:rPr>
            <w:rStyle w:val="Hyperlink"/>
            <w:rFonts w:cs="Calibri"/>
            <w:sz w:val="24"/>
            <w:szCs w:val="24"/>
            <w:lang w:val="de-DE"/>
          </w:rPr>
          <w:t>/Kriebaum</w:t>
        </w:r>
      </w:hyperlink>
      <w:r w:rsidRPr="004A319B">
        <w:rPr>
          <w:rFonts w:cs="Calibri"/>
          <w:sz w:val="24"/>
          <w:szCs w:val="24"/>
          <w:lang w:val="de-DE"/>
        </w:rPr>
        <w:t xml:space="preserve">, </w:t>
      </w:r>
      <w:proofErr w:type="spellStart"/>
      <w:r w:rsidRPr="004A319B">
        <w:rPr>
          <w:rFonts w:cs="Calibri"/>
          <w:sz w:val="24"/>
          <w:szCs w:val="24"/>
          <w:lang w:val="de-DE"/>
        </w:rPr>
        <w:t>chapter</w:t>
      </w:r>
      <w:proofErr w:type="spellEnd"/>
      <w:r w:rsidRPr="004A319B">
        <w:rPr>
          <w:rFonts w:cs="Calibri"/>
          <w:sz w:val="24"/>
          <w:szCs w:val="24"/>
          <w:lang w:val="de-DE"/>
        </w:rPr>
        <w:t xml:space="preserve"> 12, </w:t>
      </w:r>
      <w:r w:rsidRPr="004A319B">
        <w:rPr>
          <w:rFonts w:cs="Calibri"/>
          <w:sz w:val="24"/>
          <w:szCs w:val="24"/>
          <w:lang w:val="en-US"/>
        </w:rPr>
        <w:t>pp 401-517</w:t>
      </w:r>
    </w:p>
    <w:p w14:paraId="3D62682B" w14:textId="77777777" w:rsidR="004708F5" w:rsidRPr="004A319B" w:rsidRDefault="004708F5" w:rsidP="004708F5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 w:rsidRPr="004A319B">
        <w:rPr>
          <w:rFonts w:cs="Calibri"/>
          <w:sz w:val="24"/>
          <w:szCs w:val="24"/>
        </w:rPr>
        <w:t xml:space="preserve">Charles Brower, ‘ISDS at a crossroads’ (2018) 112 Proceedings of the ASIL Annual Meeting 191, DOI: </w:t>
      </w:r>
      <w:hyperlink r:id="rId7" w:history="1">
        <w:r w:rsidRPr="004A319B">
          <w:rPr>
            <w:rStyle w:val="Hyperlink"/>
            <w:rFonts w:cs="Calibri"/>
            <w:sz w:val="24"/>
            <w:szCs w:val="24"/>
          </w:rPr>
          <w:t>https://doi.org/10.1017/amp.2019.56</w:t>
        </w:r>
      </w:hyperlink>
    </w:p>
    <w:p w14:paraId="25F66593" w14:textId="77777777" w:rsidR="004708F5" w:rsidRPr="004A319B" w:rsidRDefault="004708F5" w:rsidP="004708F5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 w:rsidRPr="004A319B">
        <w:rPr>
          <w:rFonts w:cs="Calibri"/>
          <w:sz w:val="24"/>
          <w:szCs w:val="24"/>
        </w:rPr>
        <w:t>M Waibel, ‘</w:t>
      </w:r>
      <w:hyperlink r:id="rId8" w:history="1">
        <w:r w:rsidRPr="004A319B">
          <w:rPr>
            <w:rStyle w:val="Hyperlink"/>
            <w:rFonts w:cs="Calibri"/>
            <w:sz w:val="24"/>
            <w:szCs w:val="24"/>
          </w:rPr>
          <w:t>Coordinating Adjudication Processes</w:t>
        </w:r>
      </w:hyperlink>
      <w:r w:rsidRPr="004A319B">
        <w:rPr>
          <w:rFonts w:cs="Calibri"/>
          <w:i/>
          <w:iCs/>
          <w:sz w:val="24"/>
          <w:szCs w:val="24"/>
        </w:rPr>
        <w:t xml:space="preserve">’, </w:t>
      </w:r>
      <w:r w:rsidRPr="004A319B">
        <w:rPr>
          <w:rFonts w:cs="Calibri"/>
          <w:sz w:val="24"/>
          <w:szCs w:val="24"/>
        </w:rPr>
        <w:t xml:space="preserve">in Z Douglas, J </w:t>
      </w:r>
      <w:proofErr w:type="spellStart"/>
      <w:r w:rsidRPr="004A319B">
        <w:rPr>
          <w:rFonts w:cs="Calibri"/>
          <w:sz w:val="24"/>
          <w:szCs w:val="24"/>
        </w:rPr>
        <w:t>Pauwelyn</w:t>
      </w:r>
      <w:proofErr w:type="spellEnd"/>
      <w:r w:rsidRPr="004A319B">
        <w:rPr>
          <w:rFonts w:cs="Calibri"/>
          <w:sz w:val="24"/>
          <w:szCs w:val="24"/>
        </w:rPr>
        <w:t xml:space="preserve"> and JE </w:t>
      </w:r>
      <w:proofErr w:type="spellStart"/>
      <w:r w:rsidRPr="004A319B">
        <w:rPr>
          <w:rFonts w:cs="Calibri"/>
          <w:sz w:val="24"/>
          <w:szCs w:val="24"/>
        </w:rPr>
        <w:t>Viñuales</w:t>
      </w:r>
      <w:proofErr w:type="spellEnd"/>
      <w:r w:rsidRPr="004A319B">
        <w:rPr>
          <w:rFonts w:cs="Calibri"/>
          <w:sz w:val="24"/>
          <w:szCs w:val="24"/>
        </w:rPr>
        <w:t xml:space="preserve"> </w:t>
      </w:r>
      <w:r w:rsidRPr="004A319B">
        <w:rPr>
          <w:rFonts w:cs="Calibri"/>
          <w:i/>
          <w:iCs/>
          <w:sz w:val="24"/>
          <w:szCs w:val="24"/>
        </w:rPr>
        <w:t xml:space="preserve">(eds.) The Foundations of International Investment Law: Bringing Theory Into Practice </w:t>
      </w:r>
      <w:r w:rsidRPr="004A319B">
        <w:rPr>
          <w:rFonts w:cs="Calibri"/>
          <w:sz w:val="24"/>
          <w:szCs w:val="24"/>
        </w:rPr>
        <w:t xml:space="preserve">(Oxford University Press, 2014), 499-529 </w:t>
      </w:r>
    </w:p>
    <w:p w14:paraId="50A79BC5" w14:textId="15245D2C" w:rsidR="004708F5" w:rsidRPr="004A319B" w:rsidRDefault="004708F5" w:rsidP="004708F5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proofErr w:type="spellStart"/>
      <w:r w:rsidRPr="004A319B">
        <w:rPr>
          <w:rFonts w:cs="Calibri"/>
          <w:sz w:val="24"/>
          <w:szCs w:val="24"/>
        </w:rPr>
        <w:t>Schreuer</w:t>
      </w:r>
      <w:proofErr w:type="spellEnd"/>
      <w:r w:rsidRPr="004A319B">
        <w:rPr>
          <w:rFonts w:cs="Calibri"/>
          <w:sz w:val="24"/>
          <w:szCs w:val="24"/>
        </w:rPr>
        <w:t xml:space="preserve">, Christoph, 'Consent to Arbitration', in Peter </w:t>
      </w:r>
      <w:proofErr w:type="spellStart"/>
      <w:r w:rsidRPr="004A319B">
        <w:rPr>
          <w:rFonts w:cs="Calibri"/>
          <w:sz w:val="24"/>
          <w:szCs w:val="24"/>
        </w:rPr>
        <w:t>Muchlinski</w:t>
      </w:r>
      <w:proofErr w:type="spellEnd"/>
      <w:r w:rsidRPr="004A319B">
        <w:rPr>
          <w:rFonts w:cs="Calibri"/>
          <w:sz w:val="24"/>
          <w:szCs w:val="24"/>
        </w:rPr>
        <w:t xml:space="preserve">, Federico </w:t>
      </w:r>
      <w:proofErr w:type="spellStart"/>
      <w:r w:rsidRPr="004A319B">
        <w:rPr>
          <w:rFonts w:cs="Calibri"/>
          <w:sz w:val="24"/>
          <w:szCs w:val="24"/>
        </w:rPr>
        <w:t>Ortino</w:t>
      </w:r>
      <w:proofErr w:type="spellEnd"/>
      <w:r w:rsidRPr="004A319B">
        <w:rPr>
          <w:rFonts w:cs="Calibri"/>
          <w:sz w:val="24"/>
          <w:szCs w:val="24"/>
        </w:rPr>
        <w:t xml:space="preserve">, and Christoph </w:t>
      </w:r>
      <w:proofErr w:type="spellStart"/>
      <w:r w:rsidRPr="004A319B">
        <w:rPr>
          <w:rFonts w:cs="Calibri"/>
          <w:sz w:val="24"/>
          <w:szCs w:val="24"/>
        </w:rPr>
        <w:t>Schreuer</w:t>
      </w:r>
      <w:proofErr w:type="spellEnd"/>
      <w:r w:rsidRPr="004A319B">
        <w:rPr>
          <w:rFonts w:cs="Calibri"/>
          <w:sz w:val="24"/>
          <w:szCs w:val="24"/>
        </w:rPr>
        <w:t xml:space="preserve"> (eds), </w:t>
      </w:r>
      <w:r w:rsidRPr="004A319B">
        <w:rPr>
          <w:rFonts w:cs="Calibri"/>
          <w:i/>
          <w:iCs/>
          <w:sz w:val="24"/>
          <w:szCs w:val="24"/>
        </w:rPr>
        <w:t>The Oxford Handbook of International Investment Law</w:t>
      </w:r>
      <w:r w:rsidRPr="004A319B">
        <w:rPr>
          <w:rFonts w:cs="Calibri"/>
          <w:sz w:val="24"/>
          <w:szCs w:val="24"/>
        </w:rPr>
        <w:t xml:space="preserve"> (</w:t>
      </w:r>
      <w:hyperlink r:id="rId9" w:history="1">
        <w:r w:rsidRPr="004A319B">
          <w:rPr>
            <w:rStyle w:val="Hyperlink"/>
            <w:rFonts w:cs="Calibri"/>
            <w:sz w:val="24"/>
            <w:szCs w:val="24"/>
          </w:rPr>
          <w:t>here</w:t>
        </w:r>
      </w:hyperlink>
      <w:r w:rsidRPr="004A319B">
        <w:rPr>
          <w:rFonts w:cs="Calibri"/>
          <w:sz w:val="24"/>
          <w:szCs w:val="24"/>
        </w:rPr>
        <w:t>)</w:t>
      </w:r>
    </w:p>
    <w:p w14:paraId="490FBCA4" w14:textId="77777777" w:rsidR="004708F5" w:rsidRPr="004708F5" w:rsidRDefault="004708F5" w:rsidP="004708F5">
      <w:pPr>
        <w:rPr>
          <w:rFonts w:ascii="Garamond" w:hAnsi="Garamond" w:cs="Calibri"/>
          <w:b/>
          <w:bCs/>
          <w:lang w:val="en-GB"/>
        </w:rPr>
      </w:pPr>
    </w:p>
    <w:p w14:paraId="7BC4C4E1" w14:textId="77777777" w:rsidR="004708F5" w:rsidRPr="004708F5" w:rsidRDefault="004708F5" w:rsidP="004708F5">
      <w:pPr>
        <w:rPr>
          <w:rFonts w:ascii="Garamond" w:hAnsi="Garamond" w:cs="Calibri"/>
          <w:smallCaps/>
          <w:lang w:val="en-GB"/>
        </w:rPr>
      </w:pPr>
      <w:r w:rsidRPr="004708F5">
        <w:rPr>
          <w:rFonts w:ascii="Garamond" w:hAnsi="Garamond" w:cs="Calibri"/>
          <w:b/>
          <w:bCs/>
          <w:smallCaps/>
          <w:lang w:val="en-GB"/>
        </w:rPr>
        <w:t>Materials</w:t>
      </w:r>
    </w:p>
    <w:p w14:paraId="46C1DBC2" w14:textId="77777777" w:rsidR="004708F5" w:rsidRPr="004708F5" w:rsidRDefault="004708F5" w:rsidP="004708F5">
      <w:pPr>
        <w:rPr>
          <w:rFonts w:ascii="Garamond" w:hAnsi="Garamond" w:cs="Calibri"/>
          <w:lang w:val="en-GB"/>
        </w:rPr>
      </w:pPr>
    </w:p>
    <w:p w14:paraId="16186A3C" w14:textId="4914700D" w:rsidR="004708F5" w:rsidRPr="004A319B" w:rsidRDefault="004708F5" w:rsidP="004708F5">
      <w:pPr>
        <w:pStyle w:val="ListParagraph"/>
        <w:numPr>
          <w:ilvl w:val="0"/>
          <w:numId w:val="1"/>
        </w:numPr>
        <w:rPr>
          <w:rFonts w:cs="Calibri"/>
          <w:sz w:val="24"/>
          <w:szCs w:val="24"/>
        </w:rPr>
      </w:pPr>
      <w:r w:rsidRPr="004A319B">
        <w:rPr>
          <w:rFonts w:cs="Calibri"/>
          <w:sz w:val="24"/>
          <w:szCs w:val="24"/>
        </w:rPr>
        <w:t xml:space="preserve">ICSID Convention 1965 and ICSID Regulations and Rules as amended effective July 1, 2022 (available </w:t>
      </w:r>
      <w:hyperlink r:id="rId10" w:history="1">
        <w:r w:rsidRPr="004A319B">
          <w:rPr>
            <w:rStyle w:val="Hyperlink"/>
            <w:rFonts w:cs="Calibri"/>
            <w:sz w:val="24"/>
            <w:szCs w:val="24"/>
          </w:rPr>
          <w:t>here</w:t>
        </w:r>
      </w:hyperlink>
      <w:r w:rsidRPr="004A319B">
        <w:rPr>
          <w:rFonts w:cs="Calibri"/>
          <w:sz w:val="24"/>
          <w:szCs w:val="24"/>
        </w:rPr>
        <w:t>).</w:t>
      </w:r>
    </w:p>
    <w:p w14:paraId="41B04196" w14:textId="77777777" w:rsidR="004708F5" w:rsidRPr="004708F5" w:rsidRDefault="004708F5" w:rsidP="004708F5">
      <w:pPr>
        <w:rPr>
          <w:rFonts w:ascii="Garamond" w:hAnsi="Garamond" w:cs="Calibri"/>
          <w:lang w:val="en-GB"/>
        </w:rPr>
      </w:pPr>
    </w:p>
    <w:p w14:paraId="0FF44B18" w14:textId="407C3571" w:rsidR="00A745D8" w:rsidRPr="004A319B" w:rsidRDefault="00A745D8" w:rsidP="00A75542">
      <w:pPr>
        <w:rPr>
          <w:rFonts w:ascii="Garamond" w:hAnsi="Garamond" w:cs="Calibri"/>
        </w:rPr>
      </w:pPr>
    </w:p>
    <w:sectPr w:rsidR="00A745D8" w:rsidRPr="004A319B" w:rsidSect="003144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53C9D"/>
    <w:multiLevelType w:val="hybridMultilevel"/>
    <w:tmpl w:val="154EA970"/>
    <w:lvl w:ilvl="0" w:tplc="294474DE">
      <w:start w:val="1"/>
      <w:numFmt w:val="bullet"/>
      <w:lvlText w:val="-"/>
      <w:lvlJc w:val="left"/>
      <w:pPr>
        <w:ind w:left="1004" w:hanging="360"/>
      </w:pPr>
      <w:rPr>
        <w:rFonts w:ascii="Arial" w:eastAsia="Times New Roman" w:hAnsi="Arial" w:cs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BBB555C"/>
    <w:multiLevelType w:val="hybridMultilevel"/>
    <w:tmpl w:val="17927B9C"/>
    <w:lvl w:ilvl="0" w:tplc="4CDE74BE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A356C"/>
    <w:multiLevelType w:val="hybridMultilevel"/>
    <w:tmpl w:val="156422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76717"/>
    <w:multiLevelType w:val="hybridMultilevel"/>
    <w:tmpl w:val="03BE09CC"/>
    <w:lvl w:ilvl="0" w:tplc="294474DE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2497262">
    <w:abstractNumId w:val="3"/>
  </w:num>
  <w:num w:numId="2" w16cid:durableId="689642487">
    <w:abstractNumId w:val="2"/>
  </w:num>
  <w:num w:numId="3" w16cid:durableId="452866768">
    <w:abstractNumId w:val="1"/>
  </w:num>
  <w:num w:numId="4" w16cid:durableId="65715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09"/>
    <w:rsid w:val="000830FC"/>
    <w:rsid w:val="00196B78"/>
    <w:rsid w:val="00220653"/>
    <w:rsid w:val="00275CB9"/>
    <w:rsid w:val="002D4335"/>
    <w:rsid w:val="00314493"/>
    <w:rsid w:val="003B5309"/>
    <w:rsid w:val="0042760C"/>
    <w:rsid w:val="004708F5"/>
    <w:rsid w:val="004A319B"/>
    <w:rsid w:val="00555A6B"/>
    <w:rsid w:val="006766EE"/>
    <w:rsid w:val="006A6E00"/>
    <w:rsid w:val="00814379"/>
    <w:rsid w:val="008904DD"/>
    <w:rsid w:val="00A52AE4"/>
    <w:rsid w:val="00A54D59"/>
    <w:rsid w:val="00A745D8"/>
    <w:rsid w:val="00A75542"/>
    <w:rsid w:val="00AB365F"/>
    <w:rsid w:val="00D35D2F"/>
    <w:rsid w:val="00D55996"/>
    <w:rsid w:val="00D953B3"/>
    <w:rsid w:val="00E627C0"/>
    <w:rsid w:val="00F3642D"/>
    <w:rsid w:val="00F550DF"/>
    <w:rsid w:val="00F74BFB"/>
    <w:rsid w:val="00F8794F"/>
    <w:rsid w:val="00FD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1CD4"/>
  <w15:chartTrackingRefBased/>
  <w15:docId w15:val="{D676B1DD-8EB3-DE48-B80D-07F4FE845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309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B5309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3B5309"/>
    <w:pPr>
      <w:ind w:left="540" w:hanging="540"/>
      <w:jc w:val="both"/>
    </w:pPr>
    <w:rPr>
      <w:lang w:val="en-GB" w:eastAsia="it-IT"/>
    </w:rPr>
  </w:style>
  <w:style w:type="character" w:customStyle="1" w:styleId="BodyTextIndentChar">
    <w:name w:val="Body Text Indent Char"/>
    <w:basedOn w:val="DefaultParagraphFont"/>
    <w:link w:val="BodyTextIndent"/>
    <w:rsid w:val="003B5309"/>
    <w:rPr>
      <w:rFonts w:ascii="Times New Roman" w:eastAsia="Times New Roman" w:hAnsi="Times New Roman" w:cs="Times New Roman"/>
      <w:lang w:eastAsia="it-IT"/>
    </w:rPr>
  </w:style>
  <w:style w:type="character" w:styleId="Strong">
    <w:name w:val="Strong"/>
    <w:uiPriority w:val="22"/>
    <w:qFormat/>
    <w:rsid w:val="00A745D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745D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6EE"/>
    <w:rPr>
      <w:color w:val="605E5C"/>
      <w:shd w:val="clear" w:color="auto" w:fill="E1DFDD"/>
    </w:rPr>
  </w:style>
  <w:style w:type="character" w:styleId="Emphasis">
    <w:name w:val="Emphasis"/>
    <w:qFormat/>
    <w:rsid w:val="006766EE"/>
    <w:rPr>
      <w:i/>
      <w:iCs/>
    </w:rPr>
  </w:style>
  <w:style w:type="character" w:customStyle="1" w:styleId="apple-converted-space">
    <w:name w:val="apple-converted-space"/>
    <w:rsid w:val="006766EE"/>
  </w:style>
  <w:style w:type="character" w:customStyle="1" w:styleId="apple-style-span">
    <w:name w:val="apple-style-span"/>
    <w:rsid w:val="006766EE"/>
  </w:style>
  <w:style w:type="paragraph" w:styleId="ListParagraph">
    <w:name w:val="List Paragraph"/>
    <w:basedOn w:val="Normal"/>
    <w:uiPriority w:val="34"/>
    <w:qFormat/>
    <w:rsid w:val="00A52AE4"/>
    <w:pPr>
      <w:ind w:left="720"/>
      <w:contextualSpacing/>
    </w:pPr>
    <w:rPr>
      <w:rFonts w:ascii="Garamond" w:hAnsi="Garamond"/>
      <w:sz w:val="22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exlibris.link/sqWBQZp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7/amp.2019.5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il.ouplaw.com/display/10.1093/law/9780192857804.001.0001/law-978019285780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o.exlibris.link/g2MP9cxF" TargetMode="External"/><Relationship Id="rId10" Type="http://schemas.openxmlformats.org/officeDocument/2006/relationships/hyperlink" Target="https://icsid.worldbank.org/sites/default/files/documents/ICSID_Conventio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exlibris.link/Ycdbn4k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Devaney</dc:creator>
  <cp:keywords/>
  <dc:description/>
  <cp:lastModifiedBy>Joseph Crampin</cp:lastModifiedBy>
  <cp:revision>3</cp:revision>
  <dcterms:created xsi:type="dcterms:W3CDTF">2025-10-22T09:20:00Z</dcterms:created>
  <dcterms:modified xsi:type="dcterms:W3CDTF">2025-10-22T09:20:00Z</dcterms:modified>
</cp:coreProperties>
</file>