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B83B" w14:textId="77777777" w:rsidR="000A0DFA" w:rsidRPr="003911EF" w:rsidRDefault="000A0DFA" w:rsidP="000A0DFA">
      <w:pPr>
        <w:jc w:val="center"/>
        <w:rPr>
          <w:rFonts w:ascii="Calibri" w:hAnsi="Calibri" w:cs="Calibri"/>
          <w:b/>
          <w:smallCaps/>
        </w:rPr>
      </w:pPr>
      <w:r w:rsidRPr="003911EF">
        <w:rPr>
          <w:rFonts w:ascii="Calibri" w:hAnsi="Calibri" w:cs="Calibri"/>
          <w:b/>
          <w:smallCaps/>
        </w:rPr>
        <w:t>Seminar 9 – The ‘legitimacy crisis’ in international investment law</w:t>
      </w:r>
    </w:p>
    <w:p w14:paraId="11616DA1" w14:textId="77777777" w:rsidR="000A0DFA" w:rsidRPr="003911EF" w:rsidRDefault="000A0DFA" w:rsidP="000A0DFA">
      <w:pPr>
        <w:rPr>
          <w:rFonts w:ascii="Calibri" w:hAnsi="Calibri" w:cs="Calibri"/>
          <w:b/>
        </w:rPr>
      </w:pPr>
    </w:p>
    <w:p w14:paraId="61B763D2" w14:textId="77777777" w:rsidR="000A0DFA" w:rsidRPr="003911EF" w:rsidRDefault="000A0DFA" w:rsidP="000A0DFA">
      <w:pPr>
        <w:rPr>
          <w:rFonts w:ascii="Calibri" w:hAnsi="Calibri" w:cs="Calibri"/>
          <w:b/>
        </w:rPr>
      </w:pPr>
    </w:p>
    <w:p w14:paraId="537D612E" w14:textId="77777777" w:rsidR="000A0DFA" w:rsidRPr="003911EF" w:rsidRDefault="000A0DFA" w:rsidP="000A0DFA">
      <w:pPr>
        <w:pStyle w:val="BodyTextIndent"/>
        <w:rPr>
          <w:rFonts w:ascii="Calibri" w:hAnsi="Calibri" w:cs="Calibri"/>
          <w:b/>
        </w:rPr>
      </w:pPr>
      <w:r w:rsidRPr="003911EF">
        <w:rPr>
          <w:rFonts w:ascii="Calibri" w:hAnsi="Calibri" w:cs="Calibri"/>
          <w:b/>
        </w:rPr>
        <w:t xml:space="preserve">I. </w:t>
      </w:r>
      <w:r w:rsidRPr="003911EF">
        <w:rPr>
          <w:rFonts w:ascii="Calibri" w:hAnsi="Calibri" w:cs="Calibri"/>
          <w:b/>
          <w:smallCaps/>
          <w:lang w:val="en-US"/>
        </w:rPr>
        <w:t>Essential Reading</w:t>
      </w:r>
    </w:p>
    <w:p w14:paraId="0C05FF26" w14:textId="77777777" w:rsidR="000A0DFA" w:rsidRPr="003911EF" w:rsidRDefault="000A0DFA" w:rsidP="000A0DFA">
      <w:pPr>
        <w:pStyle w:val="BodyTextIndent"/>
        <w:ind w:left="284" w:firstLine="0"/>
        <w:rPr>
          <w:rFonts w:ascii="Calibri" w:hAnsi="Calibri" w:cs="Calibri"/>
        </w:rPr>
      </w:pPr>
    </w:p>
    <w:p w14:paraId="5D1A1BAF" w14:textId="77777777" w:rsidR="000A0DFA" w:rsidRPr="003911EF" w:rsidRDefault="000A0DFA" w:rsidP="000A0DFA">
      <w:pPr>
        <w:pStyle w:val="ListParagraph"/>
        <w:numPr>
          <w:ilvl w:val="0"/>
          <w:numId w:val="1"/>
        </w:numPr>
        <w:rPr>
          <w:rFonts w:ascii="Calibri" w:hAnsi="Calibri" w:cs="Calibri"/>
          <w:b/>
          <w:sz w:val="24"/>
          <w:szCs w:val="24"/>
        </w:rPr>
      </w:pPr>
      <w:r w:rsidRPr="003911EF">
        <w:rPr>
          <w:rFonts w:ascii="Calibri" w:hAnsi="Calibri" w:cs="Calibri"/>
          <w:sz w:val="24"/>
          <w:szCs w:val="24"/>
        </w:rPr>
        <w:t xml:space="preserve">Lim, Ho &amp; </w:t>
      </w:r>
      <w:proofErr w:type="spellStart"/>
      <w:r w:rsidRPr="003911EF">
        <w:rPr>
          <w:rFonts w:ascii="Calibri" w:hAnsi="Calibri" w:cs="Calibri"/>
          <w:sz w:val="24"/>
          <w:szCs w:val="24"/>
        </w:rPr>
        <w:t>Paparinskis</w:t>
      </w:r>
      <w:proofErr w:type="spellEnd"/>
      <w:r w:rsidRPr="003911EF">
        <w:rPr>
          <w:rFonts w:ascii="Calibri" w:hAnsi="Calibri" w:cs="Calibri"/>
          <w:sz w:val="24"/>
          <w:szCs w:val="24"/>
        </w:rPr>
        <w:t>, 575-593</w:t>
      </w:r>
    </w:p>
    <w:p w14:paraId="4DA50255" w14:textId="77777777" w:rsidR="000A0DFA" w:rsidRPr="003911EF" w:rsidRDefault="000A0DFA" w:rsidP="000A0DFA">
      <w:pPr>
        <w:pStyle w:val="ListParagraph"/>
        <w:numPr>
          <w:ilvl w:val="0"/>
          <w:numId w:val="1"/>
        </w:numPr>
        <w:rPr>
          <w:rFonts w:ascii="Calibri" w:hAnsi="Calibri" w:cs="Calibri"/>
          <w:b/>
          <w:sz w:val="24"/>
          <w:szCs w:val="24"/>
        </w:rPr>
      </w:pPr>
      <w:r w:rsidRPr="003911EF">
        <w:rPr>
          <w:rFonts w:ascii="Calibri" w:hAnsi="Calibri" w:cs="Calibri"/>
          <w:sz w:val="24"/>
          <w:szCs w:val="24"/>
        </w:rPr>
        <w:t xml:space="preserve">Kyla Tienhaara, ‘Regulatory Chill in a Warming World: The Threat to Climate Policy Posed by Investor-State Dispute Settlement’ (2018) 7 (2) Transnational Environmental Law 229, DOI: </w:t>
      </w:r>
      <w:hyperlink r:id="rId5" w:history="1">
        <w:r w:rsidRPr="003911EF">
          <w:rPr>
            <w:rStyle w:val="Hyperlink"/>
            <w:rFonts w:ascii="Calibri" w:hAnsi="Calibri" w:cs="Calibri"/>
            <w:sz w:val="24"/>
            <w:szCs w:val="24"/>
          </w:rPr>
          <w:t>https://doi.org/10.1017/S2047102517000309</w:t>
        </w:r>
      </w:hyperlink>
      <w:r w:rsidRPr="003911EF">
        <w:rPr>
          <w:rFonts w:ascii="Calibri" w:hAnsi="Calibri" w:cs="Calibri"/>
          <w:sz w:val="24"/>
          <w:szCs w:val="24"/>
        </w:rPr>
        <w:t xml:space="preserve"> </w:t>
      </w:r>
    </w:p>
    <w:p w14:paraId="4E575716" w14:textId="77777777" w:rsidR="000A0DFA" w:rsidRPr="003911EF" w:rsidRDefault="000A0DFA" w:rsidP="000A0DFA">
      <w:pPr>
        <w:pStyle w:val="ListParagraph"/>
        <w:numPr>
          <w:ilvl w:val="0"/>
          <w:numId w:val="1"/>
        </w:numPr>
        <w:rPr>
          <w:rFonts w:ascii="Calibri" w:hAnsi="Calibri" w:cs="Calibri"/>
          <w:b/>
          <w:sz w:val="24"/>
          <w:szCs w:val="24"/>
        </w:rPr>
      </w:pPr>
      <w:r w:rsidRPr="003911EF">
        <w:rPr>
          <w:rFonts w:ascii="Calibri" w:hAnsi="Calibri" w:cs="Calibri"/>
          <w:sz w:val="24"/>
          <w:szCs w:val="24"/>
        </w:rPr>
        <w:t xml:space="preserve">Silvia Steininger, ‘The Role of Human Rights in Investment Law and Arbitration’ in Ilias </w:t>
      </w:r>
      <w:proofErr w:type="spellStart"/>
      <w:r w:rsidRPr="003911EF">
        <w:rPr>
          <w:rFonts w:ascii="Calibri" w:hAnsi="Calibri" w:cs="Calibri"/>
          <w:sz w:val="24"/>
          <w:szCs w:val="24"/>
        </w:rPr>
        <w:t>Bantekas</w:t>
      </w:r>
      <w:proofErr w:type="spellEnd"/>
      <w:r w:rsidRPr="003911EF">
        <w:rPr>
          <w:rFonts w:ascii="Calibri" w:hAnsi="Calibri" w:cs="Calibri"/>
          <w:sz w:val="24"/>
          <w:szCs w:val="24"/>
        </w:rPr>
        <w:t xml:space="preserve"> and Michael Ashley Stein, </w:t>
      </w:r>
      <w:r w:rsidRPr="003911EF">
        <w:rPr>
          <w:rFonts w:ascii="Calibri" w:hAnsi="Calibri" w:cs="Calibri"/>
          <w:i/>
          <w:iCs/>
          <w:sz w:val="24"/>
          <w:szCs w:val="24"/>
        </w:rPr>
        <w:t xml:space="preserve">Business and Human Rights Law </w:t>
      </w:r>
      <w:r w:rsidRPr="003911EF">
        <w:rPr>
          <w:rFonts w:ascii="Calibri" w:hAnsi="Calibri" w:cs="Calibri"/>
          <w:sz w:val="24"/>
          <w:szCs w:val="24"/>
        </w:rPr>
        <w:t xml:space="preserve">(CUP 2021) 406, DOI: </w:t>
      </w:r>
      <w:hyperlink r:id="rId6" w:history="1">
        <w:r w:rsidRPr="003911EF">
          <w:rPr>
            <w:rStyle w:val="Hyperlink"/>
            <w:rFonts w:ascii="Calibri" w:hAnsi="Calibri" w:cs="Calibri"/>
            <w:sz w:val="24"/>
            <w:szCs w:val="24"/>
          </w:rPr>
          <w:t>https://doi.org/10.1017/9781108907293.019</w:t>
        </w:r>
      </w:hyperlink>
      <w:r w:rsidRPr="003911EF">
        <w:rPr>
          <w:rFonts w:ascii="Calibri" w:hAnsi="Calibri" w:cs="Calibri"/>
          <w:sz w:val="24"/>
          <w:szCs w:val="24"/>
        </w:rPr>
        <w:t xml:space="preserve"> </w:t>
      </w:r>
    </w:p>
    <w:p w14:paraId="07B4C987" w14:textId="77777777" w:rsidR="000A0DFA" w:rsidRPr="003911EF" w:rsidRDefault="000A0DFA" w:rsidP="000A0DFA">
      <w:pPr>
        <w:rPr>
          <w:rFonts w:ascii="Calibri" w:hAnsi="Calibri" w:cs="Calibri"/>
          <w:b/>
        </w:rPr>
      </w:pPr>
    </w:p>
    <w:p w14:paraId="3DA3EE0D" w14:textId="77777777" w:rsidR="000A0DFA" w:rsidRPr="003911EF" w:rsidRDefault="000A0DFA" w:rsidP="000A0DFA">
      <w:pPr>
        <w:ind w:firstLine="644"/>
        <w:rPr>
          <w:rFonts w:ascii="Calibri" w:hAnsi="Calibri" w:cs="Calibri"/>
          <w:b/>
          <w:smallCaps/>
        </w:rPr>
      </w:pPr>
      <w:r w:rsidRPr="003911EF">
        <w:rPr>
          <w:rFonts w:ascii="Calibri" w:hAnsi="Calibri" w:cs="Calibri"/>
          <w:b/>
          <w:smallCaps/>
        </w:rPr>
        <w:t>In the Media</w:t>
      </w:r>
    </w:p>
    <w:p w14:paraId="54F0306E" w14:textId="77777777" w:rsidR="000A0DFA" w:rsidRPr="003911EF" w:rsidRDefault="000A0DFA" w:rsidP="000A0DFA">
      <w:pPr>
        <w:rPr>
          <w:rFonts w:ascii="Calibri" w:hAnsi="Calibri" w:cs="Calibri"/>
          <w:b/>
        </w:rPr>
      </w:pPr>
    </w:p>
    <w:p w14:paraId="1D7EBF49" w14:textId="77777777" w:rsidR="000A0DFA" w:rsidRPr="003911EF" w:rsidRDefault="000A0DFA" w:rsidP="000A0DFA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hAnsi="Calibri" w:cs="Calibri"/>
          <w:sz w:val="24"/>
          <w:szCs w:val="24"/>
        </w:rPr>
      </w:pPr>
      <w:r w:rsidRPr="003911EF">
        <w:rPr>
          <w:rFonts w:ascii="Calibri" w:hAnsi="Calibri" w:cs="Calibri"/>
          <w:sz w:val="24"/>
          <w:szCs w:val="24"/>
        </w:rPr>
        <w:t xml:space="preserve">Chris Hamby, ‘The Court that Rules the World’ Buzzfeed: </w:t>
      </w:r>
      <w:hyperlink r:id="rId7" w:history="1">
        <w:r w:rsidRPr="003911EF">
          <w:rPr>
            <w:rStyle w:val="Hyperlink"/>
            <w:rFonts w:ascii="Calibri" w:hAnsi="Calibri" w:cs="Calibri"/>
            <w:sz w:val="24"/>
            <w:szCs w:val="24"/>
          </w:rPr>
          <w:t>https://www.buzzfeednews.com/article/chrishamby/super-court</w:t>
        </w:r>
      </w:hyperlink>
    </w:p>
    <w:p w14:paraId="227D0666" w14:textId="77777777" w:rsidR="000A0DFA" w:rsidRPr="003911EF" w:rsidRDefault="000A0DFA" w:rsidP="000A0DFA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hAnsi="Calibri" w:cs="Calibri"/>
          <w:sz w:val="24"/>
          <w:szCs w:val="24"/>
          <w:lang w:val="en-US"/>
        </w:rPr>
      </w:pPr>
      <w:r w:rsidRPr="003911EF">
        <w:rPr>
          <w:rFonts w:ascii="Calibri" w:hAnsi="Calibri" w:cs="Calibri"/>
          <w:sz w:val="24"/>
          <w:szCs w:val="24"/>
        </w:rPr>
        <w:t xml:space="preserve">Jannifer Rankin, ‘Secretive court system poses threat to Paris climate deal’, The Guardian: </w:t>
      </w:r>
      <w:hyperlink r:id="rId8" w:history="1">
        <w:r w:rsidRPr="003911EF">
          <w:rPr>
            <w:rStyle w:val="Hyperlink"/>
            <w:rFonts w:ascii="Calibri" w:hAnsi="Calibri" w:cs="Calibri"/>
            <w:sz w:val="24"/>
            <w:szCs w:val="24"/>
          </w:rPr>
          <w:t>https://www.theguardian.com/environment/2021/nov/03/secretive-court-system-poses-threat-to-climate-deal-says-whistleblower</w:t>
        </w:r>
      </w:hyperlink>
    </w:p>
    <w:p w14:paraId="316B3758" w14:textId="77777777" w:rsidR="000A0DFA" w:rsidRPr="003911EF" w:rsidRDefault="000A0DFA" w:rsidP="000A0DFA">
      <w:pPr>
        <w:pStyle w:val="BodyTextIndent"/>
        <w:ind w:left="0" w:firstLine="0"/>
        <w:rPr>
          <w:rFonts w:ascii="Calibri" w:hAnsi="Calibri" w:cs="Calibri"/>
          <w:b/>
          <w:lang w:val="en-US"/>
        </w:rPr>
      </w:pPr>
    </w:p>
    <w:p w14:paraId="7936FEF6" w14:textId="77777777" w:rsidR="000A0DFA" w:rsidRPr="003911EF" w:rsidRDefault="000A0DFA" w:rsidP="000A0DFA">
      <w:pPr>
        <w:jc w:val="both"/>
        <w:rPr>
          <w:rFonts w:ascii="Calibri" w:hAnsi="Calibri" w:cs="Calibri"/>
          <w:b/>
        </w:rPr>
      </w:pPr>
      <w:r w:rsidRPr="003911EF">
        <w:rPr>
          <w:rFonts w:ascii="Calibri" w:hAnsi="Calibri" w:cs="Calibri"/>
          <w:b/>
        </w:rPr>
        <w:t xml:space="preserve">II. </w:t>
      </w:r>
      <w:r w:rsidRPr="003911EF">
        <w:rPr>
          <w:rFonts w:ascii="Calibri" w:hAnsi="Calibri" w:cs="Calibri"/>
          <w:b/>
          <w:smallCaps/>
          <w:lang w:val="en-US"/>
        </w:rPr>
        <w:t>Optional Reading</w:t>
      </w:r>
    </w:p>
    <w:p w14:paraId="4DE014F5" w14:textId="77777777" w:rsidR="000A0DFA" w:rsidRPr="003911EF" w:rsidRDefault="000A0DFA" w:rsidP="000A0DFA">
      <w:pPr>
        <w:jc w:val="both"/>
        <w:rPr>
          <w:rFonts w:ascii="Calibri" w:hAnsi="Calibri" w:cs="Calibri"/>
          <w:b/>
        </w:rPr>
      </w:pPr>
    </w:p>
    <w:p w14:paraId="2890E2EE" w14:textId="77777777" w:rsidR="000A0DFA" w:rsidRPr="003911EF" w:rsidRDefault="000A0DFA" w:rsidP="000A0DFA">
      <w:pPr>
        <w:pStyle w:val="BodyTextIndent"/>
        <w:numPr>
          <w:ilvl w:val="0"/>
          <w:numId w:val="2"/>
        </w:numPr>
        <w:rPr>
          <w:rFonts w:ascii="Calibri" w:hAnsi="Calibri" w:cs="Calibri"/>
        </w:rPr>
      </w:pPr>
      <w:r w:rsidRPr="003911EF">
        <w:rPr>
          <w:rFonts w:ascii="Calibri" w:hAnsi="Calibri" w:cs="Calibri"/>
          <w:shd w:val="clear" w:color="auto" w:fill="FFFFFF"/>
        </w:rPr>
        <w:t>Pia Eberhardt and others, ‘</w:t>
      </w:r>
      <w:hyperlink r:id="rId9" w:history="1">
        <w:r w:rsidRPr="003911EF">
          <w:rPr>
            <w:rStyle w:val="Hyperlink"/>
            <w:rFonts w:ascii="Calibri" w:hAnsi="Calibri" w:cs="Calibri"/>
            <w:shd w:val="clear" w:color="auto" w:fill="FFFFFF"/>
          </w:rPr>
          <w:t>Profiting from Injustice</w:t>
        </w:r>
      </w:hyperlink>
      <w:r w:rsidRPr="003911EF">
        <w:rPr>
          <w:rFonts w:ascii="Calibri" w:hAnsi="Calibri" w:cs="Calibri"/>
          <w:shd w:val="clear" w:color="auto" w:fill="FFFFFF"/>
        </w:rPr>
        <w:t>’ (This is a long report, but it makes for exciting reading and has lots of graphics and boxes – so do not be afraid.)</w:t>
      </w:r>
    </w:p>
    <w:p w14:paraId="595E9BD3" w14:textId="77777777" w:rsidR="000A0DFA" w:rsidRPr="003911EF" w:rsidRDefault="000A0DFA" w:rsidP="000A0DFA">
      <w:pPr>
        <w:pStyle w:val="BodyTextIndent"/>
        <w:numPr>
          <w:ilvl w:val="0"/>
          <w:numId w:val="2"/>
        </w:numPr>
        <w:rPr>
          <w:rFonts w:ascii="Calibri" w:hAnsi="Calibri" w:cs="Calibri"/>
        </w:rPr>
      </w:pPr>
      <w:r w:rsidRPr="003911EF">
        <w:rPr>
          <w:rFonts w:ascii="Calibri" w:hAnsi="Calibri" w:cs="Calibri"/>
          <w:shd w:val="clear" w:color="auto" w:fill="FFFFFF"/>
        </w:rPr>
        <w:t xml:space="preserve">Christian Tietje, </w:t>
      </w:r>
      <w:hyperlink r:id="rId10" w:history="1">
        <w:r w:rsidRPr="003911EF">
          <w:rPr>
            <w:rStyle w:val="Hyperlink"/>
            <w:rFonts w:ascii="Calibri" w:hAnsi="Calibri" w:cs="Calibri"/>
            <w:color w:val="auto"/>
            <w:shd w:val="clear" w:color="auto" w:fill="FFFFFF"/>
          </w:rPr>
          <w:t>Investor-State Arbitration as Part of the International Rule of Law</w:t>
        </w:r>
      </w:hyperlink>
      <w:r w:rsidRPr="003911EF">
        <w:rPr>
          <w:rFonts w:ascii="Calibri" w:hAnsi="Calibri" w:cs="Calibri"/>
          <w:shd w:val="clear" w:color="auto" w:fill="FFFFFF"/>
        </w:rPr>
        <w:t xml:space="preserve"> (short 4-page defence of investment arbitration)</w:t>
      </w:r>
    </w:p>
    <w:p w14:paraId="1D8CE5EA" w14:textId="77777777" w:rsidR="000A0DFA" w:rsidRPr="003911EF" w:rsidRDefault="000A0DFA" w:rsidP="000A0DFA">
      <w:pPr>
        <w:pStyle w:val="BodyTextIndent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3911EF">
        <w:rPr>
          <w:rFonts w:ascii="Calibri" w:hAnsi="Calibri" w:cs="Calibri"/>
        </w:rPr>
        <w:t>Muthucumaraswamy</w:t>
      </w:r>
      <w:proofErr w:type="spellEnd"/>
      <w:r w:rsidRPr="003911EF">
        <w:rPr>
          <w:rFonts w:ascii="Calibri" w:hAnsi="Calibri" w:cs="Calibri"/>
        </w:rPr>
        <w:t xml:space="preserve"> </w:t>
      </w:r>
      <w:proofErr w:type="spellStart"/>
      <w:r w:rsidRPr="003911EF">
        <w:rPr>
          <w:rFonts w:ascii="Calibri" w:hAnsi="Calibri" w:cs="Calibri"/>
        </w:rPr>
        <w:t>Sornarajah</w:t>
      </w:r>
      <w:proofErr w:type="spellEnd"/>
      <w:r w:rsidRPr="003911EF">
        <w:rPr>
          <w:rFonts w:ascii="Calibri" w:hAnsi="Calibri" w:cs="Calibri"/>
        </w:rPr>
        <w:t xml:space="preserve">, ‘Disintegration and change in the international law of foreign investment’ (2020) 23(2) Journal of International Economic Law 413, DOI: </w:t>
      </w:r>
      <w:hyperlink r:id="rId11" w:history="1">
        <w:r w:rsidRPr="003911EF">
          <w:rPr>
            <w:rStyle w:val="Hyperlink"/>
            <w:rFonts w:ascii="Calibri" w:hAnsi="Calibri" w:cs="Calibri"/>
          </w:rPr>
          <w:t>https://doi.org/10.1093/jiel/jgaa014</w:t>
        </w:r>
      </w:hyperlink>
      <w:r w:rsidRPr="003911EF">
        <w:rPr>
          <w:rFonts w:ascii="Calibri" w:hAnsi="Calibri" w:cs="Calibri"/>
        </w:rPr>
        <w:t xml:space="preserve"> </w:t>
      </w:r>
    </w:p>
    <w:p w14:paraId="415D09F0" w14:textId="77777777" w:rsidR="000A0DFA" w:rsidRPr="003911EF" w:rsidRDefault="000A0DFA" w:rsidP="000A0DFA">
      <w:pPr>
        <w:pStyle w:val="BodyTextIndent"/>
        <w:numPr>
          <w:ilvl w:val="0"/>
          <w:numId w:val="2"/>
        </w:numPr>
        <w:rPr>
          <w:rFonts w:ascii="Calibri" w:hAnsi="Calibri" w:cs="Calibri"/>
        </w:rPr>
      </w:pPr>
      <w:r w:rsidRPr="003911EF">
        <w:rPr>
          <w:rFonts w:ascii="Calibri" w:hAnsi="Calibri" w:cs="Calibri"/>
          <w:shd w:val="clear" w:color="auto" w:fill="FFFFFF"/>
        </w:rPr>
        <w:t xml:space="preserve">Jonathan </w:t>
      </w:r>
      <w:proofErr w:type="spellStart"/>
      <w:r w:rsidRPr="003911EF">
        <w:rPr>
          <w:rFonts w:ascii="Calibri" w:hAnsi="Calibri" w:cs="Calibri"/>
          <w:shd w:val="clear" w:color="auto" w:fill="FFFFFF"/>
        </w:rPr>
        <w:t>Bonnitcha</w:t>
      </w:r>
      <w:proofErr w:type="spellEnd"/>
      <w:r w:rsidRPr="003911EF">
        <w:rPr>
          <w:rFonts w:ascii="Calibri" w:hAnsi="Calibri" w:cs="Calibri"/>
          <w:shd w:val="clear" w:color="auto" w:fill="FFFFFF"/>
        </w:rPr>
        <w:t xml:space="preserve"> and Zoe Phillips Williams, ‘State liability for “politically” motivated conduct in the investment treaty regime’ (2020) 33(1) Leiden Journal of International Law 77, DOI: </w:t>
      </w:r>
      <w:hyperlink r:id="rId12" w:history="1">
        <w:r w:rsidRPr="003911EF">
          <w:rPr>
            <w:rStyle w:val="Hyperlink"/>
            <w:rFonts w:ascii="Calibri" w:hAnsi="Calibri" w:cs="Calibri"/>
            <w:shd w:val="clear" w:color="auto" w:fill="FFFFFF"/>
          </w:rPr>
          <w:t>https://doi.org/10.1017/S0922156519000566</w:t>
        </w:r>
      </w:hyperlink>
      <w:r w:rsidRPr="003911EF">
        <w:rPr>
          <w:rFonts w:ascii="Calibri" w:hAnsi="Calibri" w:cs="Calibri"/>
          <w:shd w:val="clear" w:color="auto" w:fill="FFFFFF"/>
        </w:rPr>
        <w:t xml:space="preserve"> </w:t>
      </w:r>
    </w:p>
    <w:p w14:paraId="2953246A" w14:textId="77777777" w:rsidR="000A0DFA" w:rsidRPr="003911EF" w:rsidRDefault="000A0DFA" w:rsidP="000A0DFA">
      <w:pPr>
        <w:pStyle w:val="BodyTextIndent"/>
        <w:numPr>
          <w:ilvl w:val="0"/>
          <w:numId w:val="2"/>
        </w:numPr>
        <w:rPr>
          <w:rFonts w:ascii="Calibri" w:hAnsi="Calibri" w:cs="Calibri"/>
        </w:rPr>
      </w:pPr>
      <w:r w:rsidRPr="003911EF">
        <w:rPr>
          <w:rFonts w:ascii="Calibri" w:hAnsi="Calibri" w:cs="Calibri"/>
        </w:rPr>
        <w:t>Silvia Steininger, ‘What’s Human Rights Got to do with it? An empirical analysis of human rights reference in investment arbitration’ (2018) 31(1) Leiden Journal of International Law, 33</w:t>
      </w:r>
    </w:p>
    <w:p w14:paraId="75A8C362" w14:textId="77777777" w:rsidR="000A0DFA" w:rsidRPr="003911EF" w:rsidRDefault="000A0DFA" w:rsidP="000A0DFA">
      <w:pPr>
        <w:pStyle w:val="BodyTextIndent"/>
        <w:numPr>
          <w:ilvl w:val="0"/>
          <w:numId w:val="2"/>
        </w:numPr>
        <w:rPr>
          <w:rFonts w:ascii="Calibri" w:hAnsi="Calibri" w:cs="Calibri"/>
        </w:rPr>
      </w:pPr>
      <w:r w:rsidRPr="003911EF">
        <w:rPr>
          <w:rFonts w:ascii="Calibri" w:hAnsi="Calibri" w:cs="Calibri"/>
        </w:rPr>
        <w:t xml:space="preserve">Kabir A N Dugall and Nicholas J Diamond, ‘Human Rights and Investor–State Dispute Settlement Reform: Fitting a Square Peg into a Round Hole?’ (2021) 12(2) JIDS 291, DOI: </w:t>
      </w:r>
      <w:hyperlink r:id="rId13" w:history="1">
        <w:r w:rsidRPr="003911EF">
          <w:rPr>
            <w:rStyle w:val="Hyperlink"/>
            <w:rFonts w:ascii="Calibri" w:hAnsi="Calibri" w:cs="Calibri"/>
          </w:rPr>
          <w:t>https://doi.org/10.1093/jnlids/idab006</w:t>
        </w:r>
      </w:hyperlink>
      <w:r w:rsidRPr="003911EF">
        <w:rPr>
          <w:rFonts w:ascii="Calibri" w:hAnsi="Calibri" w:cs="Calibri"/>
        </w:rPr>
        <w:t xml:space="preserve"> </w:t>
      </w:r>
    </w:p>
    <w:p w14:paraId="665C6E60" w14:textId="77777777" w:rsidR="000A0DFA" w:rsidRPr="003911EF" w:rsidRDefault="000A0DFA" w:rsidP="000A0DFA">
      <w:pPr>
        <w:pStyle w:val="BodyTextIndent"/>
        <w:numPr>
          <w:ilvl w:val="0"/>
          <w:numId w:val="2"/>
        </w:numPr>
        <w:rPr>
          <w:rFonts w:ascii="Calibri" w:hAnsi="Calibri" w:cs="Calibri"/>
        </w:rPr>
      </w:pPr>
      <w:r w:rsidRPr="003911EF">
        <w:rPr>
          <w:rFonts w:ascii="Calibri" w:hAnsi="Calibri" w:cs="Calibri"/>
        </w:rPr>
        <w:t xml:space="preserve">Tarald Laudal Berge and Axel Berger, ‘Do Investor-State Dispute Settlement Cases Influence Domestic Environmental Regulation? The Role of Respondent State Bureaucratic Capacity’, (2021) 12(1) JIDS 1, DOI: </w:t>
      </w:r>
      <w:hyperlink r:id="rId14" w:history="1">
        <w:r w:rsidRPr="003911EF">
          <w:rPr>
            <w:rStyle w:val="Hyperlink"/>
            <w:rFonts w:ascii="Calibri" w:hAnsi="Calibri" w:cs="Calibri"/>
          </w:rPr>
          <w:t>https://doi.org/10.1093/jnlids/idaa027</w:t>
        </w:r>
      </w:hyperlink>
      <w:r w:rsidRPr="003911EF">
        <w:rPr>
          <w:rFonts w:ascii="Calibri" w:hAnsi="Calibri" w:cs="Calibri"/>
        </w:rPr>
        <w:t xml:space="preserve"> </w:t>
      </w:r>
    </w:p>
    <w:p w14:paraId="030348BF" w14:textId="77777777" w:rsidR="000A0DFA" w:rsidRPr="003911EF" w:rsidRDefault="000A0DFA" w:rsidP="000A0DFA">
      <w:pPr>
        <w:pStyle w:val="BodyTextIndent"/>
        <w:rPr>
          <w:rFonts w:ascii="Calibri" w:hAnsi="Calibri" w:cs="Calibri"/>
        </w:rPr>
      </w:pPr>
    </w:p>
    <w:p w14:paraId="300A8222" w14:textId="77777777" w:rsidR="000A0DFA" w:rsidRPr="003911EF" w:rsidRDefault="000A0DFA" w:rsidP="000A0DFA">
      <w:pPr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1E2F156B" w14:textId="77777777" w:rsidR="000A0DFA" w:rsidRPr="003911EF" w:rsidRDefault="000A0DFA" w:rsidP="000A0DFA">
      <w:pPr>
        <w:rPr>
          <w:rFonts w:ascii="Calibri" w:hAnsi="Calibri" w:cs="Calibri"/>
          <w:b/>
        </w:rPr>
      </w:pPr>
    </w:p>
    <w:p w14:paraId="0F5563CB" w14:textId="77777777" w:rsidR="000A0DFA" w:rsidRPr="003911EF" w:rsidRDefault="000A0DFA" w:rsidP="000A0DFA">
      <w:pPr>
        <w:rPr>
          <w:rFonts w:ascii="Calibri" w:hAnsi="Calibri" w:cs="Calibri"/>
          <w:b/>
          <w:lang w:val="en-US" w:eastAsia="it-IT"/>
        </w:rPr>
      </w:pPr>
      <w:r w:rsidRPr="003911EF">
        <w:rPr>
          <w:rFonts w:ascii="Calibri" w:hAnsi="Calibri" w:cs="Calibri"/>
          <w:b/>
          <w:lang w:val="en-US"/>
        </w:rPr>
        <w:br w:type="page"/>
      </w:r>
    </w:p>
    <w:p w14:paraId="59E225E1" w14:textId="77777777" w:rsidR="000A0DFA" w:rsidRPr="003911EF" w:rsidRDefault="000A0DFA" w:rsidP="000A0DFA">
      <w:pPr>
        <w:pStyle w:val="BodyTextIndent"/>
        <w:rPr>
          <w:rFonts w:ascii="Calibri" w:hAnsi="Calibri" w:cs="Calibri"/>
          <w:b/>
          <w:lang w:val="en-US"/>
        </w:rPr>
      </w:pPr>
      <w:r w:rsidRPr="003911EF">
        <w:rPr>
          <w:rFonts w:ascii="Calibri" w:hAnsi="Calibri" w:cs="Calibri"/>
          <w:b/>
          <w:lang w:val="en-US"/>
        </w:rPr>
        <w:lastRenderedPageBreak/>
        <w:t xml:space="preserve">III. </w:t>
      </w:r>
      <w:r w:rsidRPr="003911EF">
        <w:rPr>
          <w:rFonts w:ascii="Calibri" w:hAnsi="Calibri" w:cs="Calibri"/>
          <w:b/>
          <w:smallCaps/>
          <w:lang w:val="en-US"/>
        </w:rPr>
        <w:t>Discussion Prompts</w:t>
      </w:r>
    </w:p>
    <w:p w14:paraId="53D41F59" w14:textId="77777777" w:rsidR="000A0DFA" w:rsidRPr="003911EF" w:rsidRDefault="000A0DFA" w:rsidP="000A0DFA">
      <w:pPr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1DF057E7" w14:textId="77777777" w:rsidR="000A0DFA" w:rsidRDefault="000A0DFA" w:rsidP="000A0DFA">
      <w:pPr>
        <w:pStyle w:val="BodyTextIndent"/>
        <w:numPr>
          <w:ilvl w:val="0"/>
          <w:numId w:val="1"/>
        </w:numPr>
        <w:rPr>
          <w:rFonts w:ascii="Calibri" w:hAnsi="Calibri" w:cs="Calibri"/>
        </w:rPr>
      </w:pPr>
      <w:r w:rsidRPr="003911EF">
        <w:rPr>
          <w:rFonts w:ascii="Calibri" w:hAnsi="Calibri" w:cs="Calibri"/>
        </w:rPr>
        <w:t>Identify the key criticisms levelled against the present system of investment arbitration, and international investment law more generally.</w:t>
      </w:r>
    </w:p>
    <w:p w14:paraId="5061C141" w14:textId="473A2D80" w:rsidR="00235700" w:rsidRPr="000A0DFA" w:rsidRDefault="000A0DFA" w:rsidP="000A0DFA">
      <w:pPr>
        <w:pStyle w:val="BodyTextIndent"/>
        <w:numPr>
          <w:ilvl w:val="0"/>
          <w:numId w:val="1"/>
        </w:numPr>
        <w:rPr>
          <w:rFonts w:ascii="Calibri" w:hAnsi="Calibri" w:cs="Calibri"/>
        </w:rPr>
      </w:pPr>
      <w:r w:rsidRPr="000A0DFA">
        <w:rPr>
          <w:rFonts w:ascii="Calibri" w:hAnsi="Calibri" w:cs="Calibri"/>
        </w:rPr>
        <w:t>Which of these criticisms do you consider justified, which to you seem overblown?</w:t>
      </w:r>
    </w:p>
    <w:sectPr w:rsidR="00235700" w:rsidRPr="000A0DFA" w:rsidSect="0031449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55C"/>
    <w:multiLevelType w:val="hybridMultilevel"/>
    <w:tmpl w:val="17927B9C"/>
    <w:lvl w:ilvl="0" w:tplc="4CDE74B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76717"/>
    <w:multiLevelType w:val="hybridMultilevel"/>
    <w:tmpl w:val="03BE09CC"/>
    <w:lvl w:ilvl="0" w:tplc="294474DE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Symbol" w:hint="default"/>
        <w:color w:val="auto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18729339">
    <w:abstractNumId w:val="1"/>
  </w:num>
  <w:num w:numId="2" w16cid:durableId="148596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FA"/>
    <w:rsid w:val="000A0DFA"/>
    <w:rsid w:val="00235700"/>
    <w:rsid w:val="00314493"/>
    <w:rsid w:val="0071558C"/>
    <w:rsid w:val="00814379"/>
    <w:rsid w:val="008904DD"/>
    <w:rsid w:val="00A823CD"/>
    <w:rsid w:val="00BB4254"/>
    <w:rsid w:val="00BB7335"/>
    <w:rsid w:val="00D62D56"/>
    <w:rsid w:val="00F8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BB5EF"/>
  <w15:chartTrackingRefBased/>
  <w15:docId w15:val="{92708607-E83E-D141-8933-B8C3C8D3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DFA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A0DFA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0A0DFA"/>
    <w:pPr>
      <w:ind w:left="540" w:hanging="540"/>
      <w:jc w:val="both"/>
    </w:pPr>
    <w:rPr>
      <w:lang w:eastAsia="it-IT"/>
    </w:rPr>
  </w:style>
  <w:style w:type="character" w:customStyle="1" w:styleId="BodyTextIndentChar">
    <w:name w:val="Body Text Indent Char"/>
    <w:basedOn w:val="DefaultParagraphFont"/>
    <w:link w:val="BodyTextIndent"/>
    <w:rsid w:val="000A0DFA"/>
    <w:rPr>
      <w:rFonts w:ascii="Times New Roman" w:eastAsia="Times New Roman" w:hAnsi="Times New Roman" w:cs="Times New Roman"/>
      <w:lang w:eastAsia="it-IT"/>
    </w:rPr>
  </w:style>
  <w:style w:type="paragraph" w:styleId="ListParagraph">
    <w:name w:val="List Paragraph"/>
    <w:basedOn w:val="Normal"/>
    <w:uiPriority w:val="34"/>
    <w:qFormat/>
    <w:rsid w:val="000A0DFA"/>
    <w:pPr>
      <w:ind w:left="720"/>
      <w:contextualSpacing/>
    </w:pPr>
    <w:rPr>
      <w:rFonts w:ascii="Garamond" w:hAnsi="Garamond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guardian.com/environment/2021/nov/03/secretive-court-system-poses-threat-to-climate-deal-says-whistleblower" TargetMode="External"/><Relationship Id="rId13" Type="http://schemas.openxmlformats.org/officeDocument/2006/relationships/hyperlink" Target="https://doi.org/10.1093/jnlids/idab00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uzzfeednews.com/article/chrishamby/super-court" TargetMode="External"/><Relationship Id="rId12" Type="http://schemas.openxmlformats.org/officeDocument/2006/relationships/hyperlink" Target="https://doi.org/10.1017/S092215651900056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1017/9781108907293.019" TargetMode="External"/><Relationship Id="rId11" Type="http://schemas.openxmlformats.org/officeDocument/2006/relationships/hyperlink" Target="https://doi.org/10.1093/jiel/jgaa014" TargetMode="External"/><Relationship Id="rId5" Type="http://schemas.openxmlformats.org/officeDocument/2006/relationships/hyperlink" Target="https://doi.org/10.1017/S2047102517000309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voelkerrechtsblog.org/investor-state-arbitration-as-part-of-the-international-rule-of-la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ni.org/files/download/profitingfrominjustice.pdf" TargetMode="External"/><Relationship Id="rId14" Type="http://schemas.openxmlformats.org/officeDocument/2006/relationships/hyperlink" Target="https://doi.org/10.1093/jnlids/idaa0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Devaney</dc:creator>
  <cp:keywords/>
  <dc:description/>
  <cp:lastModifiedBy>James Devaney</cp:lastModifiedBy>
  <cp:revision>2</cp:revision>
  <dcterms:created xsi:type="dcterms:W3CDTF">2025-11-11T11:55:00Z</dcterms:created>
  <dcterms:modified xsi:type="dcterms:W3CDTF">2025-11-11T11:55:00Z</dcterms:modified>
</cp:coreProperties>
</file>