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4145" w14:textId="77777777" w:rsidR="006F509E" w:rsidRPr="004A319B" w:rsidRDefault="006F509E" w:rsidP="006F509E">
      <w:pPr>
        <w:jc w:val="center"/>
        <w:rPr>
          <w:rFonts w:ascii="Garamond" w:hAnsi="Garamond" w:cs="Calibri"/>
          <w:b/>
          <w:smallCaps/>
        </w:rPr>
      </w:pPr>
      <w:r w:rsidRPr="004A319B">
        <w:rPr>
          <w:rFonts w:ascii="Garamond" w:hAnsi="Garamond" w:cs="Calibri"/>
          <w:b/>
          <w:smallCaps/>
        </w:rPr>
        <w:t xml:space="preserve">Seminar 4 – Fair and </w:t>
      </w:r>
      <w:r>
        <w:rPr>
          <w:rFonts w:ascii="Garamond" w:hAnsi="Garamond" w:cs="Calibri"/>
          <w:b/>
          <w:smallCaps/>
        </w:rPr>
        <w:t>E</w:t>
      </w:r>
      <w:r w:rsidRPr="004A319B">
        <w:rPr>
          <w:rFonts w:ascii="Garamond" w:hAnsi="Garamond" w:cs="Calibri"/>
          <w:b/>
          <w:smallCaps/>
        </w:rPr>
        <w:t xml:space="preserve">quitable </w:t>
      </w:r>
      <w:r>
        <w:rPr>
          <w:rFonts w:ascii="Garamond" w:hAnsi="Garamond" w:cs="Calibri"/>
          <w:b/>
          <w:smallCaps/>
        </w:rPr>
        <w:t>T</w:t>
      </w:r>
      <w:r w:rsidRPr="004A319B">
        <w:rPr>
          <w:rFonts w:ascii="Garamond" w:hAnsi="Garamond" w:cs="Calibri"/>
          <w:b/>
          <w:smallCaps/>
        </w:rPr>
        <w:t>reatment (FET)</w:t>
      </w:r>
    </w:p>
    <w:p w14:paraId="20FDBC26" w14:textId="77777777" w:rsidR="006F509E" w:rsidRPr="004A319B" w:rsidRDefault="006F509E" w:rsidP="006F509E">
      <w:pPr>
        <w:pStyle w:val="BodyTextIndent"/>
        <w:ind w:left="0" w:firstLine="0"/>
        <w:jc w:val="left"/>
        <w:rPr>
          <w:rFonts w:ascii="Garamond" w:hAnsi="Garamond" w:cs="Calibri"/>
          <w:lang w:val="en-US"/>
        </w:rPr>
      </w:pPr>
    </w:p>
    <w:p w14:paraId="4127CD9B" w14:textId="77777777" w:rsidR="006F509E" w:rsidRPr="004A319B" w:rsidRDefault="006F509E" w:rsidP="006F509E">
      <w:pPr>
        <w:pStyle w:val="BodyTextIndent"/>
        <w:ind w:left="0" w:firstLine="0"/>
        <w:jc w:val="left"/>
        <w:rPr>
          <w:rFonts w:ascii="Garamond" w:hAnsi="Garamond" w:cs="Calibri"/>
          <w:lang w:val="en-US"/>
        </w:rPr>
      </w:pPr>
    </w:p>
    <w:p w14:paraId="2F0777F2" w14:textId="77777777" w:rsidR="006F509E" w:rsidRPr="004A319B" w:rsidRDefault="006F509E" w:rsidP="006F509E">
      <w:pPr>
        <w:pStyle w:val="BodyTextIndent"/>
        <w:ind w:left="0" w:firstLine="0"/>
        <w:jc w:val="left"/>
        <w:rPr>
          <w:rFonts w:ascii="Garamond" w:hAnsi="Garamond" w:cs="Calibri"/>
          <w:b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I. </w:t>
      </w:r>
      <w:r w:rsidRPr="004A319B">
        <w:rPr>
          <w:rFonts w:ascii="Garamond" w:hAnsi="Garamond" w:cs="Calibri"/>
          <w:b/>
          <w:smallCaps/>
          <w:lang w:val="en-US"/>
        </w:rPr>
        <w:t>Essential Reading</w:t>
      </w:r>
    </w:p>
    <w:p w14:paraId="4C914113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  <w:lang w:val="en-US"/>
        </w:rPr>
      </w:pPr>
    </w:p>
    <w:p w14:paraId="7B7A5EA6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hyperlink r:id="rId5" w:history="1">
        <w:r w:rsidRPr="004A319B">
          <w:rPr>
            <w:rStyle w:val="Hyperlink"/>
            <w:rFonts w:ascii="Garamond" w:eastAsiaTheme="majorEastAsia" w:hAnsi="Garamond" w:cs="Calibri"/>
            <w:lang w:val="en-US"/>
          </w:rPr>
          <w:t xml:space="preserve">Lim, Ho &amp; 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en-US"/>
          </w:rPr>
          <w:t>Paparinskis</w:t>
        </w:r>
        <w:proofErr w:type="spellEnd"/>
      </w:hyperlink>
      <w:r w:rsidRPr="004A319B">
        <w:rPr>
          <w:rFonts w:ascii="Garamond" w:hAnsi="Garamond" w:cs="Calibri"/>
          <w:lang w:val="en-US"/>
        </w:rPr>
        <w:t xml:space="preserve">, </w:t>
      </w:r>
      <w:r w:rsidRPr="004A319B">
        <w:rPr>
          <w:rFonts w:ascii="Garamond" w:hAnsi="Garamond" w:cs="Calibri"/>
        </w:rPr>
        <w:t>330-366</w:t>
      </w:r>
    </w:p>
    <w:p w14:paraId="208E03F6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4A319B">
        <w:rPr>
          <w:rFonts w:ascii="Garamond" w:hAnsi="Garamond" w:cs="Calibri"/>
        </w:rPr>
        <w:t xml:space="preserve">Josef </w:t>
      </w:r>
      <w:proofErr w:type="spellStart"/>
      <w:r w:rsidRPr="004A319B">
        <w:rPr>
          <w:rFonts w:ascii="Garamond" w:hAnsi="Garamond" w:cs="Calibri"/>
        </w:rPr>
        <w:t>Ostřanský</w:t>
      </w:r>
      <w:proofErr w:type="spellEnd"/>
      <w:r w:rsidRPr="004A319B">
        <w:rPr>
          <w:rFonts w:ascii="Garamond" w:hAnsi="Garamond" w:cs="Calibri"/>
        </w:rPr>
        <w:t xml:space="preserve">, ‘Fair and Equitable Treatment’ </w:t>
      </w:r>
      <w:r w:rsidRPr="004A319B">
        <w:rPr>
          <w:rFonts w:ascii="Garamond" w:hAnsi="Garamond" w:cs="Calibri"/>
          <w:lang w:val="en-US"/>
        </w:rPr>
        <w:t xml:space="preserve">in Schneiderman and Van Harten, </w:t>
      </w:r>
      <w:hyperlink r:id="rId6" w:history="1">
        <w:r w:rsidRPr="004A319B">
          <w:rPr>
            <w:rStyle w:val="Hyperlink"/>
            <w:rFonts w:ascii="Garamond" w:eastAsiaTheme="majorEastAsia" w:hAnsi="Garamond" w:cs="Calibri"/>
            <w:i/>
            <w:iCs/>
            <w:lang w:val="en-US"/>
          </w:rPr>
          <w:t>Rethinking Investment Law</w:t>
        </w:r>
      </w:hyperlink>
      <w:r w:rsidRPr="004A319B">
        <w:rPr>
          <w:rFonts w:ascii="Garamond" w:hAnsi="Garamond" w:cs="Calibri"/>
          <w:i/>
          <w:iCs/>
          <w:lang w:val="en-US"/>
        </w:rPr>
        <w:t xml:space="preserve">, </w:t>
      </w:r>
      <w:r w:rsidRPr="004A319B">
        <w:rPr>
          <w:rFonts w:ascii="Garamond" w:hAnsi="Garamond" w:cs="Calibri"/>
          <w:lang w:val="en-US"/>
        </w:rPr>
        <w:t>chapter 7, pp. 126-152.</w:t>
      </w:r>
    </w:p>
    <w:p w14:paraId="033ABF60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</w:rPr>
      </w:pPr>
    </w:p>
    <w:p w14:paraId="7FCC7287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  <w:b/>
          <w:smallCaps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III. </w:t>
      </w:r>
      <w:r w:rsidRPr="004A319B">
        <w:rPr>
          <w:rFonts w:ascii="Garamond" w:hAnsi="Garamond" w:cs="Calibri"/>
          <w:b/>
          <w:smallCaps/>
          <w:lang w:val="en-US"/>
        </w:rPr>
        <w:t>Optional Reading</w:t>
      </w:r>
    </w:p>
    <w:p w14:paraId="6152AF23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  <w:b/>
          <w:lang w:val="en-US"/>
        </w:rPr>
      </w:pPr>
    </w:p>
    <w:p w14:paraId="3C15B97E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hyperlink r:id="rId7" w:history="1">
        <w:r w:rsidRPr="004A319B">
          <w:rPr>
            <w:rStyle w:val="Hyperlink"/>
            <w:rFonts w:ascii="Garamond" w:eastAsiaTheme="majorEastAsia" w:hAnsi="Garamond" w:cs="Calibri"/>
            <w:lang w:val="de-DE"/>
          </w:rPr>
          <w:t>Dolzer/</w:t>
        </w:r>
        <w:proofErr w:type="spellStart"/>
        <w:r w:rsidRPr="004A319B">
          <w:rPr>
            <w:rStyle w:val="Hyperlink"/>
            <w:rFonts w:ascii="Garamond" w:eastAsiaTheme="majorEastAsia" w:hAnsi="Garamond" w:cs="Calibri"/>
            <w:lang w:val="de-DE"/>
          </w:rPr>
          <w:t>Schreuer</w:t>
        </w:r>
        <w:proofErr w:type="spellEnd"/>
        <w:r w:rsidRPr="004A319B">
          <w:rPr>
            <w:rStyle w:val="Hyperlink"/>
            <w:rFonts w:ascii="Garamond" w:eastAsiaTheme="majorEastAsia" w:hAnsi="Garamond" w:cs="Calibri"/>
            <w:lang w:val="de-DE"/>
          </w:rPr>
          <w:t>/Kriebaum</w:t>
        </w:r>
      </w:hyperlink>
      <w:r w:rsidRPr="004A319B">
        <w:rPr>
          <w:rFonts w:ascii="Garamond" w:hAnsi="Garamond" w:cs="Calibri"/>
          <w:lang w:val="de-DE"/>
        </w:rPr>
        <w:t xml:space="preserve">, Chapter VIII, </w:t>
      </w:r>
      <w:proofErr w:type="spellStart"/>
      <w:r w:rsidRPr="004A319B">
        <w:rPr>
          <w:rFonts w:ascii="Garamond" w:hAnsi="Garamond" w:cs="Calibri"/>
          <w:lang w:val="de-DE"/>
        </w:rPr>
        <w:t>sections</w:t>
      </w:r>
      <w:proofErr w:type="spellEnd"/>
      <w:r w:rsidRPr="004A319B">
        <w:rPr>
          <w:rFonts w:ascii="Garamond" w:hAnsi="Garamond" w:cs="Calibri"/>
          <w:lang w:val="de-DE"/>
        </w:rPr>
        <w:t xml:space="preserve"> 1, 2, 3, 6.</w:t>
      </w:r>
    </w:p>
    <w:p w14:paraId="2879E034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proofErr w:type="spellStart"/>
      <w:r w:rsidRPr="004A319B">
        <w:rPr>
          <w:rFonts w:ascii="Garamond" w:hAnsi="Garamond" w:cs="Calibri"/>
        </w:rPr>
        <w:t>Dumberry</w:t>
      </w:r>
      <w:proofErr w:type="spellEnd"/>
      <w:r w:rsidRPr="004A319B">
        <w:rPr>
          <w:rFonts w:ascii="Garamond" w:hAnsi="Garamond" w:cs="Calibri"/>
        </w:rPr>
        <w:t>, Has the Fair and Equitable Treatment Standard Become a Rule of Customary International Law? Journal of International Dispute Settlement, 2017, 8, 155-178</w:t>
      </w:r>
    </w:p>
    <w:p w14:paraId="669B0507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proofErr w:type="spellStart"/>
      <w:r w:rsidRPr="004A319B">
        <w:rPr>
          <w:rFonts w:ascii="Garamond" w:hAnsi="Garamond" w:cs="Calibri"/>
          <w:lang w:val="en-US"/>
        </w:rPr>
        <w:t>Bonnitcha</w:t>
      </w:r>
      <w:proofErr w:type="spellEnd"/>
      <w:r w:rsidRPr="004A319B">
        <w:rPr>
          <w:rFonts w:ascii="Garamond" w:hAnsi="Garamond" w:cs="Calibri"/>
          <w:lang w:val="en-US"/>
        </w:rPr>
        <w:t xml:space="preserve">, Poulsen, Waibel, </w:t>
      </w:r>
      <w:r w:rsidRPr="004A319B">
        <w:rPr>
          <w:rFonts w:ascii="Garamond" w:hAnsi="Garamond" w:cs="Calibri"/>
          <w:i/>
          <w:iCs/>
          <w:lang w:val="en-US"/>
        </w:rPr>
        <w:t xml:space="preserve">The Political Economy of the Investment Treaty Regime, </w:t>
      </w:r>
      <w:r w:rsidRPr="004A319B">
        <w:rPr>
          <w:rFonts w:ascii="Garamond" w:hAnsi="Garamond" w:cs="Calibri"/>
          <w:lang w:val="en-US"/>
        </w:rPr>
        <w:t>(OUP, 2017), 108-109.</w:t>
      </w:r>
    </w:p>
    <w:p w14:paraId="641CCB16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4A319B">
        <w:rPr>
          <w:rFonts w:ascii="Garamond" w:hAnsi="Garamond" w:cs="Calibri"/>
        </w:rPr>
        <w:t xml:space="preserve">Potesta, </w:t>
      </w:r>
      <w:hyperlink r:id="rId8" w:history="1">
        <w:r w:rsidRPr="004A319B">
          <w:rPr>
            <w:rStyle w:val="Hyperlink"/>
            <w:rFonts w:ascii="Garamond" w:eastAsiaTheme="majorEastAsia" w:hAnsi="Garamond" w:cs="Calibri"/>
          </w:rPr>
          <w:t>Legitimate Expectations in Investment Treaty Law</w:t>
        </w:r>
      </w:hyperlink>
      <w:r w:rsidRPr="004A319B">
        <w:rPr>
          <w:rFonts w:ascii="Garamond" w:hAnsi="Garamond" w:cs="Calibri"/>
        </w:rPr>
        <w:t>, ICSID Review 28 (2013), 88-122</w:t>
      </w:r>
    </w:p>
    <w:p w14:paraId="3FA7FA43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Style w:val="Emphasis"/>
          <w:rFonts w:ascii="Garamond" w:eastAsiaTheme="majorEastAsia" w:hAnsi="Garamond" w:cs="Calibri"/>
          <w:i w:val="0"/>
          <w:iCs w:val="0"/>
        </w:rPr>
      </w:pPr>
      <w:proofErr w:type="spellStart"/>
      <w:r w:rsidRPr="004A319B">
        <w:rPr>
          <w:rFonts w:ascii="Garamond" w:hAnsi="Garamond" w:cs="Calibri"/>
        </w:rPr>
        <w:t>Yannaca</w:t>
      </w:r>
      <w:proofErr w:type="spellEnd"/>
      <w:r w:rsidRPr="004A319B">
        <w:rPr>
          <w:rFonts w:ascii="Garamond" w:hAnsi="Garamond" w:cs="Calibri"/>
        </w:rPr>
        <w:t>-Small, Fair and Equitable Treatment: Recent Developments, in Reinisch</w:t>
      </w:r>
      <w:r w:rsidRPr="004A319B">
        <w:rPr>
          <w:rFonts w:ascii="Garamond" w:hAnsi="Garamond" w:cs="Calibri"/>
          <w:i/>
        </w:rPr>
        <w:t xml:space="preserve">, </w:t>
      </w:r>
      <w:hyperlink r:id="rId9" w:history="1">
        <w:r w:rsidRPr="004A319B">
          <w:rPr>
            <w:rStyle w:val="Hyperlink"/>
            <w:rFonts w:ascii="Garamond" w:eastAsiaTheme="majorEastAsia" w:hAnsi="Garamond" w:cs="Calibri"/>
          </w:rPr>
          <w:t>Standards</w:t>
        </w:r>
        <w:r w:rsidRPr="004A319B">
          <w:rPr>
            <w:rStyle w:val="Hyperlink"/>
            <w:rFonts w:ascii="Garamond" w:eastAsiaTheme="majorEastAsia" w:hAnsi="Garamond" w:cs="Calibri"/>
            <w:i/>
          </w:rPr>
          <w:t xml:space="preserve"> of </w:t>
        </w:r>
        <w:r w:rsidRPr="004A319B">
          <w:rPr>
            <w:rStyle w:val="Hyperlink"/>
            <w:rFonts w:ascii="Garamond" w:eastAsiaTheme="majorEastAsia" w:hAnsi="Garamond" w:cs="Calibri"/>
          </w:rPr>
          <w:t>Investment Protection</w:t>
        </w:r>
      </w:hyperlink>
      <w:r w:rsidRPr="004A319B">
        <w:rPr>
          <w:rStyle w:val="Emphasis"/>
          <w:rFonts w:ascii="Garamond" w:eastAsiaTheme="majorEastAsia" w:hAnsi="Garamond" w:cs="Calibri"/>
        </w:rPr>
        <w:t>, 111-130</w:t>
      </w:r>
    </w:p>
    <w:p w14:paraId="2A38AC11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Style w:val="Emphasis"/>
          <w:rFonts w:ascii="Garamond" w:eastAsiaTheme="majorEastAsia" w:hAnsi="Garamond" w:cs="Calibri"/>
          <w:i w:val="0"/>
          <w:iCs w:val="0"/>
        </w:rPr>
      </w:pPr>
      <w:hyperlink r:id="rId10" w:history="1">
        <w:r w:rsidRPr="004A319B">
          <w:rPr>
            <w:rStyle w:val="Hyperlink"/>
            <w:rFonts w:ascii="Garamond" w:eastAsiaTheme="majorEastAsia" w:hAnsi="Garamond" w:cs="Calibri"/>
          </w:rPr>
          <w:t>McLachlan/Shore/Weininger</w:t>
        </w:r>
      </w:hyperlink>
      <w:r w:rsidRPr="004A319B">
        <w:rPr>
          <w:rStyle w:val="Emphasis"/>
          <w:rFonts w:ascii="Garamond" w:eastAsiaTheme="majorEastAsia" w:hAnsi="Garamond" w:cs="Calibri"/>
        </w:rPr>
        <w:t>, Chapter 7</w:t>
      </w:r>
    </w:p>
    <w:p w14:paraId="5B2DC5D7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</w:rPr>
      </w:pPr>
    </w:p>
    <w:p w14:paraId="060BB5C1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  <w:b/>
          <w:caps/>
        </w:rPr>
      </w:pPr>
      <w:r w:rsidRPr="004A319B">
        <w:rPr>
          <w:rFonts w:ascii="Garamond" w:hAnsi="Garamond" w:cs="Calibri"/>
          <w:b/>
          <w:caps/>
        </w:rPr>
        <w:t xml:space="preserve">III. </w:t>
      </w:r>
      <w:r w:rsidRPr="004A319B">
        <w:rPr>
          <w:rFonts w:ascii="Garamond" w:hAnsi="Garamond" w:cs="Calibri"/>
          <w:b/>
          <w:smallCaps/>
          <w:lang w:val="en-US"/>
        </w:rPr>
        <w:t>Materials (optional)</w:t>
      </w:r>
    </w:p>
    <w:p w14:paraId="0A486F21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  <w:caps/>
        </w:rPr>
      </w:pPr>
    </w:p>
    <w:p w14:paraId="17DBF971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4A319B">
        <w:rPr>
          <w:rFonts w:ascii="Garamond" w:hAnsi="Garamond" w:cs="Calibri"/>
        </w:rPr>
        <w:t xml:space="preserve">Sections on the duty of States to treat investors “equitably and reasonably” in in </w:t>
      </w:r>
      <w:proofErr w:type="spellStart"/>
      <w:r w:rsidRPr="004A319B">
        <w:rPr>
          <w:rStyle w:val="Emphasis"/>
          <w:rFonts w:ascii="Garamond" w:eastAsiaTheme="majorEastAsia" w:hAnsi="Garamond" w:cs="Calibri"/>
        </w:rPr>
        <w:t>Parkerings</w:t>
      </w:r>
      <w:r w:rsidRPr="004A319B">
        <w:rPr>
          <w:rStyle w:val="apple-style-span"/>
          <w:rFonts w:ascii="Garamond" w:eastAsiaTheme="majorEastAsia" w:hAnsi="Garamond" w:cs="Calibri"/>
        </w:rPr>
        <w:t>-Compagniet</w:t>
      </w:r>
      <w:proofErr w:type="spellEnd"/>
      <w:r w:rsidRPr="004A319B">
        <w:rPr>
          <w:rStyle w:val="apple-style-span"/>
          <w:rFonts w:ascii="Garamond" w:eastAsiaTheme="majorEastAsia" w:hAnsi="Garamond" w:cs="Calibri"/>
        </w:rPr>
        <w:t xml:space="preserve"> AS</w:t>
      </w:r>
      <w:r w:rsidRPr="004A319B">
        <w:rPr>
          <w:rStyle w:val="apple-converted-space"/>
          <w:rFonts w:ascii="Garamond" w:eastAsiaTheme="majorEastAsia" w:hAnsi="Garamond" w:cs="Calibri"/>
        </w:rPr>
        <w:t> </w:t>
      </w:r>
      <w:r w:rsidRPr="004A319B">
        <w:rPr>
          <w:rFonts w:ascii="Garamond" w:hAnsi="Garamond" w:cs="Calibri"/>
          <w:i/>
        </w:rPr>
        <w:t>v. Lithuania</w:t>
      </w:r>
      <w:r w:rsidRPr="004A319B">
        <w:rPr>
          <w:rStyle w:val="apple-style-span"/>
          <w:rFonts w:ascii="Garamond" w:eastAsiaTheme="majorEastAsia" w:hAnsi="Garamond" w:cs="Calibri"/>
        </w:rPr>
        <w:t>, ICSID Case No. ARB/05/8 (</w:t>
      </w:r>
      <w:hyperlink r:id="rId11" w:history="1">
        <w:r w:rsidRPr="004A319B">
          <w:rPr>
            <w:rStyle w:val="Hyperlink"/>
            <w:rFonts w:ascii="Garamond" w:eastAsiaTheme="majorEastAsia" w:hAnsi="Garamond" w:cs="Calibri"/>
          </w:rPr>
          <w:t>http://ita.law.uvic.ca/documents/Pakerings.pdf</w:t>
        </w:r>
      </w:hyperlink>
      <w:r w:rsidRPr="004A319B">
        <w:rPr>
          <w:rFonts w:ascii="Garamond" w:hAnsi="Garamond" w:cs="Calibri"/>
        </w:rPr>
        <w:t>)</w:t>
      </w:r>
    </w:p>
    <w:p w14:paraId="6CFD1D38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4A319B">
        <w:rPr>
          <w:rFonts w:ascii="Garamond" w:hAnsi="Garamond" w:cs="Calibri"/>
        </w:rPr>
        <w:t xml:space="preserve">section B of the NAFTA Free Trade Commission’s Note on the Interpretation of Art. 1105, </w:t>
      </w:r>
      <w:hyperlink r:id="rId12" w:history="1">
        <w:r w:rsidRPr="004A319B">
          <w:rPr>
            <w:rStyle w:val="Hyperlink"/>
            <w:rFonts w:ascii="Garamond" w:eastAsiaTheme="majorEastAsia" w:hAnsi="Garamond" w:cs="Calibri"/>
          </w:rPr>
          <w:t>http://www.sice.oas.org/tpd/nafta/Commission/CH11understanding_e.asp</w:t>
        </w:r>
      </w:hyperlink>
    </w:p>
    <w:p w14:paraId="4556DDE3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4A319B">
        <w:rPr>
          <w:rFonts w:ascii="Garamond" w:hAnsi="Garamond" w:cs="Calibri"/>
        </w:rPr>
        <w:t xml:space="preserve">Article 5 and commentary of the South African Development Community (SADC) draft of a Model BIT: </w:t>
      </w:r>
      <w:hyperlink r:id="rId13" w:history="1">
        <w:r w:rsidRPr="004A319B">
          <w:rPr>
            <w:rStyle w:val="Hyperlink"/>
            <w:rFonts w:ascii="Garamond" w:eastAsiaTheme="majorEastAsia" w:hAnsi="Garamond" w:cs="Calibri"/>
          </w:rPr>
          <w:t>http://www.iisd.org/itn/wp-content/uploads/2012/10/SADC-Model-BIT-Template-Final.pdf</w:t>
        </w:r>
      </w:hyperlink>
      <w:r w:rsidRPr="004A319B">
        <w:rPr>
          <w:rFonts w:ascii="Garamond" w:hAnsi="Garamond" w:cs="Calibri"/>
        </w:rPr>
        <w:t xml:space="preserve"> </w:t>
      </w:r>
    </w:p>
    <w:p w14:paraId="308B2090" w14:textId="77777777" w:rsidR="006F509E" w:rsidRPr="004A319B" w:rsidRDefault="006F509E" w:rsidP="006F509E">
      <w:pPr>
        <w:pStyle w:val="BodyTextIndent"/>
        <w:numPr>
          <w:ilvl w:val="0"/>
          <w:numId w:val="1"/>
        </w:numPr>
        <w:jc w:val="left"/>
        <w:rPr>
          <w:rFonts w:ascii="Garamond" w:hAnsi="Garamond" w:cs="Calibri"/>
        </w:rPr>
      </w:pPr>
      <w:r w:rsidRPr="004A319B">
        <w:rPr>
          <w:rFonts w:ascii="Garamond" w:hAnsi="Garamond" w:cs="Calibri"/>
        </w:rPr>
        <w:t>The 2016 Indian Model BIT (uploaded)</w:t>
      </w:r>
    </w:p>
    <w:p w14:paraId="646CF8A5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</w:rPr>
      </w:pPr>
    </w:p>
    <w:p w14:paraId="438BC4F5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  <w:b/>
          <w:smallCaps/>
          <w:lang w:val="en-US"/>
        </w:rPr>
      </w:pPr>
      <w:r w:rsidRPr="004A319B">
        <w:rPr>
          <w:rFonts w:ascii="Garamond" w:hAnsi="Garamond" w:cs="Calibri"/>
          <w:b/>
          <w:lang w:val="en-US"/>
        </w:rPr>
        <w:t xml:space="preserve">IV. </w:t>
      </w:r>
      <w:r w:rsidRPr="004A319B">
        <w:rPr>
          <w:rFonts w:ascii="Garamond" w:hAnsi="Garamond" w:cs="Calibri"/>
          <w:b/>
          <w:smallCaps/>
          <w:lang w:val="en-US"/>
        </w:rPr>
        <w:t>Discussion Prompts</w:t>
      </w:r>
    </w:p>
    <w:p w14:paraId="640FBDDF" w14:textId="77777777" w:rsidR="006F509E" w:rsidRPr="004A319B" w:rsidRDefault="006F509E" w:rsidP="006F509E">
      <w:pPr>
        <w:pStyle w:val="BodyTextIndent"/>
        <w:jc w:val="left"/>
        <w:rPr>
          <w:rFonts w:ascii="Garamond" w:hAnsi="Garamond" w:cs="Calibri"/>
          <w:b/>
          <w:lang w:val="en-US"/>
        </w:rPr>
      </w:pPr>
    </w:p>
    <w:p w14:paraId="4AF4102B" w14:textId="77777777" w:rsidR="006F509E" w:rsidRPr="004A319B" w:rsidRDefault="006F509E" w:rsidP="006F509E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>Do you agree with the NAFTA Free Trade Commission that FET clauses “</w:t>
      </w:r>
      <w:r w:rsidRPr="004A319B">
        <w:rPr>
          <w:rFonts w:ascii="Garamond" w:hAnsi="Garamond" w:cs="Calibri"/>
        </w:rPr>
        <w:t>do not require treatment in addition to or beyond that which is required by the customary international law minimum standard of treatment of aliens”?</w:t>
      </w:r>
    </w:p>
    <w:p w14:paraId="101D1AA4" w14:textId="77777777" w:rsidR="006F509E" w:rsidRPr="004A319B" w:rsidRDefault="006F509E" w:rsidP="006F509E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>How have arbitral tribunals interpreted the scope of FET clauses? Has the clause become a “catch-all” provision which allows investors to have all forms of host State conduct?</w:t>
      </w:r>
    </w:p>
    <w:p w14:paraId="4793B0F6" w14:textId="77777777" w:rsidR="006F509E" w:rsidRPr="004A319B" w:rsidRDefault="006F509E" w:rsidP="006F509E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>What are the main elements of the FET standard? What types of measures have been attacked by reference to it?</w:t>
      </w:r>
    </w:p>
    <w:p w14:paraId="07F8ADBB" w14:textId="77777777" w:rsidR="006F509E" w:rsidRPr="004A319B" w:rsidRDefault="006F509E" w:rsidP="006F509E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 xml:space="preserve">What is the relationship between the FET standard and the notion of indirect expropriation? Identify measures that could be said to be a violation of both standards.   </w:t>
      </w:r>
    </w:p>
    <w:p w14:paraId="6A2D82AC" w14:textId="77777777" w:rsidR="006F509E" w:rsidRPr="004A319B" w:rsidRDefault="006F509E" w:rsidP="006F509E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 xml:space="preserve">How can it be assessed whether an investor’s expectation is legitimate (and therefore protected by an FET clause)? Discuss with reference to the </w:t>
      </w:r>
      <w:proofErr w:type="spellStart"/>
      <w:r w:rsidRPr="004A319B">
        <w:rPr>
          <w:rFonts w:ascii="Garamond" w:eastAsia="TTE65D52E0t00" w:hAnsi="Garamond" w:cs="Calibri"/>
          <w:i/>
        </w:rPr>
        <w:t>Parkerings</w:t>
      </w:r>
      <w:proofErr w:type="spellEnd"/>
      <w:r w:rsidRPr="004A319B">
        <w:rPr>
          <w:rFonts w:ascii="Garamond" w:eastAsia="TTE65D52E0t00" w:hAnsi="Garamond" w:cs="Calibri"/>
          <w:i/>
        </w:rPr>
        <w:t xml:space="preserve"> case.</w:t>
      </w:r>
    </w:p>
    <w:p w14:paraId="6EFAF2F9" w14:textId="77777777" w:rsidR="006F509E" w:rsidRPr="004A319B" w:rsidRDefault="006F509E" w:rsidP="006F509E">
      <w:pPr>
        <w:numPr>
          <w:ilvl w:val="0"/>
          <w:numId w:val="1"/>
        </w:numPr>
        <w:autoSpaceDE w:val="0"/>
        <w:autoSpaceDN w:val="0"/>
        <w:adjustRightInd w:val="0"/>
        <w:rPr>
          <w:rFonts w:ascii="Garamond" w:eastAsia="TTE65D52E0t00" w:hAnsi="Garamond" w:cs="Calibri"/>
        </w:rPr>
      </w:pPr>
      <w:r w:rsidRPr="004A319B">
        <w:rPr>
          <w:rFonts w:ascii="Garamond" w:eastAsia="TTE65D52E0t00" w:hAnsi="Garamond" w:cs="Calibri"/>
        </w:rPr>
        <w:t xml:space="preserve">Judging from the SADC and Indian model treaties mentioned above (‘Materials’), how do States seek to respond to  </w:t>
      </w:r>
    </w:p>
    <w:p w14:paraId="35998E0F" w14:textId="2C482947" w:rsidR="00D02F8C" w:rsidRDefault="006F509E" w:rsidP="006F509E">
      <w:r w:rsidRPr="004A319B">
        <w:rPr>
          <w:rFonts w:ascii="Garamond" w:eastAsia="TTE65D52E0t00" w:hAnsi="Garamond" w:cs="Calibri"/>
        </w:rPr>
        <w:lastRenderedPageBreak/>
        <w:t>What is the rationale of umbrella clauses contained in many BITs? Should they be taken at face value? Why (not)?</w:t>
      </w:r>
    </w:p>
    <w:sectPr w:rsidR="00D02F8C" w:rsidSect="0031449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TE65D52E0t00">
    <w:altName w:val="Arial Unicode MS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6717"/>
    <w:multiLevelType w:val="hybridMultilevel"/>
    <w:tmpl w:val="03BE09CC"/>
    <w:lvl w:ilvl="0" w:tplc="294474DE">
      <w:start w:val="1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249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9E"/>
    <w:rsid w:val="000E4C97"/>
    <w:rsid w:val="001A4CDD"/>
    <w:rsid w:val="00244A40"/>
    <w:rsid w:val="00314493"/>
    <w:rsid w:val="0067096F"/>
    <w:rsid w:val="006F509E"/>
    <w:rsid w:val="00814379"/>
    <w:rsid w:val="008904DD"/>
    <w:rsid w:val="00903AF5"/>
    <w:rsid w:val="00AE29CE"/>
    <w:rsid w:val="00D02F8C"/>
    <w:rsid w:val="00F87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C7B49"/>
  <w15:chartTrackingRefBased/>
  <w15:docId w15:val="{B90B03B3-F343-834D-BAD3-A7762B690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09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6F509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6F509E"/>
    <w:pPr>
      <w:ind w:left="540" w:hanging="540"/>
      <w:jc w:val="both"/>
    </w:pPr>
    <w:rPr>
      <w:lang w:val="en-GB" w:eastAsia="it-IT"/>
    </w:rPr>
  </w:style>
  <w:style w:type="character" w:customStyle="1" w:styleId="BodyTextIndentChar">
    <w:name w:val="Body Text Indent Char"/>
    <w:basedOn w:val="DefaultParagraphFont"/>
    <w:link w:val="BodyTextIndent"/>
    <w:rsid w:val="006F509E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mphasis">
    <w:name w:val="Emphasis"/>
    <w:qFormat/>
    <w:rsid w:val="006F509E"/>
    <w:rPr>
      <w:i/>
      <w:iCs/>
    </w:rPr>
  </w:style>
  <w:style w:type="character" w:customStyle="1" w:styleId="apple-converted-space">
    <w:name w:val="apple-converted-space"/>
    <w:rsid w:val="006F509E"/>
  </w:style>
  <w:style w:type="character" w:customStyle="1" w:styleId="apple-style-span">
    <w:name w:val="apple-style-span"/>
    <w:rsid w:val="006F5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lngavie.cent.gla.ac.uk/idp/profile/SAML2/POST/SSO?execution=e2s1" TargetMode="External"/><Relationship Id="rId13" Type="http://schemas.openxmlformats.org/officeDocument/2006/relationships/hyperlink" Target="http://www.iisd.org/itn/wp-content/uploads/2012/10/SADC-Model-BIT-Template-Final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il.ouplaw.com/display/10.1093/law/9780192857804.001.0001/law-9780192857804" TargetMode="External"/><Relationship Id="rId12" Type="http://schemas.openxmlformats.org/officeDocument/2006/relationships/hyperlink" Target="http://www.sice.oas.org/tpd/nafta/Commission/CH11understanding_e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.exlibris.link/wDVcG00l" TargetMode="External"/><Relationship Id="rId11" Type="http://schemas.openxmlformats.org/officeDocument/2006/relationships/hyperlink" Target="http://ita.law.uvic.ca/documents/Pakerings.pdf" TargetMode="External"/><Relationship Id="rId5" Type="http://schemas.openxmlformats.org/officeDocument/2006/relationships/hyperlink" Target="https://go.exlibris.link/g2MP9cxF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xia.ouplaw.com/display/10.1093/law/9780199676798.001.0001/law-97801996767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eleanor.lib.gla.ac.uk/record=b270868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2713</Characters>
  <Application>Microsoft Office Word</Application>
  <DocSecurity>0</DocSecurity>
  <Lines>44</Lines>
  <Paragraphs>10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Devaney</dc:creator>
  <cp:keywords/>
  <dc:description/>
  <cp:lastModifiedBy>James Devaney</cp:lastModifiedBy>
  <cp:revision>1</cp:revision>
  <dcterms:created xsi:type="dcterms:W3CDTF">2025-10-07T10:58:00Z</dcterms:created>
  <dcterms:modified xsi:type="dcterms:W3CDTF">2025-10-07T10:59:00Z</dcterms:modified>
</cp:coreProperties>
</file>