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5A80" w14:textId="77777777" w:rsidR="00913824" w:rsidRPr="00913824" w:rsidRDefault="00913824" w:rsidP="00913824">
      <w:pPr>
        <w:jc w:val="center"/>
        <w:rPr>
          <w:rFonts w:ascii="Garamond" w:hAnsi="Garamond" w:cs="Calibri"/>
          <w:smallCaps/>
        </w:rPr>
      </w:pPr>
      <w:r w:rsidRPr="00913824">
        <w:rPr>
          <w:rFonts w:ascii="Garamond" w:hAnsi="Garamond" w:cs="Calibri"/>
          <w:b/>
          <w:smallCaps/>
        </w:rPr>
        <w:t>Seminar 5 – National Treatment and Most-</w:t>
      </w:r>
      <w:proofErr w:type="spellStart"/>
      <w:r w:rsidRPr="00913824">
        <w:rPr>
          <w:rFonts w:ascii="Garamond" w:hAnsi="Garamond" w:cs="Calibri"/>
          <w:b/>
          <w:smallCaps/>
        </w:rPr>
        <w:t>Favoured</w:t>
      </w:r>
      <w:proofErr w:type="spellEnd"/>
      <w:r w:rsidRPr="00913824">
        <w:rPr>
          <w:rFonts w:ascii="Garamond" w:hAnsi="Garamond" w:cs="Calibri"/>
          <w:b/>
          <w:smallCaps/>
        </w:rPr>
        <w:t xml:space="preserve"> Nation Treatment</w:t>
      </w:r>
    </w:p>
    <w:p w14:paraId="375A9314" w14:textId="77777777" w:rsidR="00913824" w:rsidRPr="00913824" w:rsidRDefault="00913824" w:rsidP="00913824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28C9310C" w14:textId="77777777" w:rsidR="00913824" w:rsidRPr="00913824" w:rsidRDefault="00913824" w:rsidP="00913824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496B577A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913824">
        <w:rPr>
          <w:rFonts w:ascii="Garamond" w:hAnsi="Garamond" w:cs="Calibri"/>
          <w:b/>
          <w:lang w:val="en-US"/>
        </w:rPr>
        <w:t xml:space="preserve">I. </w:t>
      </w:r>
      <w:r w:rsidRPr="00913824">
        <w:rPr>
          <w:rFonts w:ascii="Garamond" w:hAnsi="Garamond" w:cs="Calibri"/>
          <w:b/>
          <w:smallCaps/>
          <w:lang w:val="en-US"/>
        </w:rPr>
        <w:t>Essential Reading</w:t>
      </w:r>
    </w:p>
    <w:p w14:paraId="3607AD0D" w14:textId="77777777" w:rsidR="00913824" w:rsidRPr="00913824" w:rsidRDefault="00913824" w:rsidP="00913824">
      <w:pPr>
        <w:pStyle w:val="ListParagraph"/>
        <w:ind w:left="644"/>
        <w:rPr>
          <w:rFonts w:ascii="Garamond" w:hAnsi="Garamond" w:cs="Calibri"/>
          <w:shd w:val="clear" w:color="auto" w:fill="FFFFFF"/>
          <w:lang w:val="de-DE"/>
        </w:rPr>
      </w:pPr>
    </w:p>
    <w:p w14:paraId="5F869B5F" w14:textId="77777777" w:rsidR="00913824" w:rsidRPr="00913824" w:rsidRDefault="00913824" w:rsidP="00913824">
      <w:pPr>
        <w:pStyle w:val="ListParagraph"/>
        <w:numPr>
          <w:ilvl w:val="0"/>
          <w:numId w:val="1"/>
        </w:numPr>
        <w:rPr>
          <w:rFonts w:ascii="Garamond" w:hAnsi="Garamond" w:cs="Calibri"/>
          <w:shd w:val="clear" w:color="auto" w:fill="FFFFFF"/>
        </w:rPr>
      </w:pPr>
      <w:hyperlink r:id="rId5" w:history="1">
        <w:r w:rsidRPr="00913824">
          <w:rPr>
            <w:rStyle w:val="Hyperlink"/>
            <w:rFonts w:ascii="Garamond" w:eastAsiaTheme="majorEastAsia" w:hAnsi="Garamond" w:cs="Calibri"/>
          </w:rPr>
          <w:t xml:space="preserve">Lim, Ho &amp; </w:t>
        </w:r>
        <w:proofErr w:type="spellStart"/>
        <w:r w:rsidRPr="00913824">
          <w:rPr>
            <w:rStyle w:val="Hyperlink"/>
            <w:rFonts w:ascii="Garamond" w:eastAsiaTheme="majorEastAsia" w:hAnsi="Garamond" w:cs="Calibri"/>
          </w:rPr>
          <w:t>Paparinskis</w:t>
        </w:r>
        <w:proofErr w:type="spellEnd"/>
      </w:hyperlink>
      <w:r w:rsidRPr="00913824">
        <w:rPr>
          <w:rFonts w:ascii="Garamond" w:hAnsi="Garamond" w:cs="Calibri"/>
        </w:rPr>
        <w:t>, 367-398</w:t>
      </w:r>
      <w:r w:rsidRPr="00913824">
        <w:rPr>
          <w:rFonts w:ascii="Garamond" w:hAnsi="Garamond" w:cs="Calibri"/>
        </w:rPr>
        <w:br/>
        <w:t>OR</w:t>
      </w:r>
    </w:p>
    <w:p w14:paraId="4A036893" w14:textId="77777777" w:rsidR="00913824" w:rsidRPr="00913824" w:rsidRDefault="00913824" w:rsidP="00913824">
      <w:pPr>
        <w:pStyle w:val="ListParagraph"/>
        <w:numPr>
          <w:ilvl w:val="0"/>
          <w:numId w:val="1"/>
        </w:numPr>
        <w:rPr>
          <w:rFonts w:ascii="Garamond" w:hAnsi="Garamond" w:cs="Calibri"/>
          <w:shd w:val="clear" w:color="auto" w:fill="FFFFFF"/>
        </w:rPr>
      </w:pPr>
      <w:r w:rsidRPr="00913824">
        <w:rPr>
          <w:rFonts w:ascii="Garamond" w:hAnsi="Garamond" w:cs="Calibri"/>
        </w:rPr>
        <w:t xml:space="preserve">Schneiderman, ‘National Treatment’ in Schneiderman and Van Harten, </w:t>
      </w:r>
      <w:hyperlink r:id="rId6" w:history="1">
        <w:r w:rsidRPr="00913824">
          <w:rPr>
            <w:rStyle w:val="Hyperlink"/>
            <w:rFonts w:ascii="Garamond" w:eastAsiaTheme="majorEastAsia" w:hAnsi="Garamond" w:cs="Calibri"/>
            <w:i/>
            <w:iCs/>
          </w:rPr>
          <w:t>Rethinking Investment Law</w:t>
        </w:r>
      </w:hyperlink>
      <w:r w:rsidRPr="00913824">
        <w:rPr>
          <w:rFonts w:ascii="Garamond" w:hAnsi="Garamond" w:cs="Calibri"/>
          <w:i/>
          <w:iCs/>
        </w:rPr>
        <w:t xml:space="preserve">, </w:t>
      </w:r>
      <w:r w:rsidRPr="00913824">
        <w:rPr>
          <w:rFonts w:ascii="Garamond" w:hAnsi="Garamond" w:cs="Calibri"/>
        </w:rPr>
        <w:t>chapter 2, pp. 7-37.</w:t>
      </w:r>
    </w:p>
    <w:p w14:paraId="7FCF99CD" w14:textId="77777777" w:rsidR="00913824" w:rsidRPr="00913824" w:rsidRDefault="00913824" w:rsidP="00913824">
      <w:pPr>
        <w:pStyle w:val="ListParagraph"/>
        <w:numPr>
          <w:ilvl w:val="0"/>
          <w:numId w:val="1"/>
        </w:numPr>
        <w:rPr>
          <w:rFonts w:ascii="Garamond" w:hAnsi="Garamond" w:cs="Calibri"/>
          <w:shd w:val="clear" w:color="auto" w:fill="FFFFFF"/>
        </w:rPr>
      </w:pPr>
      <w:r w:rsidRPr="00913824">
        <w:rPr>
          <w:rFonts w:ascii="Garamond" w:hAnsi="Garamond" w:cs="Calibri"/>
        </w:rPr>
        <w:t xml:space="preserve">Yilmaz, ‘Most </w:t>
      </w:r>
      <w:proofErr w:type="spellStart"/>
      <w:r w:rsidRPr="00913824">
        <w:rPr>
          <w:rFonts w:ascii="Garamond" w:hAnsi="Garamond" w:cs="Calibri"/>
        </w:rPr>
        <w:t>Favoured</w:t>
      </w:r>
      <w:proofErr w:type="spellEnd"/>
      <w:r w:rsidRPr="00913824">
        <w:rPr>
          <w:rFonts w:ascii="Garamond" w:hAnsi="Garamond" w:cs="Calibri"/>
        </w:rPr>
        <w:t xml:space="preserve"> National Treatment’ in Schneiderman and Van Harten, </w:t>
      </w:r>
      <w:hyperlink r:id="rId7" w:history="1">
        <w:r w:rsidRPr="00913824">
          <w:rPr>
            <w:rStyle w:val="Hyperlink"/>
            <w:rFonts w:ascii="Garamond" w:eastAsiaTheme="majorEastAsia" w:hAnsi="Garamond" w:cs="Calibri"/>
            <w:i/>
            <w:iCs/>
          </w:rPr>
          <w:t>Rethinking Investment Law</w:t>
        </w:r>
      </w:hyperlink>
      <w:r w:rsidRPr="00913824">
        <w:rPr>
          <w:rFonts w:ascii="Garamond" w:hAnsi="Garamond" w:cs="Calibri"/>
          <w:i/>
          <w:iCs/>
        </w:rPr>
        <w:t xml:space="preserve">, </w:t>
      </w:r>
      <w:r w:rsidRPr="00913824">
        <w:rPr>
          <w:rFonts w:ascii="Garamond" w:hAnsi="Garamond" w:cs="Calibri"/>
        </w:rPr>
        <w:t>chapter 3, pp. 38-63.</w:t>
      </w:r>
    </w:p>
    <w:p w14:paraId="5A4C5BD6" w14:textId="77777777" w:rsidR="00913824" w:rsidRPr="00913824" w:rsidRDefault="00913824" w:rsidP="00913824">
      <w:pPr>
        <w:pStyle w:val="BodyTextIndent"/>
        <w:ind w:left="0" w:firstLine="0"/>
        <w:jc w:val="left"/>
        <w:rPr>
          <w:rFonts w:ascii="Garamond" w:hAnsi="Garamond" w:cs="Calibri"/>
        </w:rPr>
      </w:pPr>
    </w:p>
    <w:p w14:paraId="3E6BFF14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913824">
        <w:rPr>
          <w:rFonts w:ascii="Garamond" w:hAnsi="Garamond" w:cs="Calibri"/>
          <w:b/>
          <w:lang w:val="en-US"/>
        </w:rPr>
        <w:t xml:space="preserve">II. </w:t>
      </w:r>
      <w:r w:rsidRPr="00913824">
        <w:rPr>
          <w:rFonts w:ascii="Garamond" w:hAnsi="Garamond" w:cs="Calibri"/>
          <w:b/>
          <w:smallCaps/>
          <w:lang w:val="en-US"/>
        </w:rPr>
        <w:t>Optional Reading</w:t>
      </w:r>
    </w:p>
    <w:p w14:paraId="5025700A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lang w:val="en-US"/>
        </w:rPr>
      </w:pPr>
    </w:p>
    <w:p w14:paraId="47481E4D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hyperlink r:id="rId8" w:history="1">
        <w:r w:rsidRPr="00913824">
          <w:rPr>
            <w:rStyle w:val="Hyperlink"/>
            <w:rFonts w:ascii="Garamond" w:eastAsiaTheme="majorEastAsia" w:hAnsi="Garamond" w:cs="Calibri"/>
            <w:lang w:val="de-DE"/>
          </w:rPr>
          <w:t>Dolzer/</w:t>
        </w:r>
        <w:proofErr w:type="spellStart"/>
        <w:r w:rsidRPr="00913824">
          <w:rPr>
            <w:rStyle w:val="Hyperlink"/>
            <w:rFonts w:ascii="Garamond" w:eastAsiaTheme="majorEastAsia" w:hAnsi="Garamond" w:cs="Calibri"/>
            <w:lang w:val="de-DE"/>
          </w:rPr>
          <w:t>Schreuer</w:t>
        </w:r>
        <w:proofErr w:type="spellEnd"/>
        <w:r w:rsidRPr="00913824">
          <w:rPr>
            <w:rStyle w:val="Hyperlink"/>
            <w:rFonts w:ascii="Garamond" w:eastAsiaTheme="majorEastAsia" w:hAnsi="Garamond" w:cs="Calibri"/>
            <w:lang w:val="de-DE"/>
          </w:rPr>
          <w:t>/Kriebaum</w:t>
        </w:r>
      </w:hyperlink>
      <w:r w:rsidRPr="00913824">
        <w:rPr>
          <w:rFonts w:ascii="Garamond" w:hAnsi="Garamond" w:cs="Calibri"/>
          <w:lang w:val="de-DE"/>
        </w:rPr>
        <w:t>, pp 252 -271.</w:t>
      </w:r>
    </w:p>
    <w:p w14:paraId="34BF54AD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proofErr w:type="spellStart"/>
      <w:r w:rsidRPr="00913824">
        <w:rPr>
          <w:rFonts w:ascii="Garamond" w:hAnsi="Garamond" w:cs="Calibri"/>
          <w:lang w:val="en-US"/>
        </w:rPr>
        <w:t>Bonnitcha</w:t>
      </w:r>
      <w:proofErr w:type="spellEnd"/>
      <w:r w:rsidRPr="00913824">
        <w:rPr>
          <w:rFonts w:ascii="Garamond" w:hAnsi="Garamond" w:cs="Calibri"/>
          <w:lang w:val="en-US"/>
        </w:rPr>
        <w:t xml:space="preserve">, Poulsen, Waibel, </w:t>
      </w:r>
      <w:r w:rsidRPr="00913824">
        <w:rPr>
          <w:rFonts w:ascii="Garamond" w:hAnsi="Garamond" w:cs="Calibri"/>
          <w:i/>
          <w:iCs/>
          <w:lang w:val="en-US"/>
        </w:rPr>
        <w:t xml:space="preserve">The Political Economy of the Investment Treaty Regime, </w:t>
      </w:r>
      <w:r w:rsidRPr="00913824">
        <w:rPr>
          <w:rFonts w:ascii="Garamond" w:hAnsi="Garamond" w:cs="Calibri"/>
          <w:lang w:val="en-US"/>
        </w:rPr>
        <w:t>(OUP, 2017), 95-104.</w:t>
      </w:r>
    </w:p>
    <w:p w14:paraId="2B204F7C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hyperlink r:id="rId9" w:history="1">
        <w:r w:rsidRPr="00913824">
          <w:rPr>
            <w:rStyle w:val="Hyperlink"/>
            <w:rFonts w:ascii="Garamond" w:eastAsiaTheme="majorEastAsia" w:hAnsi="Garamond" w:cs="Calibri"/>
            <w:lang w:val="en-US"/>
          </w:rPr>
          <w:t xml:space="preserve">Hilf/Geiss, </w:t>
        </w:r>
        <w:r w:rsidRPr="00913824">
          <w:rPr>
            <w:rStyle w:val="Hyperlink"/>
            <w:rFonts w:ascii="Garamond" w:eastAsiaTheme="majorEastAsia" w:hAnsi="Garamond" w:cs="Calibri"/>
            <w:bCs/>
          </w:rPr>
          <w:t>Most-Favoured-Nation Clause</w:t>
        </w:r>
      </w:hyperlink>
      <w:r w:rsidRPr="00913824">
        <w:rPr>
          <w:rFonts w:ascii="Garamond" w:hAnsi="Garamond" w:cs="Calibri"/>
          <w:bCs/>
        </w:rPr>
        <w:t xml:space="preserve">, in: Max Planck </w:t>
      </w:r>
      <w:proofErr w:type="spellStart"/>
      <w:r w:rsidRPr="00913824">
        <w:rPr>
          <w:rFonts w:ascii="Garamond" w:hAnsi="Garamond" w:cs="Calibri"/>
          <w:bCs/>
        </w:rPr>
        <w:t>Encyclopedia</w:t>
      </w:r>
      <w:proofErr w:type="spellEnd"/>
      <w:r w:rsidRPr="00913824">
        <w:rPr>
          <w:rFonts w:ascii="Garamond" w:hAnsi="Garamond" w:cs="Calibri"/>
          <w:bCs/>
        </w:rPr>
        <w:t xml:space="preserve"> of Public International Law (</w:t>
      </w:r>
      <w:hyperlink r:id="rId10" w:history="1">
        <w:r w:rsidRPr="00913824">
          <w:rPr>
            <w:rStyle w:val="Hyperlink"/>
            <w:rFonts w:ascii="Garamond" w:eastAsiaTheme="majorEastAsia" w:hAnsi="Garamond" w:cs="Calibri"/>
            <w:bCs/>
          </w:rPr>
          <w:t>www.mpepil.com</w:t>
        </w:r>
      </w:hyperlink>
      <w:r w:rsidRPr="00913824">
        <w:rPr>
          <w:rFonts w:ascii="Garamond" w:hAnsi="Garamond" w:cs="Calibri"/>
          <w:bCs/>
        </w:rPr>
        <w:t>)</w:t>
      </w:r>
    </w:p>
    <w:p w14:paraId="11960B56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913824">
        <w:rPr>
          <w:rFonts w:ascii="Garamond" w:hAnsi="Garamond" w:cs="Calibri"/>
        </w:rPr>
        <w:t>Gaillard, Establishing Jurisdiction through MFN Clauses, New York Law Journal 233 No. 105 (</w:t>
      </w:r>
      <w:hyperlink r:id="rId11" w:history="1">
        <w:r w:rsidRPr="00913824">
          <w:rPr>
            <w:rStyle w:val="Hyperlink"/>
            <w:rFonts w:ascii="Garamond" w:eastAsiaTheme="majorEastAsia" w:hAnsi="Garamond" w:cs="Calibri"/>
          </w:rPr>
          <w:t>http://ita.law.uvic.ca/documents/Maffezini-Jurisdiction-English_001.pdf</w:t>
        </w:r>
      </w:hyperlink>
      <w:r w:rsidRPr="00913824">
        <w:rPr>
          <w:rFonts w:ascii="Garamond" w:hAnsi="Garamond" w:cs="Calibri"/>
        </w:rPr>
        <w:t>)</w:t>
      </w:r>
    </w:p>
    <w:p w14:paraId="443D9A10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913824">
        <w:rPr>
          <w:rFonts w:ascii="Garamond" w:hAnsi="Garamond" w:cs="Calibri"/>
        </w:rPr>
        <w:t xml:space="preserve">Douglas, </w:t>
      </w:r>
      <w:hyperlink r:id="rId12" w:history="1">
        <w:r w:rsidRPr="00913824">
          <w:rPr>
            <w:rStyle w:val="Hyperlink"/>
            <w:rFonts w:ascii="Garamond" w:eastAsiaTheme="majorEastAsia" w:hAnsi="Garamond" w:cs="Calibri"/>
          </w:rPr>
          <w:t>The International Law of Investment Claims</w:t>
        </w:r>
      </w:hyperlink>
      <w:r w:rsidRPr="00913824">
        <w:rPr>
          <w:rFonts w:ascii="Garamond" w:hAnsi="Garamond" w:cs="Calibri"/>
        </w:rPr>
        <w:t>, 344-362</w:t>
      </w:r>
    </w:p>
    <w:p w14:paraId="0A4C3E05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</w:rPr>
      </w:pPr>
    </w:p>
    <w:p w14:paraId="29F3F001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913824">
        <w:rPr>
          <w:rFonts w:ascii="Garamond" w:hAnsi="Garamond" w:cs="Calibri"/>
          <w:b/>
          <w:caps/>
        </w:rPr>
        <w:t xml:space="preserve">III. </w:t>
      </w:r>
      <w:r w:rsidRPr="00913824">
        <w:rPr>
          <w:rFonts w:ascii="Garamond" w:hAnsi="Garamond" w:cs="Calibri"/>
          <w:b/>
          <w:smallCaps/>
          <w:lang w:val="en-US"/>
        </w:rPr>
        <w:t>Materials (optional)</w:t>
      </w:r>
    </w:p>
    <w:p w14:paraId="0E4B13F5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caps/>
        </w:rPr>
      </w:pPr>
    </w:p>
    <w:p w14:paraId="71495D51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913824">
        <w:rPr>
          <w:rFonts w:ascii="Garamond" w:eastAsia="TTE65D52E0t00" w:hAnsi="Garamond" w:cs="Calibri"/>
          <w:lang w:eastAsia="en-GB"/>
        </w:rPr>
        <w:t xml:space="preserve">formulation of MFN and NT clauses in the Model BITs of </w:t>
      </w:r>
      <w:hyperlink r:id="rId13" w:history="1">
        <w:r w:rsidRPr="00913824">
          <w:rPr>
            <w:rStyle w:val="Hyperlink"/>
            <w:rFonts w:ascii="Garamond" w:eastAsia="TTE65D52E0t00" w:hAnsi="Garamond" w:cs="Calibri"/>
            <w:lang w:eastAsia="en-GB"/>
          </w:rPr>
          <w:t>Colombia</w:t>
        </w:r>
      </w:hyperlink>
      <w:r w:rsidRPr="00913824">
        <w:rPr>
          <w:rFonts w:ascii="Garamond" w:eastAsia="TTE65D52E0t00" w:hAnsi="Garamond" w:cs="Calibri"/>
          <w:lang w:eastAsia="en-GB"/>
        </w:rPr>
        <w:t xml:space="preserve">, the </w:t>
      </w:r>
      <w:hyperlink r:id="rId14" w:history="1">
        <w:r w:rsidRPr="00913824">
          <w:rPr>
            <w:rStyle w:val="Hyperlink"/>
            <w:rFonts w:ascii="Garamond" w:eastAsia="TTE65D52E0t00" w:hAnsi="Garamond" w:cs="Calibri"/>
            <w:lang w:eastAsia="en-GB"/>
          </w:rPr>
          <w:t>UK</w:t>
        </w:r>
      </w:hyperlink>
      <w:r w:rsidRPr="00913824">
        <w:rPr>
          <w:rFonts w:ascii="Garamond" w:eastAsia="TTE65D52E0t00" w:hAnsi="Garamond" w:cs="Calibri"/>
          <w:lang w:eastAsia="en-GB"/>
        </w:rPr>
        <w:t xml:space="preserve"> and </w:t>
      </w:r>
      <w:hyperlink r:id="rId15" w:history="1">
        <w:r w:rsidRPr="00913824">
          <w:rPr>
            <w:rStyle w:val="Hyperlink"/>
            <w:rFonts w:ascii="Garamond" w:eastAsia="TTE65D52E0t00" w:hAnsi="Garamond" w:cs="Calibri"/>
            <w:lang w:eastAsia="en-GB"/>
          </w:rPr>
          <w:t>Germany</w:t>
        </w:r>
      </w:hyperlink>
      <w:r w:rsidRPr="00913824">
        <w:rPr>
          <w:rFonts w:ascii="Garamond" w:eastAsia="TTE65D52E0t00" w:hAnsi="Garamond" w:cs="Calibri"/>
          <w:lang w:eastAsia="en-GB"/>
        </w:rPr>
        <w:t xml:space="preserve"> and the 2012 </w:t>
      </w:r>
      <w:hyperlink r:id="rId16" w:history="1">
        <w:r w:rsidRPr="00913824">
          <w:rPr>
            <w:rStyle w:val="Hyperlink"/>
            <w:rFonts w:ascii="Garamond" w:eastAsia="TTE65D52E0t00" w:hAnsi="Garamond" w:cs="Calibri"/>
            <w:lang w:eastAsia="en-GB"/>
          </w:rPr>
          <w:t>SADC</w:t>
        </w:r>
      </w:hyperlink>
      <w:r w:rsidRPr="00913824">
        <w:rPr>
          <w:rFonts w:ascii="Garamond" w:eastAsia="TTE65D52E0t00" w:hAnsi="Garamond" w:cs="Calibri"/>
          <w:lang w:eastAsia="en-GB"/>
        </w:rPr>
        <w:t xml:space="preserve"> Treaty Template</w:t>
      </w:r>
    </w:p>
    <w:p w14:paraId="268DD8EC" w14:textId="77777777" w:rsidR="00913824" w:rsidRPr="00913824" w:rsidRDefault="00913824" w:rsidP="00913824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913824">
        <w:rPr>
          <w:rFonts w:ascii="Garamond" w:eastAsia="TTE65D52E0t00" w:hAnsi="Garamond" w:cs="Calibri"/>
          <w:lang w:eastAsia="en-GB"/>
        </w:rPr>
        <w:t>sections on MFN in (</w:t>
      </w:r>
      <w:proofErr w:type="spellStart"/>
      <w:r w:rsidRPr="00913824">
        <w:rPr>
          <w:rFonts w:ascii="Garamond" w:eastAsia="TTE65D52E0t00" w:hAnsi="Garamond" w:cs="Calibri"/>
          <w:lang w:eastAsia="en-GB"/>
        </w:rPr>
        <w:t>i</w:t>
      </w:r>
      <w:proofErr w:type="spellEnd"/>
      <w:r w:rsidRPr="00913824">
        <w:rPr>
          <w:rFonts w:ascii="Garamond" w:eastAsia="TTE65D52E0t00" w:hAnsi="Garamond" w:cs="Calibri"/>
          <w:lang w:eastAsia="en-GB"/>
        </w:rPr>
        <w:t xml:space="preserve">) </w:t>
      </w:r>
      <w:proofErr w:type="spellStart"/>
      <w:r w:rsidRPr="00913824">
        <w:rPr>
          <w:rFonts w:ascii="Garamond" w:hAnsi="Garamond" w:cs="Calibri"/>
          <w:i/>
          <w:iCs/>
        </w:rPr>
        <w:t>Plama</w:t>
      </w:r>
      <w:proofErr w:type="spellEnd"/>
      <w:r w:rsidRPr="00913824">
        <w:rPr>
          <w:rFonts w:ascii="Garamond" w:hAnsi="Garamond" w:cs="Calibri"/>
          <w:i/>
          <w:iCs/>
        </w:rPr>
        <w:t xml:space="preserve"> Consortium Limited v Republic of Bulgaria</w:t>
      </w:r>
      <w:r w:rsidRPr="00913824">
        <w:rPr>
          <w:rStyle w:val="apple-converted-space"/>
          <w:rFonts w:ascii="Garamond" w:eastAsiaTheme="majorEastAsia" w:hAnsi="Garamond" w:cs="Calibri"/>
        </w:rPr>
        <w:t> </w:t>
      </w:r>
      <w:r w:rsidRPr="00913824">
        <w:rPr>
          <w:rFonts w:ascii="Garamond" w:hAnsi="Garamond" w:cs="Calibri"/>
          <w:i/>
          <w:iCs/>
        </w:rPr>
        <w:t>(Decision on Jurisdiction of 8 February 2005)</w:t>
      </w:r>
      <w:r w:rsidRPr="00913824">
        <w:rPr>
          <w:rStyle w:val="apple-converted-space"/>
          <w:rFonts w:ascii="Garamond" w:eastAsiaTheme="majorEastAsia" w:hAnsi="Garamond" w:cs="Calibri"/>
        </w:rPr>
        <w:t> </w:t>
      </w:r>
      <w:r w:rsidRPr="00913824">
        <w:rPr>
          <w:rFonts w:ascii="Garamond" w:hAnsi="Garamond" w:cs="Calibri"/>
        </w:rPr>
        <w:t>ICSID Case No ARB/03/24 (</w:t>
      </w:r>
      <w:hyperlink r:id="rId17" w:history="1">
        <w:r w:rsidRPr="00913824">
          <w:rPr>
            <w:rStyle w:val="Hyperlink"/>
            <w:rFonts w:ascii="Garamond" w:eastAsiaTheme="majorEastAsia" w:hAnsi="Garamond" w:cs="Calibri"/>
          </w:rPr>
          <w:t>http://ita.law.uvic.ca/documents/PlamaBulgariaAward.pdf</w:t>
        </w:r>
      </w:hyperlink>
      <w:r w:rsidRPr="00913824">
        <w:rPr>
          <w:rFonts w:ascii="Garamond" w:hAnsi="Garamond" w:cs="Calibri"/>
        </w:rPr>
        <w:t xml:space="preserve">), and (ii) </w:t>
      </w:r>
      <w:proofErr w:type="spellStart"/>
      <w:r w:rsidRPr="00913824">
        <w:rPr>
          <w:rFonts w:ascii="Garamond" w:hAnsi="Garamond" w:cs="Calibri"/>
          <w:i/>
          <w:iCs/>
        </w:rPr>
        <w:t>Maffezini</w:t>
      </w:r>
      <w:proofErr w:type="spellEnd"/>
      <w:r w:rsidRPr="00913824">
        <w:rPr>
          <w:rFonts w:ascii="Garamond" w:hAnsi="Garamond" w:cs="Calibri"/>
          <w:i/>
          <w:iCs/>
        </w:rPr>
        <w:t xml:space="preserve"> v Kingdom of Spain</w:t>
      </w:r>
      <w:r w:rsidRPr="00913824">
        <w:rPr>
          <w:rStyle w:val="apple-converted-space"/>
          <w:rFonts w:ascii="Garamond" w:eastAsiaTheme="majorEastAsia" w:hAnsi="Garamond" w:cs="Calibri"/>
        </w:rPr>
        <w:t> </w:t>
      </w:r>
      <w:r w:rsidRPr="00913824">
        <w:rPr>
          <w:rFonts w:ascii="Garamond" w:hAnsi="Garamond" w:cs="Calibri"/>
          <w:i/>
          <w:iCs/>
        </w:rPr>
        <w:t>(Decision of the Tribunal on Objections to Jurisdiction of 25 January 2000)</w:t>
      </w:r>
      <w:r w:rsidRPr="00913824">
        <w:rPr>
          <w:rStyle w:val="apple-converted-space"/>
          <w:rFonts w:ascii="Garamond" w:eastAsiaTheme="majorEastAsia" w:hAnsi="Garamond" w:cs="Calibri"/>
        </w:rPr>
        <w:t> </w:t>
      </w:r>
      <w:r w:rsidRPr="00913824">
        <w:rPr>
          <w:rFonts w:ascii="Garamond" w:hAnsi="Garamond" w:cs="Calibri"/>
        </w:rPr>
        <w:t>ICSID Case No ARB/97/7 (</w:t>
      </w:r>
      <w:hyperlink r:id="rId18" w:history="1">
        <w:r w:rsidRPr="00913824">
          <w:rPr>
            <w:rStyle w:val="Hyperlink"/>
            <w:rFonts w:ascii="Garamond" w:eastAsiaTheme="majorEastAsia" w:hAnsi="Garamond" w:cs="Calibri"/>
          </w:rPr>
          <w:t>http://ita.law.uvic.ca/documents/Maffezini-Jurisdiction-English_001.pdf</w:t>
        </w:r>
      </w:hyperlink>
      <w:r w:rsidRPr="00913824">
        <w:rPr>
          <w:rFonts w:ascii="Garamond" w:hAnsi="Garamond" w:cs="Calibri"/>
        </w:rPr>
        <w:t xml:space="preserve">); and (iii) </w:t>
      </w:r>
      <w:r w:rsidRPr="00913824">
        <w:rPr>
          <w:rFonts w:ascii="Garamond" w:hAnsi="Garamond" w:cs="Calibri"/>
          <w:i/>
        </w:rPr>
        <w:t>ICS v Argentina</w:t>
      </w:r>
      <w:r w:rsidRPr="00913824">
        <w:rPr>
          <w:rFonts w:ascii="Garamond" w:hAnsi="Garamond" w:cs="Calibri"/>
        </w:rPr>
        <w:t xml:space="preserve">, </w:t>
      </w:r>
      <w:hyperlink r:id="rId19" w:history="1">
        <w:r w:rsidRPr="00913824">
          <w:rPr>
            <w:rStyle w:val="Hyperlink"/>
            <w:rFonts w:ascii="Garamond" w:eastAsiaTheme="majorEastAsia" w:hAnsi="Garamond" w:cs="Calibri"/>
          </w:rPr>
          <w:t>PCA case No. 2010-9</w:t>
        </w:r>
      </w:hyperlink>
      <w:r w:rsidRPr="00913824">
        <w:rPr>
          <w:rFonts w:ascii="Garamond" w:hAnsi="Garamond" w:cs="Calibri"/>
        </w:rPr>
        <w:t xml:space="preserve"> </w:t>
      </w:r>
    </w:p>
    <w:p w14:paraId="2AC7B02D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</w:rPr>
      </w:pPr>
    </w:p>
    <w:p w14:paraId="49BE6B0A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913824">
        <w:rPr>
          <w:rFonts w:ascii="Garamond" w:hAnsi="Garamond" w:cs="Calibri"/>
          <w:b/>
          <w:lang w:val="en-US"/>
        </w:rPr>
        <w:t xml:space="preserve">IV. </w:t>
      </w:r>
      <w:r w:rsidRPr="00913824">
        <w:rPr>
          <w:rFonts w:ascii="Garamond" w:hAnsi="Garamond" w:cs="Calibri"/>
          <w:b/>
          <w:smallCaps/>
          <w:lang w:val="en-US"/>
        </w:rPr>
        <w:t>Discussion Prompts</w:t>
      </w:r>
    </w:p>
    <w:p w14:paraId="291D3D6B" w14:textId="77777777" w:rsidR="00913824" w:rsidRPr="00913824" w:rsidRDefault="00913824" w:rsidP="00913824">
      <w:pPr>
        <w:pStyle w:val="BodyTextIndent"/>
        <w:jc w:val="left"/>
        <w:rPr>
          <w:rFonts w:ascii="Garamond" w:hAnsi="Garamond" w:cs="Calibri"/>
          <w:b/>
          <w:lang w:val="en-US"/>
        </w:rPr>
      </w:pPr>
    </w:p>
    <w:p w14:paraId="61CA0317" w14:textId="77777777" w:rsidR="00913824" w:rsidRPr="00913824" w:rsidRDefault="00913824" w:rsidP="0091382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913824">
        <w:rPr>
          <w:rFonts w:ascii="Garamond" w:eastAsia="TTE65D52E0t00" w:hAnsi="Garamond" w:cs="Calibri"/>
        </w:rPr>
        <w:t>What are relative, what are absolute standards of treatment in international investment law?</w:t>
      </w:r>
    </w:p>
    <w:p w14:paraId="1DE585AA" w14:textId="77777777" w:rsidR="00913824" w:rsidRPr="00913824" w:rsidRDefault="00913824" w:rsidP="0091382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913824">
        <w:rPr>
          <w:rFonts w:ascii="Garamond" w:eastAsia="TTE65D52E0t00" w:hAnsi="Garamond" w:cs="Calibri"/>
        </w:rPr>
        <w:t>Identify grounds justifying differences of treatment between investors from different countries.</w:t>
      </w:r>
    </w:p>
    <w:p w14:paraId="09458B5A" w14:textId="77777777" w:rsidR="00913824" w:rsidRPr="00913824" w:rsidRDefault="00913824" w:rsidP="0091382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913824">
        <w:rPr>
          <w:rFonts w:ascii="Garamond" w:eastAsia="TTE65D52E0t00" w:hAnsi="Garamond" w:cs="Calibri"/>
        </w:rPr>
        <w:t xml:space="preserve">Assess the tribunals’ interpretation of MFN clauses in </w:t>
      </w:r>
      <w:proofErr w:type="spellStart"/>
      <w:r w:rsidRPr="00913824">
        <w:rPr>
          <w:rFonts w:ascii="Garamond" w:eastAsia="TTE65D52E0t00" w:hAnsi="Garamond" w:cs="Calibri"/>
          <w:i/>
        </w:rPr>
        <w:t>Maffezini</w:t>
      </w:r>
      <w:proofErr w:type="spellEnd"/>
      <w:r w:rsidRPr="00913824">
        <w:rPr>
          <w:rFonts w:ascii="Garamond" w:eastAsia="TTE65D52E0t00" w:hAnsi="Garamond" w:cs="Calibri"/>
        </w:rPr>
        <w:t xml:space="preserve"> and </w:t>
      </w:r>
      <w:proofErr w:type="spellStart"/>
      <w:r w:rsidRPr="00913824">
        <w:rPr>
          <w:rFonts w:ascii="Garamond" w:eastAsia="TTE65D52E0t00" w:hAnsi="Garamond" w:cs="Calibri"/>
          <w:i/>
        </w:rPr>
        <w:t>Plama</w:t>
      </w:r>
      <w:proofErr w:type="spellEnd"/>
      <w:r w:rsidRPr="00913824">
        <w:rPr>
          <w:rFonts w:ascii="Garamond" w:eastAsia="TTE65D52E0t00" w:hAnsi="Garamond" w:cs="Calibri"/>
        </w:rPr>
        <w:t>. Which approach do you consider more convincing?</w:t>
      </w:r>
    </w:p>
    <w:p w14:paraId="4BFF9ED6" w14:textId="77777777" w:rsidR="00913824" w:rsidRPr="00913824" w:rsidRDefault="00913824" w:rsidP="00913824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913824">
        <w:rPr>
          <w:rFonts w:ascii="Garamond" w:eastAsia="TTE65D52E0t00" w:hAnsi="Garamond" w:cs="Calibri"/>
        </w:rPr>
        <w:t>Would the MFN clauses of the Model BITs of Colombia, Germany, the UK and SADC apply to jurisdictional provisions?</w:t>
      </w:r>
    </w:p>
    <w:p w14:paraId="22497E60" w14:textId="77777777" w:rsidR="00D02F8C" w:rsidRPr="00913824" w:rsidRDefault="00D02F8C">
      <w:pPr>
        <w:rPr>
          <w:rFonts w:ascii="Garamond" w:hAnsi="Garamond"/>
        </w:rPr>
      </w:pPr>
    </w:p>
    <w:sectPr w:rsidR="00D02F8C" w:rsidRPr="00913824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TE65D52E0t00">
    <w:altName w:val="Arial Unicode MS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24"/>
    <w:rsid w:val="000E4C97"/>
    <w:rsid w:val="001A4CDD"/>
    <w:rsid w:val="00244A40"/>
    <w:rsid w:val="00314493"/>
    <w:rsid w:val="0067096F"/>
    <w:rsid w:val="00814379"/>
    <w:rsid w:val="008904DD"/>
    <w:rsid w:val="00903AF5"/>
    <w:rsid w:val="00913824"/>
    <w:rsid w:val="00D02F8C"/>
    <w:rsid w:val="00EE41B1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48D4D"/>
  <w15:chartTrackingRefBased/>
  <w15:docId w15:val="{A6135A7F-8FFC-D94E-9FAD-816A5B9D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2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913824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913824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91382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rsid w:val="00913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il.ouplaw.com/display/10.1093/law/9780192857804.001.0001/law-9780192857804" TargetMode="External"/><Relationship Id="rId13" Type="http://schemas.openxmlformats.org/officeDocument/2006/relationships/hyperlink" Target="https://www.italaw.com/documents/inv_model_bit_colombia.pdf" TargetMode="External"/><Relationship Id="rId18" Type="http://schemas.openxmlformats.org/officeDocument/2006/relationships/hyperlink" Target="http://ita.law.uvic.ca/documents/Maffezini-Jurisdiction-English_001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o.exlibris.link/wDVcG00l" TargetMode="External"/><Relationship Id="rId12" Type="http://schemas.openxmlformats.org/officeDocument/2006/relationships/hyperlink" Target="http://eleanor.lib.gla.ac.uk/record=b2708854" TargetMode="External"/><Relationship Id="rId17" Type="http://schemas.openxmlformats.org/officeDocument/2006/relationships/hyperlink" Target="http://ita.law.uvic.ca/documents/PlamaBulgariaAward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isd.org/itn/wp-content/uploads/2012/10/SADC-Model-BIT-Template-Final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o.exlibris.link/wDVcG00l" TargetMode="External"/><Relationship Id="rId11" Type="http://schemas.openxmlformats.org/officeDocument/2006/relationships/hyperlink" Target="http://ita.law.uvic.ca/documents/Maffezini-Jurisdiction-English_001.pdf" TargetMode="External"/><Relationship Id="rId5" Type="http://schemas.openxmlformats.org/officeDocument/2006/relationships/hyperlink" Target="https://go.exlibris.link/g2MP9cxF" TargetMode="External"/><Relationship Id="rId15" Type="http://schemas.openxmlformats.org/officeDocument/2006/relationships/hyperlink" Target="http://investmentpolicyhub.unctad.org/Download/TreatyFile/2865" TargetMode="External"/><Relationship Id="rId10" Type="http://schemas.openxmlformats.org/officeDocument/2006/relationships/hyperlink" Target="http://www.mpepil.com" TargetMode="External"/><Relationship Id="rId19" Type="http://schemas.openxmlformats.org/officeDocument/2006/relationships/hyperlink" Target="https://www.italaw.com/sites/default/files/case-documents/ita041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pil.ouplaw.com/view/10.1093/law:epil/9780199231690/law-9780199231690-e1539?rskey=CkdwFG&amp;result=1&amp;q=Most-Favoured-Nation%20Clause&amp;prd=EPIL" TargetMode="External"/><Relationship Id="rId14" Type="http://schemas.openxmlformats.org/officeDocument/2006/relationships/hyperlink" Target="http://investmentpolicyhub.unctad.org/Download/TreatyFile/28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1</cp:revision>
  <dcterms:created xsi:type="dcterms:W3CDTF">2025-10-14T20:05:00Z</dcterms:created>
  <dcterms:modified xsi:type="dcterms:W3CDTF">2025-10-14T20:05:00Z</dcterms:modified>
</cp:coreProperties>
</file>