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ind w:firstLine="0"/>
      </w:pPr>
      <w:r>
        <w:rPr>
          <w:rFonts w:ascii="黑体" w:hAnsi="黑体" w:eastAsia="黑体"/>
          <w:b w:val="0"/>
          <w:sz w:val="32"/>
        </w:rPr>
        <w:t>普通商密★1年</w:t>
      </w:r>
    </w:p>
    <w:p>
      <w:pPr>
        <w:spacing w:line="800" w:lineRule="exact" w:before="0" w:after="0"/>
        <w:ind w:firstLine="0"/>
        <w:jc w:val="center"/>
      </w:pPr>
      <w:r>
        <w:rPr>
          <w:rFonts w:ascii="方正小标宋简体" w:hAnsi="方正小标宋简体" w:eastAsia="方正小标宋简体"/>
          <w:b w:val="0"/>
          <w:color w:val="FF0000"/>
          <w:sz w:val="44"/>
        </w:rPr>
        <w:t>华能云成数字产融科技（雄安）有限公司</w:t>
      </w:r>
    </w:p>
    <w:p>
      <w:pPr>
        <w:spacing w:line="560" w:lineRule="exact" w:before="0" w:after="0"/>
        <w:ind w:firstLine="0"/>
        <w:jc w:val="center"/>
      </w:pPr>
      <w:r>
        <w:rPr>
          <w:rFonts w:ascii="仿宋_GB2312" w:hAnsi="仿宋_GB2312" w:eastAsia="仿宋_GB2312"/>
          <w:b w:val="0"/>
          <w:sz w:val="32"/>
        </w:rPr>
        <w:t>集团企法部项目周例会会议纪要</w:t>
      </w:r>
    </w:p>
    <w:p>
      <w:pPr>
        <w:spacing w:line="560" w:lineRule="exact" w:before="0" w:after="0"/>
        <w:ind w:firstLine="0"/>
        <w:jc w:val="center"/>
      </w:pPr>
      <w:r>
        <w:rPr>
          <w:rFonts w:ascii="仿宋_GB2312" w:hAnsi="仿宋_GB2312" w:eastAsia="仿宋_GB2312"/>
          <w:b w:val="0"/>
          <w:sz w:val="32"/>
        </w:rPr>
        <w:t>2026年第2期</w:t>
      </w:r>
    </w:p>
    <w:p>
      <w:pPr>
        <w:spacing w:line="560" w:lineRule="exact" w:before="0" w:after="0"/>
        <w:ind w:firstLine="640"/>
        <w:jc w:val="left"/>
      </w:pPr>
      <w:r>
        <w:rPr>
          <w:rFonts w:ascii="仿宋_GB2312" w:hAnsi="仿宋_GB2312" w:eastAsia="仿宋_GB2312"/>
          <w:b w:val="0"/>
          <w:sz w:val="32"/>
        </w:rPr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2026年3月17日，公司副总经理段国强同志主持召开2026年第二期集团企法部项目周例会。会议审议了企法部项目进度，现将会议议定事项纪要如下：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本次会议围绕项目测试进展、当前存在的问题及后续计划展开讨论。核心结论是项目面临严重的时间压力和外部依赖风险，尤其是企法部需求确认效率低下，导致内部原定的4月7日交付节点极难实现。经评估，项目合理延期区间为一个月至一个半月，上线时间可能延至7月中旬，与信息公司预期的8月份较为接近。会议明确需加强风险预警和预期管理，推动高层协调以应对关键瓶颈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关键要点如下：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、测试进展与bug管理方面，当前bug类型已从流程类转向页面排序、按钮显示等权限相关问题，每日新增bug数量维持在五六十个高位，修复评估困难。bug存在“隐蔽复发”现象，导致上周清零目标未达成。应对措施包括自本周起将周度检查改为高频检查，及时区分人员问题或标准问题并针对性处理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、测试环境部署与上线计划方面，内网测试环境自上周五起开始部署，本周重点为走通全流程，力争下半周或周末形成可预估的上线时间表，目标在3月30日前完成上线准备。若测试环境顺利，下一步将推进生产环境搭建，力争三月底前上线并交由试点单位运行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、开发进度与交付风险方面，按6月30日交付倒排，测试周期紧张，要求最晚5月15日前完成全部开发，但4月7日文档齐备节点非常不乐观。外部依赖风险突出，企法部需求确认效率低成为最大风险点，且外部系统对接存在不确定性，如OA流程未明确、内控模块与其他系统对接复杂度高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四、项目整体风险评估显示，当前倒排时间已处于“压死”状态，若中庸评估需额外增加两周时间，全面考虑外部延迟因素则可能整体延期一个月至一个半月。信息公司已提出8月作为可接受交付时间点，表明其已有延期预期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后续建议包括：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一、加强风险预警与预期管理，建议向公司领导层通报7月中旬为较现实的上线目标，避免后期被动。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二、优化沟通与协调机制，每日下午由专人与测试团队快速确认当日bug核心问题，提升修复效率；同时需从高层推动企法部加快需求确认，并梳理所有外部系统交互项，明确集成方式与责任边界。</w:t>
      </w:r>
    </w:p>
    <w:p>
      <w:pPr>
        <w:spacing w:line="560" w:lineRule="exact" w:before="0" w:after="0"/>
        <w:ind w:firstLine="640"/>
      </w:pPr>
      <w:r>
        <w:rPr>
          <w:rFonts w:ascii="仿宋_GB2312" w:hAnsi="仿宋_GB2312" w:eastAsia="仿宋_GB2312"/>
          <w:b w:val="0"/>
          <w:sz w:val="32"/>
        </w:rPr>
        <w:t>三、持续推进环境部署与开发任务，确保本周完成内网测试环境全流程，产品团队推进四合一项目开发进度达到80%以上，并协调资源完成测试环境部署。</w:t>
      </w:r>
    </w:p>
    <w:p>
      <w:pPr>
        <w:spacing w:before="0" w:after="0" w:line="20" w:lineRule="exact"/>
        <w:ind w:firstLine="0"/>
        <w:jc w:val="left"/>
        <w:pBdr>
          <w:bottom w:val="single" w:sz="12" w:space="1" w:color="D40000"/>
        </w:pBdr>
      </w:pPr>
    </w:p>
    <w:p>
      <w:pPr>
        <w:spacing w:line="560" w:lineRule="exact" w:before="0" w:after="0"/>
        <w:ind w:firstLine="640"/>
        <w:jc w:val="left"/>
      </w:pPr>
      <w:r>
        <w:rPr>
          <w:rFonts w:ascii="仿宋_GB2312" w:hAnsi="仿宋_GB2312" w:eastAsia="仿宋_GB2312"/>
          <w:b w:val="0"/>
          <w:sz w:val="32"/>
        </w:rPr>
      </w:r>
    </w:p>
    <w:p>
      <w:pPr>
        <w:spacing w:before="0" w:after="0" w:line="20" w:lineRule="exact"/>
        <w:ind w:firstLine="0"/>
        <w:jc w:val="left"/>
        <w:pBdr>
          <w:bottom w:val="single" w:sz="12" w:space="1" w:color="D40000"/>
        </w:pBdr>
      </w:pPr>
    </w:p>
    <w:sectPr w:rsidR="00FC693F" w:rsidRPr="0006063C" w:rsidSect="00034616">
      <w:footerReference w:type="default" r:id="rId9"/>
      <w:pgSz w:w="11906" w:h="16838"/>
      <w:pgMar w:top="2098" w:right="1417" w:bottom="198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