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  <w:t>华能云成商业保理（天津）有限公司是华能集团旗下唯一的保理业务服务商，由华能云成数字产融科技（雄安）有限公司全资设立。公司紧密围绕集团主业，以“服务集团、赋能产业链、以融强产”为宗旨，为集团新能源建设、煤炭及物资供应链、电费回收等核心场景提供灵活高效的供应链金融解决方案。</w:t>
      </w:r>
    </w:p>
    <w:p>
      <w:pPr>
        <w:spacing w:line="560" w:lineRule="exact" w:before="0" w:after="0"/>
        <w:ind w:firstLine="640"/>
      </w:pPr>
      <w:r>
        <w:rPr>
          <w:rFonts w:ascii="黑体" w:hAnsi="黑体" w:eastAsia="黑体"/>
          <w:b w:val="0"/>
          <w:sz w:val="32"/>
        </w:rPr>
        <w:t>一、核心业务模式</w:t>
      </w:r>
    </w:p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  <w:t>公司基于真实贸易背景，以应收账款转让为核心，提供三大类保理融资服务：</w:t>
      </w:r>
    </w:p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  <w:t>业务特色：资料齐全最快7天内放款；支持应收账款“资产池”模式，额度可循环使用；2025年成功落地首笔票据融资业务，进一步降低链上企业成本。</w:t>
      </w:r>
    </w:p>
    <w:p>
      <w:pPr>
        <w:spacing w:line="560" w:lineRule="exact" w:before="0" w:after="0"/>
        <w:ind w:firstLine="640"/>
      </w:pPr>
      <w:r>
        <w:rPr>
          <w:rFonts w:ascii="黑体" w:hAnsi="黑体" w:eastAsia="黑体"/>
          <w:b w:val="0"/>
          <w:sz w:val="32"/>
        </w:rPr>
        <w:t>二、关键经营数据（截至2025年底）</w:t>
      </w:r>
    </w:p>
    <w:p>
      <w:pPr>
        <w:spacing w:line="560" w:lineRule="exact" w:before="0" w:after="0"/>
        <w:ind w:firstLine="640"/>
      </w:pPr>
      <w:r>
        <w:rPr>
          <w:rFonts w:ascii="黑体" w:hAnsi="黑体" w:eastAsia="黑体"/>
          <w:b w:val="0"/>
          <w:sz w:val="32"/>
        </w:rPr>
        <w:t>三、近几年业务开展策略</w:t>
      </w:r>
    </w:p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  <w:t>公司“十五五”期间围绕 “123+1” 战略方针，强化三大核心功能：</w:t>
      </w:r>
    </w:p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  <w:t>结语：华能保理将持续立足集团产业链，以金融科技为翼，致力于成为央企领先的供应链金融科技公司，为集团绿色转型与高质量发展贡献金融力量。</w:t>
      </w:r>
    </w:p>
    <w:p>
      <w:pPr>
        <w:spacing w:line="560" w:lineRule="exact" w:before="0" w:after="0"/>
        <w:ind w:firstLine="640"/>
      </w:pPr>
      <w:r>
        <w:rPr>
          <w:rFonts w:ascii="FangSong_GB2312" w:hAnsi="FangSong_GB2312" w:eastAsia="FangSong_GB2312"/>
          <w:b w:val="0"/>
          <w:sz w:val="32"/>
        </w:rPr>
      </w:r>
    </w:p>
    <w:sectPr w:rsidR="00FC693F" w:rsidRPr="0006063C" w:rsidSect="00034616">
      <w:footerReference w:type="default" r:id="rId9"/>
      <w:pgSz w:w="11906" w:h="16838"/>
      <w:pgMar w:top="2098" w:right="1417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