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316BC" w14:textId="22839204" w:rsidR="00C52813" w:rsidRDefault="00871B97">
      <w:r w:rsidRPr="00871B97">
        <w:drawing>
          <wp:inline distT="0" distB="0" distL="0" distR="0" wp14:anchorId="2C8556B5" wp14:editId="125C1A86">
            <wp:extent cx="2301240" cy="3034152"/>
            <wp:effectExtent l="0" t="0" r="3810" b="0"/>
            <wp:docPr id="472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8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02643" cy="303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1B97">
        <w:drawing>
          <wp:inline distT="0" distB="0" distL="0" distR="0" wp14:anchorId="22835F7F" wp14:editId="5EA84FF3">
            <wp:extent cx="2827020" cy="3029655"/>
            <wp:effectExtent l="0" t="0" r="0" b="0"/>
            <wp:docPr id="102157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75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4399" cy="303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83A61" w14:paraId="5B45D715" w14:textId="77777777" w:rsidTr="00183A61">
        <w:tc>
          <w:tcPr>
            <w:tcW w:w="3005" w:type="dxa"/>
          </w:tcPr>
          <w:p w14:paraId="0B4232A0" w14:textId="540912A7" w:rsidR="00183A61" w:rsidRDefault="00183A61">
            <w:r>
              <w:t>Usability Goal</w:t>
            </w:r>
          </w:p>
        </w:tc>
        <w:tc>
          <w:tcPr>
            <w:tcW w:w="3005" w:type="dxa"/>
          </w:tcPr>
          <w:p w14:paraId="059CD608" w14:textId="2D25D4C4" w:rsidR="00183A61" w:rsidRDefault="00183A61">
            <w:r>
              <w:t>Design Guidelines</w:t>
            </w:r>
          </w:p>
        </w:tc>
        <w:tc>
          <w:tcPr>
            <w:tcW w:w="3006" w:type="dxa"/>
          </w:tcPr>
          <w:p w14:paraId="6CCBA355" w14:textId="1D51A641" w:rsidR="00226F2B" w:rsidRDefault="00226F2B">
            <w:r>
              <w:t>Justification</w:t>
            </w:r>
          </w:p>
        </w:tc>
      </w:tr>
      <w:tr w:rsidR="00F50858" w14:paraId="499F731E" w14:textId="77777777" w:rsidTr="00183A61">
        <w:tc>
          <w:tcPr>
            <w:tcW w:w="3005" w:type="dxa"/>
            <w:vMerge w:val="restart"/>
          </w:tcPr>
          <w:p w14:paraId="21592D5A" w14:textId="00612A1A" w:rsidR="00F50858" w:rsidRDefault="00F50858">
            <w:r>
              <w:t>Learnability</w:t>
            </w:r>
          </w:p>
        </w:tc>
        <w:tc>
          <w:tcPr>
            <w:tcW w:w="3005" w:type="dxa"/>
          </w:tcPr>
          <w:p w14:paraId="752D9EAC" w14:textId="5BA6649A" w:rsidR="00F50858" w:rsidRDefault="00F50858">
            <w:r>
              <w:t>Affordances</w:t>
            </w:r>
          </w:p>
        </w:tc>
        <w:tc>
          <w:tcPr>
            <w:tcW w:w="3006" w:type="dxa"/>
          </w:tcPr>
          <w:p w14:paraId="722D2989" w14:textId="5D83954C" w:rsidR="00F50858" w:rsidRDefault="00F50858">
            <w:r w:rsidRPr="00226F2B">
              <w:t xml:space="preserve">Hover feedback immediately tells users which items are clickable. </w:t>
            </w:r>
            <w:r>
              <w:t>Places that are suitable for this guideline are buttons and links. Faster first-time exploration.</w:t>
            </w:r>
          </w:p>
        </w:tc>
      </w:tr>
      <w:tr w:rsidR="00F50858" w14:paraId="76C5C171" w14:textId="77777777" w:rsidTr="00183A61">
        <w:tc>
          <w:tcPr>
            <w:tcW w:w="3005" w:type="dxa"/>
            <w:vMerge/>
          </w:tcPr>
          <w:p w14:paraId="0510139A" w14:textId="77777777" w:rsidR="00F50858" w:rsidRDefault="00F50858"/>
        </w:tc>
        <w:tc>
          <w:tcPr>
            <w:tcW w:w="3005" w:type="dxa"/>
          </w:tcPr>
          <w:p w14:paraId="54CCBC48" w14:textId="17EB296E" w:rsidR="00F50858" w:rsidRDefault="00F50858">
            <w:r>
              <w:t>Minimalist</w:t>
            </w:r>
          </w:p>
        </w:tc>
        <w:tc>
          <w:tcPr>
            <w:tcW w:w="3006" w:type="dxa"/>
          </w:tcPr>
          <w:p w14:paraId="4C57E79F" w14:textId="77777777" w:rsidR="00F50858" w:rsidRDefault="00F50858">
            <w:r>
              <w:t>The “add bulletin” functions are hidden until the user clicks the button. Reducing the cognitive load of users that doesn’t want to add bulletins.</w:t>
            </w:r>
          </w:p>
          <w:p w14:paraId="4D5FFEFB" w14:textId="01F5F6C6" w:rsidR="00F50858" w:rsidRDefault="00F50858">
            <w:r>
              <w:t>The Home page information is also less, leaving only necessary or few examples (like 3 news with “read more” links) information.</w:t>
            </w:r>
          </w:p>
        </w:tc>
      </w:tr>
      <w:tr w:rsidR="00F50858" w14:paraId="4FE91742" w14:textId="77777777" w:rsidTr="00183A61">
        <w:tc>
          <w:tcPr>
            <w:tcW w:w="3005" w:type="dxa"/>
            <w:vMerge/>
          </w:tcPr>
          <w:p w14:paraId="1B9AF939" w14:textId="77777777" w:rsidR="00F50858" w:rsidRDefault="00F50858"/>
        </w:tc>
        <w:tc>
          <w:tcPr>
            <w:tcW w:w="3005" w:type="dxa"/>
          </w:tcPr>
          <w:p w14:paraId="2632B268" w14:textId="77777777" w:rsidR="00F50858" w:rsidRDefault="00F50858">
            <w:r>
              <w:t>Gestalt Principle</w:t>
            </w:r>
          </w:p>
          <w:p w14:paraId="2357CC36" w14:textId="23A810C5" w:rsidR="00F50858" w:rsidRDefault="00F50858">
            <w:r>
              <w:t>Similarity</w:t>
            </w:r>
          </w:p>
        </w:tc>
        <w:tc>
          <w:tcPr>
            <w:tcW w:w="3006" w:type="dxa"/>
          </w:tcPr>
          <w:p w14:paraId="7A41F88C" w14:textId="03B3E48A" w:rsidR="00F50858" w:rsidRDefault="00F50858">
            <w:r>
              <w:t>Identical</w:t>
            </w:r>
            <w:r w:rsidRPr="005671B1">
              <w:t xml:space="preserve"> card </w:t>
            </w:r>
            <w:r>
              <w:t>structure at news, people and bulletin section. After</w:t>
            </w:r>
            <w:r w:rsidRPr="005671B1">
              <w:t xml:space="preserve"> users </w:t>
            </w:r>
            <w:r>
              <w:t xml:space="preserve">learnt </w:t>
            </w:r>
            <w:r w:rsidRPr="005671B1">
              <w:t>the card pattern</w:t>
            </w:r>
            <w:r>
              <w:t>, they can also how the following cards work for that same group of section</w:t>
            </w:r>
          </w:p>
        </w:tc>
      </w:tr>
      <w:tr w:rsidR="00F50858" w14:paraId="04C3BBA1" w14:textId="77777777" w:rsidTr="00183A61">
        <w:tc>
          <w:tcPr>
            <w:tcW w:w="3005" w:type="dxa"/>
            <w:vMerge/>
          </w:tcPr>
          <w:p w14:paraId="3C2E1751" w14:textId="77777777" w:rsidR="00F50858" w:rsidRDefault="00F50858"/>
        </w:tc>
        <w:tc>
          <w:tcPr>
            <w:tcW w:w="3005" w:type="dxa"/>
          </w:tcPr>
          <w:p w14:paraId="7BA31AFB" w14:textId="77777777" w:rsidR="00F50858" w:rsidRDefault="00F50858">
            <w:r>
              <w:t>Gestalt Principle</w:t>
            </w:r>
          </w:p>
          <w:p w14:paraId="4F415E2F" w14:textId="335818F4" w:rsidR="00F50858" w:rsidRDefault="00F50858">
            <w:r>
              <w:t>Common region</w:t>
            </w:r>
          </w:p>
        </w:tc>
        <w:tc>
          <w:tcPr>
            <w:tcW w:w="3006" w:type="dxa"/>
          </w:tcPr>
          <w:p w14:paraId="2FE9CB21" w14:textId="64D50C92" w:rsidR="00F50858" w:rsidRDefault="00F50858" w:rsidP="005671B1">
            <w:r>
              <w:t xml:space="preserve">Each section </w:t>
            </w:r>
            <w:proofErr w:type="gramStart"/>
            <w:r>
              <w:t>are</w:t>
            </w:r>
            <w:proofErr w:type="gramEnd"/>
            <w:r>
              <w:t xml:space="preserve"> divided and will apply with </w:t>
            </w:r>
            <w:r>
              <w:lastRenderedPageBreak/>
              <w:t xml:space="preserve">different suitable background colour. </w:t>
            </w:r>
          </w:p>
          <w:p w14:paraId="19C71029" w14:textId="69D5F603" w:rsidR="00F50858" w:rsidRDefault="00F50858" w:rsidP="005671B1">
            <w:r>
              <w:t xml:space="preserve">At community page, switching 3 card </w:t>
            </w:r>
            <w:proofErr w:type="gramStart"/>
            <w:r>
              <w:t>block</w:t>
            </w:r>
            <w:proofErr w:type="gramEnd"/>
            <w:r>
              <w:t xml:space="preserve"> to 4 </w:t>
            </w:r>
            <w:proofErr w:type="gramStart"/>
            <w:r>
              <w:t>card</w:t>
            </w:r>
            <w:proofErr w:type="gramEnd"/>
            <w:r>
              <w:t xml:space="preserve"> block also can act as a silent boundary. </w:t>
            </w:r>
            <w:r>
              <w:t>Allowing user to know they are in next section.</w:t>
            </w:r>
          </w:p>
        </w:tc>
      </w:tr>
      <w:tr w:rsidR="00F50858" w14:paraId="7DD93BAB" w14:textId="77777777" w:rsidTr="00183A61">
        <w:tc>
          <w:tcPr>
            <w:tcW w:w="3005" w:type="dxa"/>
            <w:vMerge/>
          </w:tcPr>
          <w:p w14:paraId="40AE6398" w14:textId="77777777" w:rsidR="00F50858" w:rsidRDefault="00F50858"/>
        </w:tc>
        <w:tc>
          <w:tcPr>
            <w:tcW w:w="3005" w:type="dxa"/>
          </w:tcPr>
          <w:p w14:paraId="7775A84C" w14:textId="77777777" w:rsidR="00F50858" w:rsidRDefault="00F50858">
            <w:r>
              <w:t xml:space="preserve">Jakob Neilson </w:t>
            </w:r>
          </w:p>
          <w:p w14:paraId="7D2F92A9" w14:textId="13E16E0C" w:rsidR="00F50858" w:rsidRDefault="00F50858">
            <w:r>
              <w:t>Help and Documentation</w:t>
            </w:r>
          </w:p>
        </w:tc>
        <w:tc>
          <w:tcPr>
            <w:tcW w:w="3006" w:type="dxa"/>
          </w:tcPr>
          <w:p w14:paraId="251A526F" w14:textId="5BBDA25F" w:rsidR="00F50858" w:rsidRDefault="00F50858" w:rsidP="005671B1">
            <w:r>
              <w:t xml:space="preserve">A </w:t>
            </w:r>
            <w:proofErr w:type="gramStart"/>
            <w:r>
              <w:t>small tooltips</w:t>
            </w:r>
            <w:proofErr w:type="gramEnd"/>
            <w:r>
              <w:t xml:space="preserve"> at Community page allow new user to know directly what exact things to do </w:t>
            </w:r>
          </w:p>
        </w:tc>
      </w:tr>
      <w:tr w:rsidR="00F50858" w14:paraId="735DE054" w14:textId="77777777" w:rsidTr="00183A61">
        <w:tc>
          <w:tcPr>
            <w:tcW w:w="3005" w:type="dxa"/>
            <w:vMerge w:val="restart"/>
          </w:tcPr>
          <w:p w14:paraId="1EB06610" w14:textId="05F871BA" w:rsidR="00F50858" w:rsidRDefault="00F50858">
            <w:r>
              <w:t>Memorability</w:t>
            </w:r>
          </w:p>
        </w:tc>
        <w:tc>
          <w:tcPr>
            <w:tcW w:w="3005" w:type="dxa"/>
          </w:tcPr>
          <w:p w14:paraId="22FB72C9" w14:textId="77777777" w:rsidR="00F50858" w:rsidRDefault="00F50858">
            <w:r>
              <w:t>Jakob Neilson</w:t>
            </w:r>
          </w:p>
          <w:p w14:paraId="70483FB6" w14:textId="11F9DCBC" w:rsidR="00F50858" w:rsidRDefault="00F50858">
            <w:r>
              <w:t>Matches between system and real world</w:t>
            </w:r>
          </w:p>
        </w:tc>
        <w:tc>
          <w:tcPr>
            <w:tcW w:w="3006" w:type="dxa"/>
          </w:tcPr>
          <w:p w14:paraId="1EC12966" w14:textId="2B20F95D" w:rsidR="00F50858" w:rsidRDefault="00F50858" w:rsidP="005671B1">
            <w:r>
              <w:t>Icon metaphors are used in quick links and footer’s social media links. Allowing users to easily recognize where the button will bring user to</w:t>
            </w:r>
          </w:p>
        </w:tc>
      </w:tr>
      <w:tr w:rsidR="00F50858" w14:paraId="07A73318" w14:textId="77777777" w:rsidTr="00183A61">
        <w:tc>
          <w:tcPr>
            <w:tcW w:w="3005" w:type="dxa"/>
            <w:vMerge/>
          </w:tcPr>
          <w:p w14:paraId="6401D4F2" w14:textId="272FA152" w:rsidR="00F50858" w:rsidRDefault="00F50858"/>
        </w:tc>
        <w:tc>
          <w:tcPr>
            <w:tcW w:w="3005" w:type="dxa"/>
          </w:tcPr>
          <w:p w14:paraId="17373B69" w14:textId="77777777" w:rsidR="00F50858" w:rsidRDefault="00F50858">
            <w:r>
              <w:t>Jakob Neilson</w:t>
            </w:r>
          </w:p>
          <w:p w14:paraId="3553305D" w14:textId="6861DC4D" w:rsidR="00F50858" w:rsidRDefault="00F50858">
            <w:r>
              <w:t>Recognition over recall</w:t>
            </w:r>
          </w:p>
        </w:tc>
        <w:tc>
          <w:tcPr>
            <w:tcW w:w="3006" w:type="dxa"/>
          </w:tcPr>
          <w:p w14:paraId="53734191" w14:textId="099B6425" w:rsidR="00F50858" w:rsidRDefault="00F50858">
            <w:r>
              <w:t>Quick links surface the most visited pages of the website. User don’t have to remember the exact location of the page; they just need to know the page name.</w:t>
            </w:r>
          </w:p>
        </w:tc>
      </w:tr>
      <w:tr w:rsidR="00F50858" w14:paraId="2073699B" w14:textId="77777777" w:rsidTr="00183A61">
        <w:tc>
          <w:tcPr>
            <w:tcW w:w="3005" w:type="dxa"/>
            <w:vMerge/>
          </w:tcPr>
          <w:p w14:paraId="5E64A45D" w14:textId="77777777" w:rsidR="00F50858" w:rsidRDefault="00F50858"/>
        </w:tc>
        <w:tc>
          <w:tcPr>
            <w:tcW w:w="3005" w:type="dxa"/>
          </w:tcPr>
          <w:p w14:paraId="560274DA" w14:textId="2D6F3565" w:rsidR="00F50858" w:rsidRDefault="00F50858">
            <w:r>
              <w:t>Card/Block Layout</w:t>
            </w:r>
          </w:p>
        </w:tc>
        <w:tc>
          <w:tcPr>
            <w:tcW w:w="3006" w:type="dxa"/>
          </w:tcPr>
          <w:p w14:paraId="3749ACB5" w14:textId="31E10351" w:rsidR="00F50858" w:rsidRDefault="00F50858">
            <w:r>
              <w:t>Cards layouts are suitable to show things that have multiple sub-pieces information. Card boundary can clearly group one instances together without mixing them with other instances.</w:t>
            </w:r>
          </w:p>
        </w:tc>
      </w:tr>
    </w:tbl>
    <w:p w14:paraId="6579C67A" w14:textId="77777777" w:rsidR="00183A61" w:rsidRDefault="00183A61"/>
    <w:sectPr w:rsidR="00183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A61"/>
    <w:rsid w:val="00047C1D"/>
    <w:rsid w:val="00183A61"/>
    <w:rsid w:val="001B7BE7"/>
    <w:rsid w:val="00226F2B"/>
    <w:rsid w:val="00275093"/>
    <w:rsid w:val="00512BF1"/>
    <w:rsid w:val="005671B1"/>
    <w:rsid w:val="005B272F"/>
    <w:rsid w:val="00736E11"/>
    <w:rsid w:val="00871B97"/>
    <w:rsid w:val="00AC3E5E"/>
    <w:rsid w:val="00AD1261"/>
    <w:rsid w:val="00C52813"/>
    <w:rsid w:val="00C817D7"/>
    <w:rsid w:val="00DE3080"/>
    <w:rsid w:val="00F50858"/>
    <w:rsid w:val="00F60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DA2B7"/>
  <w15:chartTrackingRefBased/>
  <w15:docId w15:val="{91656DFA-36D6-412B-BDA0-27A79FDE4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A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3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WEI ZHE</dc:creator>
  <cp:keywords/>
  <dc:description/>
  <cp:lastModifiedBy>LEE WEI ZHE</cp:lastModifiedBy>
  <cp:revision>1</cp:revision>
  <dcterms:created xsi:type="dcterms:W3CDTF">2026-03-18T09:41:00Z</dcterms:created>
  <dcterms:modified xsi:type="dcterms:W3CDTF">2026-03-18T11:19:00Z</dcterms:modified>
</cp:coreProperties>
</file>