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Y="1291"/>
        <w:tblW w:w="9016" w:type="dxa"/>
        <w:tblLook w:val="04A0" w:firstRow="1" w:lastRow="0" w:firstColumn="1" w:lastColumn="0" w:noHBand="0" w:noVBand="1"/>
      </w:tblPr>
      <w:tblGrid>
        <w:gridCol w:w="3823"/>
        <w:gridCol w:w="5193"/>
      </w:tblGrid>
      <w:tr w:rsidR="00B10216" w:rsidRPr="00030146" w14:paraId="4EADE42B" w14:textId="77777777" w:rsidTr="00DF50C3">
        <w:tc>
          <w:tcPr>
            <w:tcW w:w="3823" w:type="dxa"/>
          </w:tcPr>
          <w:p w14:paraId="515F4A2D" w14:textId="77777777" w:rsidR="00B10216" w:rsidRPr="00030146" w:rsidRDefault="00B10216" w:rsidP="00DF50C3">
            <w:pPr>
              <w:rPr>
                <w:b/>
                <w:bCs/>
                <w:i/>
                <w:iCs/>
              </w:rPr>
            </w:pPr>
            <w:r w:rsidRPr="62BCBB89">
              <w:rPr>
                <w:b/>
                <w:bCs/>
                <w:i/>
                <w:iCs/>
              </w:rPr>
              <w:t>Learner Name</w:t>
            </w:r>
          </w:p>
        </w:tc>
        <w:tc>
          <w:tcPr>
            <w:tcW w:w="5193" w:type="dxa"/>
          </w:tcPr>
          <w:p w14:paraId="4FAD8400" w14:textId="27904745" w:rsidR="00B10216" w:rsidRDefault="00B10216" w:rsidP="00DF50C3">
            <w:pPr>
              <w:rPr>
                <w:i/>
              </w:rPr>
            </w:pPr>
            <w:r>
              <w:rPr>
                <w:i/>
              </w:rPr>
              <w:t xml:space="preserve">Lee Winstanley </w:t>
            </w:r>
          </w:p>
        </w:tc>
      </w:tr>
      <w:tr w:rsidR="00B10216" w:rsidRPr="00030146" w14:paraId="3B6C953A" w14:textId="77777777" w:rsidTr="00DF50C3">
        <w:tc>
          <w:tcPr>
            <w:tcW w:w="3823" w:type="dxa"/>
          </w:tcPr>
          <w:p w14:paraId="00171C3E" w14:textId="77777777" w:rsidR="00B10216" w:rsidRPr="00030146" w:rsidRDefault="00B10216" w:rsidP="00DF50C3">
            <w:pPr>
              <w:rPr>
                <w:b/>
                <w:bCs/>
                <w:i/>
                <w:iCs/>
              </w:rPr>
            </w:pPr>
            <w:r w:rsidRPr="62BCBB89">
              <w:rPr>
                <w:b/>
                <w:bCs/>
                <w:i/>
                <w:iCs/>
              </w:rPr>
              <w:t xml:space="preserve">Apprenticeship </w:t>
            </w:r>
            <w:proofErr w:type="spellStart"/>
            <w:r w:rsidRPr="62BCBB89">
              <w:rPr>
                <w:b/>
                <w:bCs/>
                <w:i/>
                <w:iCs/>
              </w:rPr>
              <w:t>programme</w:t>
            </w:r>
            <w:proofErr w:type="spellEnd"/>
          </w:p>
        </w:tc>
        <w:tc>
          <w:tcPr>
            <w:tcW w:w="5193" w:type="dxa"/>
          </w:tcPr>
          <w:p w14:paraId="11A3291A" w14:textId="77777777" w:rsidR="00B10216" w:rsidRDefault="00B10216" w:rsidP="00DF50C3">
            <w:pPr>
              <w:rPr>
                <w:i/>
              </w:rPr>
            </w:pPr>
            <w:r>
              <w:rPr>
                <w:i/>
              </w:rPr>
              <w:t>L5 Data Engineer</w:t>
            </w:r>
          </w:p>
        </w:tc>
      </w:tr>
      <w:tr w:rsidR="00B10216" w:rsidRPr="00030146" w14:paraId="1E85AAE1" w14:textId="77777777" w:rsidTr="00DF50C3">
        <w:tc>
          <w:tcPr>
            <w:tcW w:w="3823" w:type="dxa"/>
          </w:tcPr>
          <w:p w14:paraId="4FA59DD7" w14:textId="77777777" w:rsidR="00B10216" w:rsidRPr="00030146" w:rsidRDefault="00B10216" w:rsidP="00DF50C3">
            <w:pPr>
              <w:rPr>
                <w:b/>
                <w:bCs/>
                <w:i/>
                <w:iCs/>
              </w:rPr>
            </w:pPr>
            <w:r>
              <w:rPr>
                <w:b/>
                <w:bCs/>
                <w:i/>
                <w:iCs/>
              </w:rPr>
              <w:t>Coursework / Portfolio</w:t>
            </w:r>
            <w:r w:rsidRPr="62BCBB89">
              <w:rPr>
                <w:b/>
                <w:bCs/>
                <w:i/>
                <w:iCs/>
              </w:rPr>
              <w:t xml:space="preserve"> being reviewed</w:t>
            </w:r>
          </w:p>
        </w:tc>
        <w:tc>
          <w:tcPr>
            <w:tcW w:w="5193" w:type="dxa"/>
          </w:tcPr>
          <w:p w14:paraId="1FA52B95" w14:textId="77777777" w:rsidR="00B10216" w:rsidRDefault="00B10216" w:rsidP="00DF50C3">
            <w:pPr>
              <w:rPr>
                <w:i/>
              </w:rPr>
            </w:pPr>
            <w:r>
              <w:rPr>
                <w:i/>
              </w:rPr>
              <w:t>Portfolio submission 1</w:t>
            </w:r>
          </w:p>
        </w:tc>
      </w:tr>
      <w:tr w:rsidR="00B10216" w:rsidRPr="00030146" w14:paraId="2AB17030" w14:textId="77777777" w:rsidTr="00DF50C3">
        <w:tc>
          <w:tcPr>
            <w:tcW w:w="3823" w:type="dxa"/>
          </w:tcPr>
          <w:p w14:paraId="08F9329D" w14:textId="77777777" w:rsidR="00B10216" w:rsidRDefault="00B10216" w:rsidP="00DF50C3">
            <w:pPr>
              <w:rPr>
                <w:b/>
                <w:bCs/>
                <w:i/>
                <w:iCs/>
              </w:rPr>
            </w:pPr>
            <w:r>
              <w:rPr>
                <w:b/>
                <w:bCs/>
                <w:i/>
                <w:iCs/>
              </w:rPr>
              <w:t>Coursework / Portfolio</w:t>
            </w:r>
            <w:r w:rsidRPr="62BCBB89">
              <w:rPr>
                <w:b/>
                <w:bCs/>
                <w:i/>
                <w:iCs/>
              </w:rPr>
              <w:t xml:space="preserve"> submission date</w:t>
            </w:r>
          </w:p>
        </w:tc>
        <w:tc>
          <w:tcPr>
            <w:tcW w:w="5193" w:type="dxa"/>
          </w:tcPr>
          <w:p w14:paraId="5B175F57" w14:textId="77777777" w:rsidR="00B10216" w:rsidRDefault="00B10216" w:rsidP="00DF50C3">
            <w:pPr>
              <w:rPr>
                <w:i/>
              </w:rPr>
            </w:pPr>
            <w:r>
              <w:rPr>
                <w:i/>
              </w:rPr>
              <w:t>21/05/24</w:t>
            </w:r>
          </w:p>
        </w:tc>
      </w:tr>
      <w:tr w:rsidR="00B10216" w:rsidRPr="00030146" w14:paraId="38640643" w14:textId="77777777" w:rsidTr="00DF50C3">
        <w:tc>
          <w:tcPr>
            <w:tcW w:w="3823" w:type="dxa"/>
          </w:tcPr>
          <w:p w14:paraId="7429A445" w14:textId="77777777" w:rsidR="00B10216" w:rsidRPr="00030146" w:rsidRDefault="00B10216" w:rsidP="00DF50C3">
            <w:pPr>
              <w:rPr>
                <w:b/>
                <w:bCs/>
                <w:i/>
                <w:iCs/>
              </w:rPr>
            </w:pPr>
            <w:r w:rsidRPr="62BCBB89">
              <w:rPr>
                <w:b/>
                <w:bCs/>
                <w:i/>
                <w:iCs/>
              </w:rPr>
              <w:t xml:space="preserve">Month into </w:t>
            </w:r>
            <w:proofErr w:type="spellStart"/>
            <w:r w:rsidRPr="62BCBB89">
              <w:rPr>
                <w:b/>
                <w:bCs/>
                <w:i/>
                <w:iCs/>
              </w:rPr>
              <w:t>programme</w:t>
            </w:r>
            <w:proofErr w:type="spellEnd"/>
          </w:p>
        </w:tc>
        <w:tc>
          <w:tcPr>
            <w:tcW w:w="5193" w:type="dxa"/>
          </w:tcPr>
          <w:p w14:paraId="7C8FEC2A" w14:textId="77777777" w:rsidR="00B10216" w:rsidRDefault="00B10216" w:rsidP="00DF50C3">
            <w:pPr>
              <w:rPr>
                <w:i/>
              </w:rPr>
            </w:pPr>
            <w:r>
              <w:rPr>
                <w:i/>
              </w:rPr>
              <w:t>5</w:t>
            </w:r>
          </w:p>
        </w:tc>
      </w:tr>
      <w:tr w:rsidR="00B10216" w:rsidRPr="00030146" w14:paraId="7DB8F7B3" w14:textId="77777777" w:rsidTr="00DF50C3">
        <w:tc>
          <w:tcPr>
            <w:tcW w:w="3823" w:type="dxa"/>
          </w:tcPr>
          <w:p w14:paraId="70510DAE" w14:textId="77777777" w:rsidR="00B10216" w:rsidRPr="00030146" w:rsidRDefault="00B10216" w:rsidP="00DF50C3">
            <w:pPr>
              <w:rPr>
                <w:b/>
                <w:bCs/>
                <w:i/>
                <w:iCs/>
              </w:rPr>
            </w:pPr>
            <w:r w:rsidRPr="62BCBB89">
              <w:rPr>
                <w:b/>
                <w:bCs/>
                <w:i/>
                <w:iCs/>
              </w:rPr>
              <w:t>Skills Coach</w:t>
            </w:r>
          </w:p>
        </w:tc>
        <w:tc>
          <w:tcPr>
            <w:tcW w:w="5193" w:type="dxa"/>
          </w:tcPr>
          <w:p w14:paraId="7086C824" w14:textId="77777777" w:rsidR="00B10216" w:rsidRDefault="00B10216" w:rsidP="00DF50C3">
            <w:pPr>
              <w:rPr>
                <w:i/>
              </w:rPr>
            </w:pPr>
            <w:r>
              <w:rPr>
                <w:i/>
              </w:rPr>
              <w:t>Mark Burton</w:t>
            </w:r>
          </w:p>
        </w:tc>
      </w:tr>
    </w:tbl>
    <w:p w14:paraId="3C037A26" w14:textId="77777777" w:rsidR="00B10216" w:rsidRDefault="00B10216" w:rsidP="00B10216">
      <w:pPr>
        <w:pStyle w:val="NoSpacing"/>
      </w:pPr>
    </w:p>
    <w:p w14:paraId="6C71E1D6" w14:textId="77777777" w:rsidR="00B10216" w:rsidRDefault="00B10216" w:rsidP="00B10216">
      <w:pPr>
        <w:pStyle w:val="NoSpacing"/>
      </w:pPr>
      <w:r>
        <w:t>[</w:t>
      </w:r>
      <w:r w:rsidRPr="75405B12">
        <w:rPr>
          <w:i/>
          <w:iCs/>
        </w:rPr>
        <w:t xml:space="preserve">For each LO please indicate if it is </w:t>
      </w:r>
      <w:r w:rsidRPr="75405B12">
        <w:rPr>
          <w:i/>
          <w:iCs/>
          <w:highlight w:val="green"/>
        </w:rPr>
        <w:t>Complete</w:t>
      </w:r>
      <w:r w:rsidRPr="75405B12">
        <w:rPr>
          <w:i/>
          <w:iCs/>
        </w:rPr>
        <w:t xml:space="preserve"> / </w:t>
      </w:r>
      <w:r w:rsidRPr="75405B12">
        <w:rPr>
          <w:i/>
          <w:iCs/>
          <w:highlight w:val="yellow"/>
        </w:rPr>
        <w:t>Partially complete</w:t>
      </w:r>
      <w:r w:rsidRPr="75405B12">
        <w:rPr>
          <w:i/>
          <w:iCs/>
        </w:rPr>
        <w:t xml:space="preserve"> / </w:t>
      </w:r>
      <w:r w:rsidRPr="75405B12">
        <w:rPr>
          <w:i/>
          <w:iCs/>
          <w:highlight w:val="red"/>
        </w:rPr>
        <w:t>Incomplete</w:t>
      </w:r>
      <w:r>
        <w:t>]</w:t>
      </w:r>
    </w:p>
    <w:tbl>
      <w:tblPr>
        <w:tblStyle w:val="GridTable1Light-Accent1"/>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846"/>
        <w:gridCol w:w="5953"/>
        <w:gridCol w:w="2196"/>
      </w:tblGrid>
      <w:tr w:rsidR="00B10216" w14:paraId="42608E74" w14:textId="77777777" w:rsidTr="00DF50C3">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8995" w:type="dxa"/>
            <w:gridSpan w:val="3"/>
            <w:tcBorders>
              <w:bottom w:val="none" w:sz="0" w:space="0" w:color="auto"/>
            </w:tcBorders>
            <w:shd w:val="clear" w:color="auto" w:fill="C1E4F5" w:themeFill="accent1" w:themeFillTint="33"/>
            <w:vAlign w:val="center"/>
          </w:tcPr>
          <w:p w14:paraId="67F1CD5E" w14:textId="77777777" w:rsidR="00B10216" w:rsidRDefault="00B10216" w:rsidP="00DF50C3">
            <w:pPr>
              <w:pStyle w:val="NoSpacing"/>
            </w:pPr>
            <w:r>
              <w:t>Learning outcomes for this piece of work</w:t>
            </w:r>
          </w:p>
        </w:tc>
      </w:tr>
      <w:tr w:rsidR="00B10216" w:rsidRPr="007F4B1C" w14:paraId="0883262F"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tcPr>
          <w:p w14:paraId="0D45C2EC" w14:textId="77777777" w:rsidR="00B10216" w:rsidRPr="009F1B19" w:rsidRDefault="00B10216" w:rsidP="00DF50C3">
            <w:pPr>
              <w:pStyle w:val="NoSpacing"/>
              <w:tabs>
                <w:tab w:val="left" w:pos="775"/>
              </w:tabs>
              <w:jc w:val="both"/>
              <w:rPr>
                <w:iCs/>
                <w:lang w:val="en-US"/>
              </w:rPr>
            </w:pPr>
            <w:r w:rsidRPr="009F1B19">
              <w:rPr>
                <w:rFonts w:cstheme="minorHAnsi"/>
                <w:iCs/>
              </w:rPr>
              <w:t>K1</w:t>
            </w:r>
          </w:p>
          <w:p w14:paraId="485395DA" w14:textId="77777777" w:rsidR="00B10216" w:rsidRPr="009F1B19" w:rsidRDefault="00B10216" w:rsidP="00DF50C3">
            <w:pPr>
              <w:rPr>
                <w:i/>
              </w:rPr>
            </w:pPr>
          </w:p>
        </w:tc>
        <w:tc>
          <w:tcPr>
            <w:tcW w:w="5953" w:type="dxa"/>
          </w:tcPr>
          <w:p w14:paraId="49A895ED"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 xml:space="preserve">Processes to monitor and optimise the performance of the availability, management and performance of data product.  </w:t>
            </w:r>
          </w:p>
        </w:tc>
        <w:tc>
          <w:tcPr>
            <w:tcW w:w="2196" w:type="dxa"/>
          </w:tcPr>
          <w:p w14:paraId="638C74BF" w14:textId="77777777" w:rsidR="00B10216" w:rsidRPr="00E82F5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r w:rsidRPr="00E82F54">
              <w:rPr>
                <w:i/>
                <w:iCs/>
                <w:highlight w:val="green"/>
              </w:rPr>
              <w:t>Complete</w:t>
            </w:r>
          </w:p>
          <w:p w14:paraId="1E67A073" w14:textId="77777777" w:rsidR="00B10216" w:rsidRPr="00E82F5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p>
        </w:tc>
      </w:tr>
      <w:tr w:rsidR="00B10216" w:rsidRPr="007F4B1C" w14:paraId="674EC9A0"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A5C9AB7" w14:textId="77777777" w:rsidR="00B10216" w:rsidRPr="00EA36E4" w:rsidRDefault="00B10216" w:rsidP="00DF50C3">
            <w:pPr>
              <w:rPr>
                <w:rFonts w:cstheme="minorHAnsi"/>
                <w:i/>
                <w:iCs/>
              </w:rPr>
            </w:pPr>
            <w:r w:rsidRPr="00EA36E4">
              <w:rPr>
                <w:rFonts w:cstheme="minorHAnsi"/>
                <w:i/>
                <w:iCs/>
              </w:rPr>
              <w:t>S15</w:t>
            </w:r>
          </w:p>
        </w:tc>
        <w:tc>
          <w:tcPr>
            <w:tcW w:w="5953" w:type="dxa"/>
            <w:shd w:val="clear" w:color="auto" w:fill="auto"/>
          </w:tcPr>
          <w:p w14:paraId="3DA81674"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 xml:space="preserve">Optimise data ingestion processes by making use of appropriate data ingestion frameworks such as batch, streaming and on-demand.  </w:t>
            </w:r>
          </w:p>
          <w:p w14:paraId="74722DEA"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p>
        </w:tc>
        <w:tc>
          <w:tcPr>
            <w:tcW w:w="2196" w:type="dxa"/>
            <w:shd w:val="clear" w:color="auto" w:fill="auto"/>
          </w:tcPr>
          <w:p w14:paraId="5B5858AD" w14:textId="77777777" w:rsidR="00B10216" w:rsidRPr="00E82F5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r w:rsidRPr="00E82F54">
              <w:rPr>
                <w:i/>
                <w:iCs/>
                <w:highlight w:val="green"/>
              </w:rPr>
              <w:t>Complete</w:t>
            </w:r>
          </w:p>
        </w:tc>
      </w:tr>
      <w:tr w:rsidR="00B10216" w:rsidRPr="007F4B1C" w14:paraId="1C11A043"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5499E4BA" w14:textId="77777777" w:rsidR="00B10216" w:rsidRPr="00EA36E4" w:rsidRDefault="00B10216" w:rsidP="00DF50C3">
            <w:pPr>
              <w:rPr>
                <w:rFonts w:cstheme="minorHAnsi"/>
                <w:i/>
                <w:iCs/>
              </w:rPr>
            </w:pPr>
            <w:r w:rsidRPr="00EA36E4">
              <w:rPr>
                <w:rFonts w:cstheme="minorHAnsi"/>
                <w:i/>
                <w:iCs/>
              </w:rPr>
              <w:t>K10</w:t>
            </w:r>
          </w:p>
        </w:tc>
        <w:tc>
          <w:tcPr>
            <w:tcW w:w="5953" w:type="dxa"/>
            <w:shd w:val="clear" w:color="auto" w:fill="auto"/>
          </w:tcPr>
          <w:p w14:paraId="2EE89919"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Concepts of data governance, including regulatory requirements, data privacy, security, and quality control. Legislation and its application to the safe use of data.</w:t>
            </w:r>
          </w:p>
        </w:tc>
        <w:tc>
          <w:tcPr>
            <w:tcW w:w="2196" w:type="dxa"/>
            <w:shd w:val="clear" w:color="auto" w:fill="auto"/>
          </w:tcPr>
          <w:p w14:paraId="2C4632A5" w14:textId="77777777" w:rsidR="00B10216" w:rsidRPr="00BA672D"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yellow"/>
              </w:rPr>
            </w:pPr>
          </w:p>
        </w:tc>
      </w:tr>
      <w:tr w:rsidR="00B10216" w:rsidRPr="007F4B1C" w14:paraId="27FAF811"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6B3DE648" w14:textId="77777777" w:rsidR="00B10216" w:rsidRPr="00EA36E4" w:rsidRDefault="00B10216" w:rsidP="00DF50C3">
            <w:pPr>
              <w:rPr>
                <w:rFonts w:cstheme="minorHAnsi"/>
                <w:i/>
                <w:iCs/>
              </w:rPr>
            </w:pPr>
            <w:r w:rsidRPr="00EA36E4">
              <w:rPr>
                <w:rFonts w:cstheme="minorHAnsi"/>
                <w:i/>
                <w:iCs/>
              </w:rPr>
              <w:t>K3</w:t>
            </w:r>
          </w:p>
        </w:tc>
        <w:tc>
          <w:tcPr>
            <w:tcW w:w="5953" w:type="dxa"/>
            <w:shd w:val="clear" w:color="auto" w:fill="auto"/>
          </w:tcPr>
          <w:p w14:paraId="40B83DFC"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Data normalisation principles and the advantages they achieve in databases for data protection, redundancy, and inconsistent dependency.</w:t>
            </w:r>
          </w:p>
          <w:p w14:paraId="772EC0B0"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p>
        </w:tc>
        <w:tc>
          <w:tcPr>
            <w:tcW w:w="2196" w:type="dxa"/>
            <w:shd w:val="clear" w:color="auto" w:fill="auto"/>
          </w:tcPr>
          <w:p w14:paraId="57A31F77" w14:textId="77777777" w:rsidR="00B10216" w:rsidRPr="0091249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r>
              <w:rPr>
                <w:i/>
                <w:iCs/>
                <w:highlight w:val="green"/>
              </w:rPr>
              <w:t>Complete</w:t>
            </w:r>
          </w:p>
        </w:tc>
      </w:tr>
      <w:tr w:rsidR="00B10216" w:rsidRPr="007F4B1C" w14:paraId="64A4302F"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620B63DD" w14:textId="77777777" w:rsidR="00B10216" w:rsidRPr="00EA36E4" w:rsidRDefault="00B10216" w:rsidP="00DF50C3">
            <w:pPr>
              <w:rPr>
                <w:rFonts w:cstheme="minorHAnsi"/>
                <w:i/>
                <w:iCs/>
              </w:rPr>
            </w:pPr>
            <w:r w:rsidRPr="00EA36E4">
              <w:rPr>
                <w:rFonts w:cstheme="minorHAnsi"/>
                <w:i/>
                <w:iCs/>
              </w:rPr>
              <w:t>K5</w:t>
            </w:r>
          </w:p>
        </w:tc>
        <w:tc>
          <w:tcPr>
            <w:tcW w:w="5953" w:type="dxa"/>
            <w:shd w:val="clear" w:color="auto" w:fill="auto"/>
          </w:tcPr>
          <w:p w14:paraId="6A02FE42"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 xml:space="preserve">The inherent risks of data such as incomplete data, ethical data sources and how to ensure data quality. </w:t>
            </w:r>
          </w:p>
          <w:p w14:paraId="0FE1162D"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p>
        </w:tc>
        <w:tc>
          <w:tcPr>
            <w:tcW w:w="2196" w:type="dxa"/>
            <w:shd w:val="clear" w:color="auto" w:fill="auto"/>
          </w:tcPr>
          <w:p w14:paraId="491C7AEA" w14:textId="77777777" w:rsidR="00B10216" w:rsidRPr="75405B12"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yellow"/>
              </w:rPr>
            </w:pPr>
            <w:r w:rsidRPr="00E82F54">
              <w:rPr>
                <w:i/>
                <w:iCs/>
                <w:highlight w:val="green"/>
              </w:rPr>
              <w:t>Complete</w:t>
            </w:r>
          </w:p>
        </w:tc>
      </w:tr>
      <w:tr w:rsidR="00B10216" w:rsidRPr="007F4B1C" w14:paraId="4F165A95"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09D9585D" w14:textId="77777777" w:rsidR="00B10216" w:rsidRPr="00EA36E4" w:rsidRDefault="00B10216" w:rsidP="00DF50C3">
            <w:pPr>
              <w:rPr>
                <w:rFonts w:cstheme="minorHAnsi"/>
                <w:i/>
                <w:iCs/>
              </w:rPr>
            </w:pPr>
            <w:r w:rsidRPr="00EA36E4">
              <w:rPr>
                <w:rFonts w:cstheme="minorHAnsi"/>
                <w:i/>
                <w:iCs/>
              </w:rPr>
              <w:t>B4</w:t>
            </w:r>
          </w:p>
        </w:tc>
        <w:tc>
          <w:tcPr>
            <w:tcW w:w="5953" w:type="dxa"/>
            <w:shd w:val="clear" w:color="auto" w:fill="auto"/>
          </w:tcPr>
          <w:p w14:paraId="721FA0BA"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 xml:space="preserve">Takes personal responsibility towards net zero and prioritises environmental sustainability outcomes in how they carry out the duties of their role. </w:t>
            </w:r>
          </w:p>
          <w:p w14:paraId="42660192"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p>
        </w:tc>
        <w:tc>
          <w:tcPr>
            <w:tcW w:w="2196" w:type="dxa"/>
            <w:shd w:val="clear" w:color="auto" w:fill="auto"/>
          </w:tcPr>
          <w:p w14:paraId="5E571D92" w14:textId="77777777" w:rsidR="00B10216" w:rsidRPr="75405B12"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yellow"/>
              </w:rPr>
            </w:pPr>
          </w:p>
        </w:tc>
      </w:tr>
      <w:tr w:rsidR="00B10216" w:rsidRPr="007F4B1C" w14:paraId="03D02946"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279DD93A" w14:textId="77777777" w:rsidR="00B10216" w:rsidRPr="00EA36E4" w:rsidRDefault="00B10216" w:rsidP="00DF50C3">
            <w:pPr>
              <w:rPr>
                <w:rFonts w:cstheme="minorHAnsi"/>
                <w:i/>
                <w:iCs/>
              </w:rPr>
            </w:pPr>
            <w:r w:rsidRPr="00EA36E4">
              <w:rPr>
                <w:rFonts w:cstheme="minorHAnsi"/>
                <w:i/>
                <w:iCs/>
              </w:rPr>
              <w:t>K18</w:t>
            </w:r>
          </w:p>
        </w:tc>
        <w:tc>
          <w:tcPr>
            <w:tcW w:w="5953" w:type="dxa"/>
            <w:shd w:val="clear" w:color="auto" w:fill="auto"/>
          </w:tcPr>
          <w:p w14:paraId="6DA34A67"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How to use streaming, batching and on-demand services to move data from one location to another. </w:t>
            </w:r>
          </w:p>
        </w:tc>
        <w:tc>
          <w:tcPr>
            <w:tcW w:w="2196" w:type="dxa"/>
            <w:shd w:val="clear" w:color="auto" w:fill="auto"/>
          </w:tcPr>
          <w:p w14:paraId="2C6A446F" w14:textId="77777777" w:rsidR="00B10216" w:rsidRPr="0091249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r>
              <w:rPr>
                <w:i/>
                <w:iCs/>
                <w:highlight w:val="green"/>
              </w:rPr>
              <w:t>Complete</w:t>
            </w:r>
          </w:p>
        </w:tc>
      </w:tr>
      <w:tr w:rsidR="00B10216" w:rsidRPr="007F4B1C" w14:paraId="291F210A" w14:textId="77777777" w:rsidTr="00DF50C3">
        <w:trPr>
          <w:trHeight w:val="41"/>
        </w:trPr>
        <w:tc>
          <w:tcPr>
            <w:cnfStyle w:val="001000000000" w:firstRow="0" w:lastRow="0" w:firstColumn="1" w:lastColumn="0" w:oddVBand="0" w:evenVBand="0" w:oddHBand="0" w:evenHBand="0" w:firstRowFirstColumn="0" w:firstRowLastColumn="0" w:lastRowFirstColumn="0" w:lastRowLastColumn="0"/>
            <w:tcW w:w="846" w:type="dxa"/>
            <w:shd w:val="clear" w:color="auto" w:fill="auto"/>
          </w:tcPr>
          <w:p w14:paraId="63CC18D3" w14:textId="77777777" w:rsidR="00B10216" w:rsidRPr="00EA36E4" w:rsidRDefault="00B10216" w:rsidP="00DF50C3">
            <w:pPr>
              <w:rPr>
                <w:rFonts w:cstheme="minorHAnsi"/>
                <w:i/>
                <w:iCs/>
              </w:rPr>
            </w:pPr>
            <w:r w:rsidRPr="00EA36E4">
              <w:rPr>
                <w:rFonts w:cstheme="minorHAnsi"/>
                <w:i/>
                <w:iCs/>
              </w:rPr>
              <w:t>K28</w:t>
            </w:r>
          </w:p>
        </w:tc>
        <w:tc>
          <w:tcPr>
            <w:tcW w:w="5953" w:type="dxa"/>
            <w:shd w:val="clear" w:color="auto" w:fill="auto"/>
          </w:tcPr>
          <w:p w14:paraId="27E151E9"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Continuous improvement including how to: capture good practice and lessons learned.</w:t>
            </w:r>
          </w:p>
        </w:tc>
        <w:tc>
          <w:tcPr>
            <w:tcW w:w="2196" w:type="dxa"/>
            <w:shd w:val="clear" w:color="auto" w:fill="auto"/>
          </w:tcPr>
          <w:p w14:paraId="0A1029C5" w14:textId="77777777" w:rsidR="00B10216" w:rsidRPr="75405B12"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p>
        </w:tc>
      </w:tr>
      <w:tr w:rsidR="00B10216" w:rsidRPr="007F4B1C" w14:paraId="0FD3E971" w14:textId="77777777" w:rsidTr="00DF50C3">
        <w:trPr>
          <w:trHeight w:val="333"/>
        </w:trPr>
        <w:tc>
          <w:tcPr>
            <w:cnfStyle w:val="001000000000" w:firstRow="0" w:lastRow="0" w:firstColumn="1" w:lastColumn="0" w:oddVBand="0" w:evenVBand="0" w:oddHBand="0" w:evenHBand="0" w:firstRowFirstColumn="0" w:firstRowLastColumn="0" w:lastRowFirstColumn="0" w:lastRowLastColumn="0"/>
            <w:tcW w:w="846" w:type="dxa"/>
          </w:tcPr>
          <w:p w14:paraId="2A43587F" w14:textId="77777777" w:rsidR="00B10216" w:rsidRPr="009F1B19" w:rsidRDefault="00B10216" w:rsidP="00DF50C3">
            <w:pPr>
              <w:pStyle w:val="NoSpacing"/>
              <w:tabs>
                <w:tab w:val="left" w:pos="775"/>
              </w:tabs>
              <w:jc w:val="both"/>
              <w:rPr>
                <w:rFonts w:cstheme="minorHAnsi"/>
                <w:i/>
              </w:rPr>
            </w:pPr>
            <w:r w:rsidRPr="009F1B19">
              <w:rPr>
                <w:rFonts w:cstheme="minorHAnsi"/>
                <w:i/>
              </w:rPr>
              <w:t>K27</w:t>
            </w:r>
          </w:p>
        </w:tc>
        <w:tc>
          <w:tcPr>
            <w:tcW w:w="5953" w:type="dxa"/>
          </w:tcPr>
          <w:p w14:paraId="74A6CE22" w14:textId="77777777" w:rsidR="00B10216" w:rsidRPr="00430FC7" w:rsidRDefault="00B10216" w:rsidP="00DF50C3">
            <w:pPr>
              <w:cnfStyle w:val="000000000000" w:firstRow="0" w:lastRow="0" w:firstColumn="0" w:lastColumn="0" w:oddVBand="0" w:evenVBand="0" w:oddHBand="0" w:evenHBand="0" w:firstRowFirstColumn="0" w:firstRowLastColumn="0" w:lastRowFirstColumn="0" w:lastRowLastColumn="0"/>
              <w:rPr>
                <w:rFonts w:cstheme="minorHAnsi"/>
              </w:rPr>
            </w:pPr>
            <w:r w:rsidRPr="00430FC7">
              <w:rPr>
                <w:rFonts w:cstheme="minorHAnsi"/>
              </w:rPr>
              <w:t>The principles of descriptive, predictive and prescriptive analytics.</w:t>
            </w:r>
          </w:p>
        </w:tc>
        <w:tc>
          <w:tcPr>
            <w:tcW w:w="2196" w:type="dxa"/>
          </w:tcPr>
          <w:p w14:paraId="3E3EF1ED" w14:textId="77777777" w:rsidR="00B10216" w:rsidRPr="00912494" w:rsidRDefault="00B10216" w:rsidP="00DF50C3">
            <w:pPr>
              <w:pStyle w:val="NoSpacing"/>
              <w:cnfStyle w:val="000000000000" w:firstRow="0" w:lastRow="0" w:firstColumn="0" w:lastColumn="0" w:oddVBand="0" w:evenVBand="0" w:oddHBand="0" w:evenHBand="0" w:firstRowFirstColumn="0" w:firstRowLastColumn="0" w:lastRowFirstColumn="0" w:lastRowLastColumn="0"/>
              <w:rPr>
                <w:i/>
                <w:iCs/>
                <w:highlight w:val="green"/>
              </w:rPr>
            </w:pPr>
            <w:r>
              <w:rPr>
                <w:i/>
                <w:iCs/>
                <w:highlight w:val="green"/>
              </w:rPr>
              <w:t>Complete</w:t>
            </w:r>
          </w:p>
        </w:tc>
      </w:tr>
    </w:tbl>
    <w:p w14:paraId="4FAF4D72" w14:textId="77777777" w:rsidR="00B10216" w:rsidRDefault="00B10216" w:rsidP="00B10216">
      <w:pPr>
        <w:pStyle w:val="NoSpacing"/>
      </w:pP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497"/>
        <w:gridCol w:w="4498"/>
      </w:tblGrid>
      <w:tr w:rsidR="00B10216" w14:paraId="214CD942" w14:textId="77777777" w:rsidTr="00DF50C3">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497" w:type="dxa"/>
            <w:shd w:val="clear" w:color="auto" w:fill="C1E4F5" w:themeFill="accent1" w:themeFillTint="33"/>
            <w:vAlign w:val="center"/>
          </w:tcPr>
          <w:p w14:paraId="133AED80" w14:textId="77777777" w:rsidR="00B10216" w:rsidRDefault="00B10216" w:rsidP="00DF50C3">
            <w:pPr>
              <w:pStyle w:val="NoSpacing"/>
              <w:rPr>
                <w:b w:val="0"/>
                <w:bCs w:val="0"/>
              </w:rPr>
            </w:pPr>
            <w:r>
              <w:t>Provisional grade for piece of work</w:t>
            </w:r>
          </w:p>
        </w:tc>
        <w:tc>
          <w:tcPr>
            <w:tcW w:w="4498" w:type="dxa"/>
            <w:shd w:val="clear" w:color="auto" w:fill="C1E4F5" w:themeFill="accent1" w:themeFillTint="33"/>
            <w:vAlign w:val="center"/>
          </w:tcPr>
          <w:p w14:paraId="56B60E3B" w14:textId="77777777" w:rsidR="00B10216" w:rsidRPr="00EA2C4D" w:rsidRDefault="00B10216" w:rsidP="00DF50C3">
            <w:pPr>
              <w:pStyle w:val="NoSpacing"/>
              <w:cnfStyle w:val="100000000000" w:firstRow="1" w:lastRow="0" w:firstColumn="0" w:lastColumn="0" w:oddVBand="0" w:evenVBand="0" w:oddHBand="0" w:evenHBand="0" w:firstRowFirstColumn="0" w:firstRowLastColumn="0" w:lastRowFirstColumn="0" w:lastRowLastColumn="0"/>
              <w:rPr>
                <w:i/>
                <w:iCs/>
                <w:highlight w:val="green"/>
              </w:rPr>
            </w:pPr>
            <w:r w:rsidRPr="00EA2C4D">
              <w:rPr>
                <w:i/>
                <w:iCs/>
                <w:highlight w:val="green"/>
              </w:rPr>
              <w:t xml:space="preserve">Good </w:t>
            </w:r>
          </w:p>
        </w:tc>
      </w:tr>
    </w:tbl>
    <w:p w14:paraId="1C377B11" w14:textId="77777777" w:rsidR="00B10216" w:rsidRDefault="00B10216" w:rsidP="00B10216">
      <w:pPr>
        <w:pStyle w:val="NoSpacing"/>
      </w:pPr>
    </w:p>
    <w:p w14:paraId="1778F699" w14:textId="77777777" w:rsidR="00B10216" w:rsidRDefault="00B10216" w:rsidP="00B10216">
      <w:pPr>
        <w:pStyle w:val="NoSpacing"/>
      </w:pPr>
    </w:p>
    <w:tbl>
      <w:tblPr>
        <w:tblpPr w:leftFromText="180" w:rightFromText="180" w:vertAnchor="text" w:horzAnchor="margin" w:tblpY="62"/>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7092"/>
      </w:tblGrid>
      <w:tr w:rsidR="00B10216" w14:paraId="06BA1169" w14:textId="77777777" w:rsidTr="00DF50C3">
        <w:trPr>
          <w:trHeight w:val="18"/>
        </w:trPr>
        <w:tc>
          <w:tcPr>
            <w:tcW w:w="9072" w:type="dxa"/>
            <w:gridSpan w:val="2"/>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169900A2" w14:textId="77777777" w:rsidR="00B10216" w:rsidRDefault="00B10216" w:rsidP="00DF50C3">
            <w:pPr>
              <w:spacing w:after="0"/>
            </w:pPr>
            <w:r>
              <w:rPr>
                <w:b/>
              </w:rPr>
              <w:t>Steps to improve your Knowledge, Skills and Behaviours</w:t>
            </w:r>
            <w:r w:rsidRPr="007F4B1C">
              <w:rPr>
                <w:b/>
              </w:rPr>
              <w:t xml:space="preserve"> </w:t>
            </w:r>
          </w:p>
        </w:tc>
      </w:tr>
      <w:tr w:rsidR="00B10216" w14:paraId="7E55FF75" w14:textId="77777777" w:rsidTr="00DF50C3">
        <w:trPr>
          <w:trHeight w:val="2096"/>
        </w:trPr>
        <w:tc>
          <w:tcPr>
            <w:tcW w:w="1980" w:type="dxa"/>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2B3A925B" w14:textId="77777777" w:rsidR="00B10216" w:rsidRPr="00745A9B" w:rsidRDefault="00B10216" w:rsidP="00DF50C3">
            <w:pPr>
              <w:spacing w:after="0"/>
              <w:rPr>
                <w:b/>
                <w:bCs/>
                <w:i/>
              </w:rPr>
            </w:pPr>
            <w:r w:rsidRPr="00745A9B">
              <w:rPr>
                <w:b/>
                <w:bCs/>
                <w:i/>
              </w:rPr>
              <w:t>Fully evidenced KSBs</w:t>
            </w: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010D8328" w14:textId="2ADE77A8" w:rsidR="00B10216" w:rsidRDefault="00B10216" w:rsidP="00DF50C3">
            <w:pPr>
              <w:spacing w:line="276" w:lineRule="auto"/>
              <w:ind w:right="708"/>
              <w:rPr>
                <w:iCs/>
              </w:rPr>
            </w:pPr>
            <w:r>
              <w:rPr>
                <w:iCs/>
              </w:rPr>
              <w:t xml:space="preserve">Hi </w:t>
            </w:r>
            <w:r w:rsidR="00BB1CBB">
              <w:rPr>
                <w:iCs/>
              </w:rPr>
              <w:t>Lee</w:t>
            </w:r>
            <w:r>
              <w:rPr>
                <w:iCs/>
              </w:rPr>
              <w:t>,</w:t>
            </w:r>
          </w:p>
          <w:p w14:paraId="7E6D3DB0" w14:textId="77777777" w:rsidR="00B10216" w:rsidRDefault="00B10216" w:rsidP="00DF50C3">
            <w:pPr>
              <w:spacing w:line="276" w:lineRule="auto"/>
              <w:ind w:right="708"/>
              <w:rPr>
                <w:iCs/>
              </w:rPr>
            </w:pPr>
            <w:r>
              <w:rPr>
                <w:iCs/>
              </w:rPr>
              <w:t>Overall, I’m very pleased with your work!</w:t>
            </w:r>
          </w:p>
          <w:p w14:paraId="3FE496EE" w14:textId="77777777" w:rsidR="00B10216" w:rsidRDefault="00B10216" w:rsidP="00DF50C3">
            <w:pPr>
              <w:spacing w:line="276" w:lineRule="auto"/>
              <w:ind w:right="708"/>
              <w:rPr>
                <w:iCs/>
              </w:rPr>
            </w:pPr>
            <w:r>
              <w:rPr>
                <w:iCs/>
              </w:rPr>
              <w:t>Please see below for additional comments on your portfolio introduction.</w:t>
            </w:r>
          </w:p>
          <w:p w14:paraId="4B41AE2D" w14:textId="77777777" w:rsidR="00BB1CBB" w:rsidRDefault="00B10216" w:rsidP="00DF50C3">
            <w:pPr>
              <w:spacing w:line="276" w:lineRule="auto"/>
              <w:ind w:right="708"/>
              <w:rPr>
                <w:iCs/>
              </w:rPr>
            </w:pPr>
            <w:r>
              <w:rPr>
                <w:iCs/>
              </w:rPr>
              <w:t xml:space="preserve">K1 – Evidenced on page 1 of your report through the tools and solutions used for monitoring </w:t>
            </w:r>
            <w:r w:rsidR="00BB1CBB">
              <w:rPr>
                <w:iCs/>
              </w:rPr>
              <w:t xml:space="preserve">like Dynatrace. </w:t>
            </w:r>
          </w:p>
          <w:p w14:paraId="7946E30D" w14:textId="77777777" w:rsidR="00BB1CBB" w:rsidRDefault="00BB1CBB" w:rsidP="00DF50C3">
            <w:pPr>
              <w:spacing w:line="276" w:lineRule="auto"/>
              <w:ind w:right="708"/>
              <w:rPr>
                <w:iCs/>
              </w:rPr>
            </w:pPr>
          </w:p>
          <w:p w14:paraId="7CEFCBA9" w14:textId="7202FC16" w:rsidR="00B10216" w:rsidRDefault="00B10216" w:rsidP="00DF50C3">
            <w:pPr>
              <w:spacing w:line="276" w:lineRule="auto"/>
              <w:ind w:right="708"/>
              <w:rPr>
                <w:iCs/>
              </w:rPr>
            </w:pPr>
            <w:r>
              <w:rPr>
                <w:iCs/>
              </w:rPr>
              <w:t xml:space="preserve">Inclusion of </w:t>
            </w:r>
            <w:r w:rsidR="00BB1CBB">
              <w:rPr>
                <w:iCs/>
              </w:rPr>
              <w:t>screenshots</w:t>
            </w:r>
            <w:r>
              <w:rPr>
                <w:iCs/>
              </w:rPr>
              <w:t xml:space="preserve"> here is also beneficial and conveys to the assessor you apply these skills in your role. </w:t>
            </w:r>
          </w:p>
          <w:p w14:paraId="16651C6A" w14:textId="77777777" w:rsidR="00B10216" w:rsidRDefault="00B10216" w:rsidP="00DF50C3">
            <w:pPr>
              <w:spacing w:line="276" w:lineRule="auto"/>
              <w:ind w:right="708"/>
              <w:rPr>
                <w:iCs/>
              </w:rPr>
            </w:pPr>
          </w:p>
          <w:p w14:paraId="3FFFD876" w14:textId="317E6C40" w:rsidR="00B10216" w:rsidRDefault="00B10216" w:rsidP="00DF50C3">
            <w:pPr>
              <w:spacing w:line="276" w:lineRule="auto"/>
              <w:ind w:right="708"/>
              <w:rPr>
                <w:iCs/>
              </w:rPr>
            </w:pPr>
            <w:r>
              <w:rPr>
                <w:iCs/>
              </w:rPr>
              <w:t>K3 – evidenced on pages 2 and 3 through your definition of data normalisation along with a practical example (</w:t>
            </w:r>
            <w:r w:rsidR="00BB1CBB">
              <w:rPr>
                <w:iCs/>
              </w:rPr>
              <w:t>People and Places team data</w:t>
            </w:r>
            <w:r>
              <w:rPr>
                <w:iCs/>
              </w:rPr>
              <w:t>) along with benefits observed and accompanying screenshots.</w:t>
            </w:r>
          </w:p>
          <w:p w14:paraId="55200B6C" w14:textId="77777777" w:rsidR="00B10216" w:rsidRDefault="00B10216" w:rsidP="00DF50C3">
            <w:pPr>
              <w:spacing w:line="276" w:lineRule="auto"/>
              <w:ind w:right="708"/>
              <w:rPr>
                <w:iCs/>
              </w:rPr>
            </w:pPr>
          </w:p>
          <w:p w14:paraId="75DAE259" w14:textId="591630E8" w:rsidR="00B10216" w:rsidRDefault="00B10216" w:rsidP="00DF50C3">
            <w:pPr>
              <w:spacing w:line="276" w:lineRule="auto"/>
              <w:ind w:right="708"/>
              <w:rPr>
                <w:iCs/>
              </w:rPr>
            </w:pPr>
            <w:r>
              <w:rPr>
                <w:iCs/>
              </w:rPr>
              <w:t xml:space="preserve">K5 – this is met on pages 3 through discussion of various data quality issues like </w:t>
            </w:r>
            <w:r w:rsidR="00BB1CBB">
              <w:rPr>
                <w:iCs/>
              </w:rPr>
              <w:t>data drift</w:t>
            </w:r>
            <w:r>
              <w:rPr>
                <w:iCs/>
              </w:rPr>
              <w:t xml:space="preserve"> along with methods of checking for data quality like data validation</w:t>
            </w:r>
            <w:r w:rsidR="00BB1CBB">
              <w:rPr>
                <w:iCs/>
              </w:rPr>
              <w:t xml:space="preserve"> rules</w:t>
            </w:r>
            <w:r>
              <w:rPr>
                <w:iCs/>
              </w:rPr>
              <w:t xml:space="preserve">, data cleansing etc. </w:t>
            </w:r>
          </w:p>
          <w:p w14:paraId="32683905" w14:textId="77777777" w:rsidR="00BB1CBB" w:rsidRDefault="00BB1CBB" w:rsidP="00DF50C3">
            <w:pPr>
              <w:spacing w:line="276" w:lineRule="auto"/>
              <w:ind w:right="708"/>
              <w:rPr>
                <w:iCs/>
              </w:rPr>
            </w:pPr>
          </w:p>
          <w:p w14:paraId="6267C6FF" w14:textId="77777777" w:rsidR="003F38AD" w:rsidRDefault="00B10216" w:rsidP="00DF50C3">
            <w:pPr>
              <w:spacing w:line="276" w:lineRule="auto"/>
              <w:ind w:right="708"/>
              <w:rPr>
                <w:iCs/>
              </w:rPr>
            </w:pPr>
            <w:r>
              <w:rPr>
                <w:iCs/>
              </w:rPr>
              <w:t xml:space="preserve">S15/K18 – Evidenced through description of data ingestion frameworks and optimisation – e.g., </w:t>
            </w:r>
            <w:r w:rsidR="00BB1CBB">
              <w:rPr>
                <w:iCs/>
              </w:rPr>
              <w:t>micro-</w:t>
            </w:r>
            <w:r>
              <w:rPr>
                <w:iCs/>
              </w:rPr>
              <w:t>batch</w:t>
            </w:r>
            <w:r w:rsidR="00BB1CBB">
              <w:rPr>
                <w:iCs/>
              </w:rPr>
              <w:t>ing</w:t>
            </w:r>
            <w:r>
              <w:rPr>
                <w:iCs/>
              </w:rPr>
              <w:t xml:space="preserve"> </w:t>
            </w:r>
            <w:r w:rsidR="00BB1CBB">
              <w:rPr>
                <w:iCs/>
              </w:rPr>
              <w:t>and multi-</w:t>
            </w:r>
            <w:r>
              <w:rPr>
                <w:iCs/>
              </w:rPr>
              <w:t>processing</w:t>
            </w:r>
            <w:r w:rsidR="00BB1CBB">
              <w:rPr>
                <w:iCs/>
              </w:rPr>
              <w:t>, moving data fro</w:t>
            </w:r>
            <w:r w:rsidR="003F38AD">
              <w:rPr>
                <w:iCs/>
              </w:rPr>
              <w:t>m Jira to PowerBI.</w:t>
            </w:r>
          </w:p>
          <w:p w14:paraId="1CB60350" w14:textId="13B15F86" w:rsidR="00B10216" w:rsidRDefault="00BB1CBB" w:rsidP="00DF50C3">
            <w:pPr>
              <w:spacing w:line="276" w:lineRule="auto"/>
              <w:ind w:right="708"/>
              <w:rPr>
                <w:iCs/>
              </w:rPr>
            </w:pPr>
            <w:r>
              <w:rPr>
                <w:iCs/>
              </w:rPr>
              <w:t>K10 – Partially evidenced here – I think you could elaborate on specific legislation adhered to (</w:t>
            </w:r>
            <w:r w:rsidR="003F38AD">
              <w:rPr>
                <w:iCs/>
              </w:rPr>
              <w:t xml:space="preserve">specifically around your </w:t>
            </w:r>
            <w:r>
              <w:rPr>
                <w:iCs/>
              </w:rPr>
              <w:t xml:space="preserve">comment </w:t>
            </w:r>
            <w:r w:rsidR="003F38AD">
              <w:rPr>
                <w:iCs/>
              </w:rPr>
              <w:t>on</w:t>
            </w:r>
            <w:r>
              <w:rPr>
                <w:iCs/>
              </w:rPr>
              <w:t xml:space="preserve"> non-compliant/non-verified data sources) such as </w:t>
            </w:r>
            <w:r w:rsidR="003F38AD">
              <w:rPr>
                <w:iCs/>
              </w:rPr>
              <w:t xml:space="preserve">principles of UK </w:t>
            </w:r>
            <w:r>
              <w:rPr>
                <w:iCs/>
              </w:rPr>
              <w:t xml:space="preserve">GDPR. </w:t>
            </w:r>
          </w:p>
          <w:p w14:paraId="0DA9C811" w14:textId="5EB13DFD" w:rsidR="00B10216" w:rsidRDefault="00B10216" w:rsidP="00DF50C3">
            <w:pPr>
              <w:spacing w:line="276" w:lineRule="auto"/>
              <w:ind w:right="708"/>
              <w:rPr>
                <w:iCs/>
              </w:rPr>
            </w:pPr>
            <w:r>
              <w:rPr>
                <w:iCs/>
              </w:rPr>
              <w:t>K27 – Evidenced through descriptions of each analytics type and examples provided</w:t>
            </w:r>
            <w:r w:rsidR="003F38AD">
              <w:rPr>
                <w:iCs/>
              </w:rPr>
              <w:t xml:space="preserve"> e.g., training records. </w:t>
            </w:r>
          </w:p>
          <w:p w14:paraId="456CE9E6" w14:textId="77777777" w:rsidR="00B10216" w:rsidRPr="00EF20BC" w:rsidRDefault="00B10216" w:rsidP="00DF50C3">
            <w:pPr>
              <w:spacing w:line="276" w:lineRule="auto"/>
              <w:ind w:right="708"/>
              <w:rPr>
                <w:iCs/>
              </w:rPr>
            </w:pPr>
          </w:p>
        </w:tc>
      </w:tr>
      <w:tr w:rsidR="00B10216" w14:paraId="520E5176" w14:textId="77777777" w:rsidTr="00DF50C3">
        <w:trPr>
          <w:trHeight w:val="2096"/>
        </w:trPr>
        <w:tc>
          <w:tcPr>
            <w:tcW w:w="1980" w:type="dxa"/>
            <w:tcBorders>
              <w:top w:val="single" w:sz="4" w:space="0" w:color="auto"/>
              <w:left w:val="single" w:sz="4" w:space="0" w:color="auto"/>
              <w:bottom w:val="single" w:sz="4" w:space="0" w:color="auto"/>
              <w:right w:val="single" w:sz="4" w:space="0" w:color="auto"/>
            </w:tcBorders>
            <w:shd w:val="clear" w:color="auto" w:fill="C1E4F5" w:themeFill="accent1" w:themeFillTint="33"/>
          </w:tcPr>
          <w:p w14:paraId="443622B7" w14:textId="77777777" w:rsidR="00B10216" w:rsidRDefault="00B10216" w:rsidP="00DF50C3">
            <w:pPr>
              <w:spacing w:after="0"/>
              <w:rPr>
                <w:b/>
                <w:bCs/>
                <w:i/>
              </w:rPr>
            </w:pPr>
            <w:r w:rsidRPr="00745A9B">
              <w:rPr>
                <w:b/>
                <w:bCs/>
                <w:i/>
              </w:rPr>
              <w:lastRenderedPageBreak/>
              <w:t xml:space="preserve">Partially evidenced/missing </w:t>
            </w:r>
            <w:r>
              <w:rPr>
                <w:b/>
                <w:bCs/>
                <w:i/>
              </w:rPr>
              <w:t>K</w:t>
            </w:r>
            <w:r w:rsidRPr="00745A9B">
              <w:rPr>
                <w:b/>
                <w:bCs/>
                <w:i/>
              </w:rPr>
              <w:t>SBs</w:t>
            </w:r>
          </w:p>
          <w:p w14:paraId="6BDEA004" w14:textId="77777777" w:rsidR="00B10216" w:rsidRDefault="00B10216" w:rsidP="00DF50C3">
            <w:pPr>
              <w:spacing w:after="0"/>
              <w:rPr>
                <w:b/>
                <w:bCs/>
                <w:i/>
              </w:rPr>
            </w:pPr>
          </w:p>
          <w:p w14:paraId="56ADBBFA" w14:textId="77777777" w:rsidR="00B10216" w:rsidRDefault="00B10216" w:rsidP="00DF50C3">
            <w:pPr>
              <w:spacing w:after="0"/>
              <w:rPr>
                <w:b/>
                <w:bCs/>
                <w:i/>
              </w:rPr>
            </w:pPr>
          </w:p>
          <w:p w14:paraId="62114FD8" w14:textId="77777777" w:rsidR="00B10216" w:rsidRDefault="00B10216" w:rsidP="00DF50C3">
            <w:pPr>
              <w:spacing w:after="0"/>
              <w:rPr>
                <w:b/>
                <w:bCs/>
                <w:i/>
              </w:rPr>
            </w:pPr>
          </w:p>
          <w:p w14:paraId="4D30EC22" w14:textId="77777777" w:rsidR="00B10216" w:rsidRDefault="00B10216" w:rsidP="00DF50C3">
            <w:pPr>
              <w:spacing w:after="0"/>
              <w:rPr>
                <w:b/>
                <w:bCs/>
                <w:i/>
              </w:rPr>
            </w:pPr>
          </w:p>
          <w:p w14:paraId="68DFA5F2" w14:textId="77777777" w:rsidR="00B10216" w:rsidRDefault="00B10216" w:rsidP="00DF50C3">
            <w:pPr>
              <w:spacing w:after="0"/>
              <w:rPr>
                <w:b/>
                <w:bCs/>
                <w:i/>
              </w:rPr>
            </w:pPr>
          </w:p>
          <w:p w14:paraId="66EE2DB2" w14:textId="77777777" w:rsidR="00B10216" w:rsidRDefault="00B10216" w:rsidP="00DF50C3">
            <w:pPr>
              <w:spacing w:after="0"/>
              <w:rPr>
                <w:b/>
                <w:bCs/>
                <w:i/>
              </w:rPr>
            </w:pPr>
          </w:p>
          <w:p w14:paraId="5A5BFE5F" w14:textId="77777777" w:rsidR="00B10216" w:rsidRDefault="00B10216" w:rsidP="00DF50C3">
            <w:pPr>
              <w:spacing w:after="0"/>
              <w:rPr>
                <w:b/>
                <w:bCs/>
                <w:i/>
              </w:rPr>
            </w:pPr>
          </w:p>
          <w:p w14:paraId="163A7441" w14:textId="77777777" w:rsidR="00B10216" w:rsidRPr="00745A9B" w:rsidRDefault="00B10216" w:rsidP="00DF50C3">
            <w:pPr>
              <w:spacing w:after="0"/>
              <w:rPr>
                <w:b/>
                <w:bCs/>
                <w:i/>
              </w:rPr>
            </w:pPr>
          </w:p>
        </w:tc>
        <w:tc>
          <w:tcPr>
            <w:tcW w:w="7092" w:type="dxa"/>
            <w:tcBorders>
              <w:top w:val="single" w:sz="4" w:space="0" w:color="auto"/>
              <w:left w:val="single" w:sz="4" w:space="0" w:color="auto"/>
              <w:bottom w:val="single" w:sz="4" w:space="0" w:color="auto"/>
              <w:right w:val="single" w:sz="4" w:space="0" w:color="auto"/>
            </w:tcBorders>
            <w:shd w:val="clear" w:color="auto" w:fill="auto"/>
          </w:tcPr>
          <w:p w14:paraId="4FBD4A0A" w14:textId="77777777" w:rsidR="00B10216" w:rsidRDefault="00B10216" w:rsidP="00DF50C3">
            <w:pPr>
              <w:spacing w:line="276" w:lineRule="auto"/>
              <w:ind w:right="708"/>
              <w:rPr>
                <w:iCs/>
              </w:rPr>
            </w:pPr>
            <w:r>
              <w:rPr>
                <w:iCs/>
              </w:rPr>
              <w:t xml:space="preserve">If you like, you could add in some detail surrounding net zero (e.g., does your company have considerations on energy consumption with cloud computing and how these are mitigated) along with continuous improvement principles you use in your role? Otherwise, you can reference these in another portfolio project. </w:t>
            </w:r>
          </w:p>
          <w:p w14:paraId="2BCE48F6" w14:textId="77777777" w:rsidR="00B10216" w:rsidRDefault="00B10216" w:rsidP="00DF50C3">
            <w:pPr>
              <w:spacing w:line="276" w:lineRule="auto"/>
              <w:ind w:right="708"/>
              <w:rPr>
                <w:iCs/>
              </w:rPr>
            </w:pPr>
          </w:p>
          <w:p w14:paraId="23D1CB5A" w14:textId="77777777" w:rsidR="00B10216" w:rsidRDefault="00B10216" w:rsidP="00DF50C3">
            <w:pPr>
              <w:spacing w:line="276" w:lineRule="auto"/>
              <w:ind w:right="708"/>
              <w:rPr>
                <w:iCs/>
              </w:rPr>
            </w:pPr>
          </w:p>
          <w:p w14:paraId="42730833" w14:textId="77777777" w:rsidR="00B10216" w:rsidRDefault="00B10216" w:rsidP="00DF50C3">
            <w:pPr>
              <w:spacing w:line="276" w:lineRule="auto"/>
              <w:ind w:right="708"/>
              <w:rPr>
                <w:iCs/>
              </w:rPr>
            </w:pPr>
          </w:p>
        </w:tc>
      </w:tr>
    </w:tbl>
    <w:p w14:paraId="0A57F9E8" w14:textId="77777777" w:rsidR="00B10216" w:rsidRDefault="00B10216" w:rsidP="00B10216"/>
    <w:p w14:paraId="6C1AEB2E" w14:textId="77777777" w:rsidR="00B10216" w:rsidRDefault="00B10216" w:rsidP="00B10216"/>
    <w:p w14:paraId="5FBD42DD" w14:textId="77777777" w:rsidR="00B10216" w:rsidRDefault="00B10216" w:rsidP="00B10216"/>
    <w:p w14:paraId="7ABAFB90" w14:textId="77777777" w:rsidR="00B10216" w:rsidRDefault="00B10216" w:rsidP="00B10216"/>
    <w:p w14:paraId="03972A1E" w14:textId="77777777" w:rsidR="00C9240B" w:rsidRDefault="00C9240B"/>
    <w:sectPr w:rsidR="00C9240B" w:rsidSect="00B10216">
      <w:headerReference w:type="default" r:id="rId4"/>
      <w:footerReference w:type="default" r:id="rId5"/>
      <w:pgSz w:w="11906" w:h="16838"/>
      <w:pgMar w:top="568"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9"/>
      <w:gridCol w:w="3009"/>
      <w:gridCol w:w="3009"/>
    </w:tblGrid>
    <w:tr w:rsidR="62BCBB89" w14:paraId="20E2B17F" w14:textId="77777777" w:rsidTr="62BCBB89">
      <w:tc>
        <w:tcPr>
          <w:tcW w:w="3009" w:type="dxa"/>
        </w:tcPr>
        <w:p w14:paraId="218BBB30" w14:textId="77777777" w:rsidR="003F38AD" w:rsidRDefault="003F38AD" w:rsidP="62BCBB89">
          <w:pPr>
            <w:pStyle w:val="Header"/>
            <w:ind w:left="-115"/>
          </w:pPr>
        </w:p>
      </w:tc>
      <w:tc>
        <w:tcPr>
          <w:tcW w:w="3009" w:type="dxa"/>
        </w:tcPr>
        <w:p w14:paraId="0898F4E3" w14:textId="77777777" w:rsidR="003F38AD" w:rsidRDefault="003F38AD" w:rsidP="62BCBB89">
          <w:pPr>
            <w:pStyle w:val="Header"/>
            <w:jc w:val="center"/>
          </w:pPr>
        </w:p>
      </w:tc>
      <w:tc>
        <w:tcPr>
          <w:tcW w:w="3009" w:type="dxa"/>
        </w:tcPr>
        <w:p w14:paraId="6EF750C6" w14:textId="77777777" w:rsidR="003F38AD" w:rsidRDefault="003F38AD" w:rsidP="62BCBB89">
          <w:pPr>
            <w:pStyle w:val="Header"/>
            <w:ind w:right="-115"/>
            <w:jc w:val="right"/>
          </w:pPr>
        </w:p>
      </w:tc>
    </w:tr>
  </w:tbl>
  <w:p w14:paraId="33C00877" w14:textId="77777777" w:rsidR="003F38AD" w:rsidRDefault="003F38AD" w:rsidP="62BCBB89">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1B700" w14:textId="77777777" w:rsidR="003F38AD" w:rsidRDefault="003F38AD">
    <w:pPr>
      <w:pStyle w:val="Header"/>
    </w:pPr>
    <w:r>
      <w:t>Appendix 1: Feedback Cover Sheet</w:t>
    </w:r>
  </w:p>
  <w:p w14:paraId="43E66639" w14:textId="77777777" w:rsidR="003F38AD" w:rsidRDefault="003F38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16"/>
    <w:rsid w:val="003F38AD"/>
    <w:rsid w:val="006A59BB"/>
    <w:rsid w:val="008B0B3D"/>
    <w:rsid w:val="00B10216"/>
    <w:rsid w:val="00B4616E"/>
    <w:rsid w:val="00BB1CBB"/>
    <w:rsid w:val="00C65F02"/>
    <w:rsid w:val="00C9240B"/>
    <w:rsid w:val="00DB6B52"/>
    <w:rsid w:val="00E96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E254"/>
  <w15:chartTrackingRefBased/>
  <w15:docId w15:val="{2865593D-C586-4D90-AAA3-89CF78DF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216"/>
    <w:rPr>
      <w:kern w:val="0"/>
      <w14:ligatures w14:val="none"/>
    </w:rPr>
  </w:style>
  <w:style w:type="paragraph" w:styleId="Heading1">
    <w:name w:val="heading 1"/>
    <w:basedOn w:val="Normal"/>
    <w:next w:val="Normal"/>
    <w:link w:val="Heading1Char"/>
    <w:uiPriority w:val="9"/>
    <w:qFormat/>
    <w:rsid w:val="00B10216"/>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10216"/>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10216"/>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10216"/>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10216"/>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10216"/>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10216"/>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10216"/>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10216"/>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2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02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02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02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02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02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2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2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216"/>
    <w:rPr>
      <w:rFonts w:eastAsiaTheme="majorEastAsia" w:cstheme="majorBidi"/>
      <w:color w:val="272727" w:themeColor="text1" w:themeTint="D8"/>
    </w:rPr>
  </w:style>
  <w:style w:type="paragraph" w:styleId="Title">
    <w:name w:val="Title"/>
    <w:basedOn w:val="Normal"/>
    <w:next w:val="Normal"/>
    <w:link w:val="TitleChar"/>
    <w:uiPriority w:val="10"/>
    <w:qFormat/>
    <w:rsid w:val="00B1021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102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216"/>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102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216"/>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B10216"/>
    <w:rPr>
      <w:i/>
      <w:iCs/>
      <w:color w:val="404040" w:themeColor="text1" w:themeTint="BF"/>
    </w:rPr>
  </w:style>
  <w:style w:type="paragraph" w:styleId="ListParagraph">
    <w:name w:val="List Paragraph"/>
    <w:basedOn w:val="Normal"/>
    <w:uiPriority w:val="34"/>
    <w:qFormat/>
    <w:rsid w:val="00B10216"/>
    <w:pPr>
      <w:ind w:left="720"/>
      <w:contextualSpacing/>
    </w:pPr>
    <w:rPr>
      <w:kern w:val="2"/>
      <w14:ligatures w14:val="standardContextual"/>
    </w:rPr>
  </w:style>
  <w:style w:type="character" w:styleId="IntenseEmphasis">
    <w:name w:val="Intense Emphasis"/>
    <w:basedOn w:val="DefaultParagraphFont"/>
    <w:uiPriority w:val="21"/>
    <w:qFormat/>
    <w:rsid w:val="00B10216"/>
    <w:rPr>
      <w:i/>
      <w:iCs/>
      <w:color w:val="0F4761" w:themeColor="accent1" w:themeShade="BF"/>
    </w:rPr>
  </w:style>
  <w:style w:type="paragraph" w:styleId="IntenseQuote">
    <w:name w:val="Intense Quote"/>
    <w:basedOn w:val="Normal"/>
    <w:next w:val="Normal"/>
    <w:link w:val="IntenseQuoteChar"/>
    <w:uiPriority w:val="30"/>
    <w:qFormat/>
    <w:rsid w:val="00B102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10216"/>
    <w:rPr>
      <w:i/>
      <w:iCs/>
      <w:color w:val="0F4761" w:themeColor="accent1" w:themeShade="BF"/>
    </w:rPr>
  </w:style>
  <w:style w:type="character" w:styleId="IntenseReference">
    <w:name w:val="Intense Reference"/>
    <w:basedOn w:val="DefaultParagraphFont"/>
    <w:uiPriority w:val="32"/>
    <w:qFormat/>
    <w:rsid w:val="00B10216"/>
    <w:rPr>
      <w:b/>
      <w:bCs/>
      <w:smallCaps/>
      <w:color w:val="0F4761" w:themeColor="accent1" w:themeShade="BF"/>
      <w:spacing w:val="5"/>
    </w:rPr>
  </w:style>
  <w:style w:type="table" w:styleId="TableGrid">
    <w:name w:val="Table Grid"/>
    <w:basedOn w:val="TableNormal"/>
    <w:uiPriority w:val="39"/>
    <w:rsid w:val="00B10216"/>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10216"/>
    <w:pPr>
      <w:spacing w:after="0" w:line="240" w:lineRule="auto"/>
    </w:pPr>
    <w:rPr>
      <w:kern w:val="0"/>
      <w14:ligatures w14:val="none"/>
    </w:rPr>
  </w:style>
  <w:style w:type="paragraph" w:styleId="Header">
    <w:name w:val="header"/>
    <w:basedOn w:val="Normal"/>
    <w:link w:val="HeaderChar"/>
    <w:uiPriority w:val="99"/>
    <w:unhideWhenUsed/>
    <w:rsid w:val="00B10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6"/>
    <w:rPr>
      <w:kern w:val="0"/>
      <w14:ligatures w14:val="none"/>
    </w:rPr>
  </w:style>
  <w:style w:type="paragraph" w:styleId="Footer">
    <w:name w:val="footer"/>
    <w:basedOn w:val="Normal"/>
    <w:link w:val="FooterChar"/>
    <w:uiPriority w:val="99"/>
    <w:unhideWhenUsed/>
    <w:rsid w:val="00B10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6"/>
    <w:rPr>
      <w:kern w:val="0"/>
      <w14:ligatures w14:val="none"/>
    </w:rPr>
  </w:style>
  <w:style w:type="table" w:styleId="GridTable1Light-Accent1">
    <w:name w:val="Grid Table 1 Light Accent 1"/>
    <w:basedOn w:val="TableNormal"/>
    <w:uiPriority w:val="46"/>
    <w:rsid w:val="00B10216"/>
    <w:pPr>
      <w:spacing w:after="0" w:line="240" w:lineRule="auto"/>
    </w:pPr>
    <w:rPr>
      <w:kern w:val="0"/>
      <w14:ligatures w14:val="none"/>
    </w:r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BPP University</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Burton</dc:creator>
  <cp:keywords/>
  <dc:description/>
  <cp:lastModifiedBy>Mark Burton</cp:lastModifiedBy>
  <cp:revision>1</cp:revision>
  <dcterms:created xsi:type="dcterms:W3CDTF">2025-06-24T13:54:00Z</dcterms:created>
  <dcterms:modified xsi:type="dcterms:W3CDTF">2025-06-24T14:34:00Z</dcterms:modified>
</cp:coreProperties>
</file>