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AE8A8" w14:textId="55DB1A17" w:rsidR="007D22F0" w:rsidRPr="007D22F0" w:rsidRDefault="007D22F0">
      <w:pPr>
        <w:rPr>
          <w:rFonts w:hint="eastAsia"/>
          <w:b/>
          <w:bCs/>
          <w:sz w:val="28"/>
          <w:szCs w:val="28"/>
        </w:rPr>
      </w:pPr>
      <w:r w:rsidRPr="007D22F0">
        <w:rPr>
          <w:rFonts w:hint="eastAsia"/>
          <w:b/>
          <w:bCs/>
          <w:sz w:val="28"/>
          <w:szCs w:val="28"/>
        </w:rPr>
        <w:t>Definition and concept</w:t>
      </w:r>
    </w:p>
    <w:p w14:paraId="5D8084F8" w14:textId="6FCCD7AD" w:rsidR="00327A8E" w:rsidRDefault="00327A8E">
      <w:r w:rsidRPr="00327A8E">
        <w:t>Enterprise Architecture (EA) is a strategic discipline that helps organizations manage complexity and align their technology, processes, and resources with business goals. Instead of allowing different systems and departments to operate separately, EA provides a holistic blueprint that shows how business functions, processes, information, and technical platforms depend on one another (Kaisler et al., 2005). In today’s fast-changing environment, organizations often struggle with siloed systems and unclear relationships between their business and IT assets, making large transformation efforts difficult and inefficient (Bloch et al., 2012). EA addresses this by offering an integrated view of the enterprise and guiding the development of both current and future architectures, enabling more coordinated decision-making and more effective organizational change (Tamm et al., 2011).</w:t>
      </w:r>
    </w:p>
    <w:p w14:paraId="28F584D2" w14:textId="60142A90" w:rsidR="00874B2A" w:rsidRDefault="00874B2A">
      <w:r w:rsidRPr="00874B2A">
        <w:t xml:space="preserve">Enterprise Architecture (EA) is a strategic procedure that helps </w:t>
      </w:r>
      <w:r>
        <w:rPr>
          <w:rFonts w:hint="eastAsia"/>
        </w:rPr>
        <w:t xml:space="preserve">an </w:t>
      </w:r>
      <w:r w:rsidRPr="00874B2A">
        <w:t>organisation</w:t>
      </w:r>
      <w:r>
        <w:rPr>
          <w:rFonts w:hint="eastAsia"/>
        </w:rPr>
        <w:t xml:space="preserve"> </w:t>
      </w:r>
      <w:r w:rsidRPr="00874B2A">
        <w:t xml:space="preserve">manage </w:t>
      </w:r>
      <w:r>
        <w:rPr>
          <w:rFonts w:hint="eastAsia"/>
        </w:rPr>
        <w:t>complex operation</w:t>
      </w:r>
      <w:r w:rsidRPr="00874B2A">
        <w:t xml:space="preserve"> and align their technologies, processes and resources with </w:t>
      </w:r>
      <w:r>
        <w:rPr>
          <w:rFonts w:hint="eastAsia"/>
        </w:rPr>
        <w:t xml:space="preserve">their </w:t>
      </w:r>
      <w:r w:rsidRPr="00874B2A">
        <w:t xml:space="preserve">business goals. </w:t>
      </w:r>
      <w:r>
        <w:rPr>
          <w:rFonts w:hint="eastAsia"/>
        </w:rPr>
        <w:t>Instead of</w:t>
      </w:r>
      <w:r w:rsidRPr="00874B2A">
        <w:t xml:space="preserve"> allow different systems and departments to operate separately, </w:t>
      </w:r>
      <w:r>
        <w:rPr>
          <w:rFonts w:hint="eastAsia"/>
        </w:rPr>
        <w:t>EA</w:t>
      </w:r>
      <w:r w:rsidRPr="00874B2A">
        <w:t xml:space="preserve"> provides an overall blueprint showing how business functions, processes, information and technology platforms are interdependent. In today's rapidly changing</w:t>
      </w:r>
      <w:r>
        <w:rPr>
          <w:rFonts w:hint="eastAsia"/>
        </w:rPr>
        <w:t xml:space="preserve"> business</w:t>
      </w:r>
      <w:r w:rsidRPr="00874B2A">
        <w:t xml:space="preserve"> environment, organisations often struggle with isolated systems and unclear relationships between business and IT assets, which makes large-scale conversion work difficult and inefficient. EA solves this problem by providing an integrated view of the enterprise and guiding the development of current and future architecture, so as to achieve more coordinated decision-making and more effective organisational changes.</w:t>
      </w:r>
    </w:p>
    <w:p w14:paraId="7A770054" w14:textId="67C75379" w:rsidR="00874B2A" w:rsidRPr="00874B2A" w:rsidRDefault="00874B2A" w:rsidP="00874B2A">
      <w:r>
        <w:rPr>
          <w:rFonts w:hint="eastAsia"/>
        </w:rPr>
        <w:t xml:space="preserve">There </w:t>
      </w:r>
      <w:proofErr w:type="gramStart"/>
      <w:r>
        <w:rPr>
          <w:rFonts w:hint="eastAsia"/>
        </w:rPr>
        <w:t>are</w:t>
      </w:r>
      <w:proofErr w:type="gramEnd"/>
      <w:r>
        <w:rPr>
          <w:rFonts w:hint="eastAsia"/>
        </w:rPr>
        <w:t xml:space="preserve"> t</w:t>
      </w:r>
      <w:r w:rsidRPr="00874B2A">
        <w:t xml:space="preserve">wo common EA frameworks are used to help </w:t>
      </w:r>
      <w:proofErr w:type="gramStart"/>
      <w:r w:rsidRPr="00874B2A">
        <w:t>organizations</w:t>
      </w:r>
      <w:proofErr w:type="gramEnd"/>
      <w:r w:rsidRPr="00874B2A">
        <w:t xml:space="preserve"> structure and manage their architecture:</w:t>
      </w:r>
    </w:p>
    <w:p w14:paraId="584300A0" w14:textId="77777777" w:rsidR="00874B2A" w:rsidRDefault="00874B2A" w:rsidP="00874B2A">
      <w:r>
        <w:rPr>
          <w:rFonts w:hint="eastAsia"/>
        </w:rPr>
        <w:t xml:space="preserve">1. </w:t>
      </w:r>
      <w:r w:rsidRPr="00874B2A">
        <w:rPr>
          <w:b/>
          <w:bCs/>
        </w:rPr>
        <w:t>Zachman Framework</w:t>
      </w:r>
      <w:r w:rsidRPr="00874B2A">
        <w:t xml:space="preserve"> </w:t>
      </w:r>
    </w:p>
    <w:p w14:paraId="42548449" w14:textId="01F90650" w:rsidR="00874B2A" w:rsidRDefault="00874B2A" w:rsidP="00874B2A">
      <w:r>
        <w:rPr>
          <w:rFonts w:hint="eastAsia"/>
        </w:rPr>
        <w:t xml:space="preserve">It </w:t>
      </w:r>
      <w:r w:rsidRPr="00874B2A">
        <w:t>acts like a classification chart or a structured table for organizing all the important descriptions of an enterprise. It uses a matrix with six basic questions</w:t>
      </w:r>
      <w:r>
        <w:rPr>
          <w:rFonts w:hint="eastAsia"/>
        </w:rPr>
        <w:t>,</w:t>
      </w:r>
      <w:r w:rsidRPr="00874B2A">
        <w:t xml:space="preserve"> </w:t>
      </w:r>
      <w:r>
        <w:t>“</w:t>
      </w:r>
      <w:r w:rsidRPr="00874B2A">
        <w:t>What, How, Where, Who, When, and Why</w:t>
      </w:r>
      <w:r>
        <w:t>”</w:t>
      </w:r>
      <w:r>
        <w:rPr>
          <w:rFonts w:hint="eastAsia"/>
        </w:rPr>
        <w:t>,</w:t>
      </w:r>
      <w:r w:rsidRPr="00874B2A">
        <w:t xml:space="preserve"> and shows them from different viewpoints such as planners, designers, and builders. This helps</w:t>
      </w:r>
      <w:r w:rsidR="00B73A34">
        <w:rPr>
          <w:rFonts w:hint="eastAsia"/>
        </w:rPr>
        <w:t xml:space="preserve"> to</w:t>
      </w:r>
      <w:r w:rsidRPr="00874B2A">
        <w:t xml:space="preserve"> ensure the organization’s architecture is viewed from all angles and no important aspect is missed.</w:t>
      </w:r>
    </w:p>
    <w:p w14:paraId="11223242" w14:textId="5D7E403E" w:rsidR="00874B2A" w:rsidRDefault="00874B2A" w:rsidP="00874B2A">
      <w:r>
        <w:rPr>
          <w:rFonts w:hint="eastAsia"/>
        </w:rPr>
        <w:t>2.</w:t>
      </w:r>
      <w:r w:rsidRPr="00874B2A">
        <w:t xml:space="preserve"> </w:t>
      </w:r>
      <w:r w:rsidRPr="00874B2A">
        <w:rPr>
          <w:b/>
          <w:bCs/>
        </w:rPr>
        <w:t>TOGAF</w:t>
      </w:r>
      <w:r w:rsidRPr="00874B2A">
        <w:t xml:space="preserve"> (The Open Group Architecture Framework).</w:t>
      </w:r>
    </w:p>
    <w:p w14:paraId="249482D0" w14:textId="3DC308CB" w:rsidR="00874B2A" w:rsidRDefault="00874B2A" w:rsidP="00874B2A">
      <w:r w:rsidRPr="00874B2A">
        <w:t xml:space="preserve">TOGAF provides a </w:t>
      </w:r>
      <w:r w:rsidRPr="00874B2A">
        <w:rPr>
          <w:b/>
          <w:bCs/>
        </w:rPr>
        <w:t>step-by-step method</w:t>
      </w:r>
      <w:r w:rsidR="00B73A34">
        <w:rPr>
          <w:rFonts w:hint="eastAsia"/>
          <w:b/>
          <w:bCs/>
        </w:rPr>
        <w:t xml:space="preserve"> </w:t>
      </w:r>
      <w:r w:rsidR="00B73A34" w:rsidRPr="00B73A34">
        <w:rPr>
          <w:rFonts w:hint="eastAsia"/>
        </w:rPr>
        <w:t>which</w:t>
      </w:r>
      <w:r w:rsidRPr="00874B2A">
        <w:t xml:space="preserve"> called the Architecture Development Method (ADM). The ADM guides organizations through stages </w:t>
      </w:r>
      <w:r w:rsidR="00B73A34">
        <w:rPr>
          <w:rFonts w:hint="eastAsia"/>
        </w:rPr>
        <w:t>like</w:t>
      </w:r>
      <w:r w:rsidRPr="00874B2A">
        <w:t xml:space="preserve"> defining the architecture vision, designing business and IT architectures, planning implementation and managing ongoing improvements. This method helps</w:t>
      </w:r>
      <w:r>
        <w:rPr>
          <w:rFonts w:hint="eastAsia"/>
        </w:rPr>
        <w:t xml:space="preserve"> to</w:t>
      </w:r>
      <w:r w:rsidRPr="00874B2A">
        <w:t xml:space="preserve"> ensure that architecture work is not only well-structured but also practical and aligned with business goals.</w:t>
      </w:r>
    </w:p>
    <w:p w14:paraId="0F69FD56" w14:textId="7C2AA080" w:rsidR="00B73A34" w:rsidRPr="00874B2A" w:rsidRDefault="00B73A34" w:rsidP="00874B2A">
      <w:r w:rsidRPr="00B73A34">
        <w:lastRenderedPageBreak/>
        <w:t>TOGAF provides a step-by-step approach called the Architecture Development Method (ADM), which guides organisations through stages such as defining architectural vision, designing business and IT architecture, planning implementation and management of continuous improvement. This method helps to ensure that the architecture work is not only well-structured, but also practical and consistent with business goals.</w:t>
      </w:r>
    </w:p>
    <w:p w14:paraId="7A3DE3A2" w14:textId="5E2BF780" w:rsidR="006324AB" w:rsidRPr="00B73A34" w:rsidRDefault="007D22F0" w:rsidP="006324AB">
      <w:pPr>
        <w:rPr>
          <w:b/>
          <w:bCs/>
          <w:sz w:val="28"/>
          <w:szCs w:val="28"/>
        </w:rPr>
      </w:pPr>
      <w:r w:rsidRPr="007D22F0">
        <w:rPr>
          <w:rFonts w:hint="eastAsia"/>
          <w:b/>
          <w:bCs/>
          <w:sz w:val="28"/>
          <w:szCs w:val="28"/>
        </w:rPr>
        <w:t>Financial system</w:t>
      </w:r>
    </w:p>
    <w:p w14:paraId="6984BC2D" w14:textId="1787369F" w:rsidR="006324AB" w:rsidRDefault="006324AB" w:rsidP="006324AB">
      <w:r>
        <w:t>Th</w:t>
      </w:r>
      <w:r w:rsidR="00B73A34">
        <w:rPr>
          <w:rFonts w:hint="eastAsia"/>
        </w:rPr>
        <w:t>is</w:t>
      </w:r>
      <w:r>
        <w:t xml:space="preserve"> system is represented by UTHM's </w:t>
      </w:r>
      <w:proofErr w:type="spellStart"/>
      <w:r>
        <w:t>ePayment</w:t>
      </w:r>
      <w:proofErr w:type="spellEnd"/>
      <w:r>
        <w:t xml:space="preserve"> and other financial modules t</w:t>
      </w:r>
      <w:r w:rsidR="00B73A34">
        <w:rPr>
          <w:rFonts w:hint="eastAsia"/>
        </w:rPr>
        <w:t>hat</w:t>
      </w:r>
      <w:r>
        <w:t xml:space="preserve"> manage all</w:t>
      </w:r>
      <w:r w:rsidR="00B73A34">
        <w:rPr>
          <w:rFonts w:hint="eastAsia"/>
        </w:rPr>
        <w:t xml:space="preserve"> the</w:t>
      </w:r>
      <w:r>
        <w:t xml:space="preserve"> financial transactions</w:t>
      </w:r>
      <w:r w:rsidR="00B73A34">
        <w:rPr>
          <w:rFonts w:hint="eastAsia"/>
        </w:rPr>
        <w:t xml:space="preserve"> in UTHM</w:t>
      </w:r>
      <w:r>
        <w:t>. This includes student fees, employee salaries, procurement and financial reporting. It directly maps to the "finance" module of a comprehensive enterprise resource planning (ERP) system.</w:t>
      </w:r>
    </w:p>
    <w:p w14:paraId="6CB2442A" w14:textId="73011161" w:rsidR="006324AB" w:rsidRDefault="006324AB" w:rsidP="006324AB">
      <w:pPr>
        <w:rPr>
          <w:rFonts w:hint="eastAsia"/>
        </w:rPr>
      </w:pPr>
      <w:r>
        <w:t xml:space="preserve">Previously, financial systems such as </w:t>
      </w:r>
      <w:proofErr w:type="spellStart"/>
      <w:r>
        <w:t>ePayment</w:t>
      </w:r>
      <w:proofErr w:type="spellEnd"/>
      <w:r>
        <w:t xml:space="preserve">, payroll and procurement modules were usually built on </w:t>
      </w:r>
      <w:r w:rsidRPr="006324AB">
        <w:rPr>
          <w:b/>
          <w:bCs/>
        </w:rPr>
        <w:t>monolithic or tightly-coupled legacy architectures</w:t>
      </w:r>
      <w:r>
        <w:t xml:space="preserve">. These old systems can effectively handle core financial tasks, but they are difficult to update, the integration with new services is slow, and the maintenance cost is high. Because each function, such as </w:t>
      </w:r>
      <w:r w:rsidRPr="006324AB">
        <w:t>fee collection, payroll processing</w:t>
      </w:r>
      <w:r>
        <w:t xml:space="preserve"> or procurement, is developed as a separate component and interoperability is limited, the system lacks flexibility and real-time data sharing. This reflects the challenges described in the legacy financial system literature. Th</w:t>
      </w:r>
      <w:r w:rsidR="00B73A34">
        <w:rPr>
          <w:rFonts w:hint="eastAsia"/>
        </w:rPr>
        <w:t>is</w:t>
      </w:r>
      <w:r>
        <w:t xml:space="preserve"> outdated architecture limits</w:t>
      </w:r>
      <w:r w:rsidR="00B73A34">
        <w:rPr>
          <w:rFonts w:hint="eastAsia"/>
        </w:rPr>
        <w:t xml:space="preserve"> the</w:t>
      </w:r>
      <w:r>
        <w:t xml:space="preserve"> scalability and </w:t>
      </w:r>
      <w:r w:rsidR="00B73A34">
        <w:rPr>
          <w:rFonts w:hint="eastAsia"/>
        </w:rPr>
        <w:t>needs</w:t>
      </w:r>
      <w:r>
        <w:t xml:space="preserve"> modernisation to support integrated </w:t>
      </w:r>
      <w:r w:rsidR="00B73A34">
        <w:rPr>
          <w:rFonts w:hint="eastAsia"/>
        </w:rPr>
        <w:t>ERP</w:t>
      </w:r>
      <w:r>
        <w:t>-style financial management.</w:t>
      </w:r>
    </w:p>
    <w:p w14:paraId="4A9E5C8C" w14:textId="77777777" w:rsidR="00320BF4" w:rsidRDefault="00320BF4"/>
    <w:p w14:paraId="735E7EF9" w14:textId="4E4A6077" w:rsidR="00327A8E" w:rsidRDefault="00327A8E">
      <w:r w:rsidRPr="00327A8E">
        <w:t xml:space="preserve">Bloch M, Blumberg S, </w:t>
      </w:r>
      <w:proofErr w:type="spellStart"/>
      <w:r w:rsidRPr="00327A8E">
        <w:t>Laartz</w:t>
      </w:r>
      <w:proofErr w:type="spellEnd"/>
      <w:r w:rsidRPr="00327A8E">
        <w:t xml:space="preserve"> J (2012) Delivering large-scale IT projects on time, on budget, and on value. </w:t>
      </w:r>
      <w:hyperlink r:id="rId4" w:history="1">
        <w:r w:rsidRPr="00327A8E">
          <w:rPr>
            <w:rStyle w:val="Hyperlink"/>
          </w:rPr>
          <w:t>http://www.mckinsey.com/business-functions/business-technology/our-insights/delivering-large-scale-it-projects-on-time-on-budget-and-on-value</w:t>
        </w:r>
      </w:hyperlink>
    </w:p>
    <w:p w14:paraId="258D5328" w14:textId="267EEE0E" w:rsidR="00320BF4" w:rsidRDefault="00320BF4">
      <w:pPr>
        <w:rPr>
          <w:rFonts w:hint="eastAsia"/>
        </w:rPr>
      </w:pPr>
      <w:r w:rsidRPr="00320BF4">
        <w:t xml:space="preserve">Kaisler SH, Armour F, </w:t>
      </w:r>
      <w:proofErr w:type="spellStart"/>
      <w:r w:rsidRPr="00320BF4">
        <w:t>Valivullah</w:t>
      </w:r>
      <w:proofErr w:type="spellEnd"/>
      <w:r w:rsidRPr="00320BF4">
        <w:t xml:space="preserve"> M (2005) Enterprise architecting: critical problems.</w:t>
      </w:r>
      <w:r>
        <w:rPr>
          <w:rFonts w:hint="eastAsia"/>
        </w:rPr>
        <w:t xml:space="preserve"> </w:t>
      </w:r>
      <w:hyperlink r:id="rId5" w:history="1">
        <w:r w:rsidRPr="006A1985">
          <w:rPr>
            <w:rStyle w:val="Hyperlink"/>
          </w:rPr>
          <w:t>https://doi.org/10.1109/HICSS.2005.241</w:t>
        </w:r>
      </w:hyperlink>
    </w:p>
    <w:p w14:paraId="6F0F1F68" w14:textId="739EBE5F" w:rsidR="00327A8E" w:rsidRDefault="00320BF4" w:rsidP="00320BF4">
      <w:r>
        <w:rPr>
          <w:rFonts w:hint="eastAsia"/>
        </w:rPr>
        <w:t xml:space="preserve">Niemi E, </w:t>
      </w:r>
      <w:proofErr w:type="spellStart"/>
      <w:r>
        <w:rPr>
          <w:rFonts w:hint="eastAsia"/>
        </w:rPr>
        <w:t>Pekkola</w:t>
      </w:r>
      <w:proofErr w:type="spellEnd"/>
      <w:r>
        <w:rPr>
          <w:rFonts w:hint="eastAsia"/>
        </w:rPr>
        <w:t xml:space="preserve"> S (2020) </w:t>
      </w:r>
      <w:r w:rsidRPr="00320BF4">
        <w:t>The Benefits of Enterprise Architecture in Organizational Transformation</w:t>
      </w:r>
      <w:r>
        <w:rPr>
          <w:rFonts w:hint="eastAsia"/>
        </w:rPr>
        <w:t xml:space="preserve">. </w:t>
      </w:r>
      <w:hyperlink r:id="rId6" w:history="1">
        <w:r w:rsidRPr="006A1985">
          <w:rPr>
            <w:rStyle w:val="Hyperlink"/>
          </w:rPr>
          <w:t>https://doi.org/10.1007/s12599-019-00605-3</w:t>
        </w:r>
      </w:hyperlink>
    </w:p>
    <w:p w14:paraId="6CED4908" w14:textId="351A0A20" w:rsidR="00320BF4" w:rsidRDefault="007D22F0" w:rsidP="00320BF4">
      <w:r w:rsidRPr="007D22F0">
        <w:t>Zachman</w:t>
      </w:r>
      <w:r w:rsidRPr="007D22F0">
        <w:rPr>
          <w:rFonts w:hint="eastAsia"/>
        </w:rPr>
        <w:t xml:space="preserve"> J (2022) </w:t>
      </w:r>
      <w:r w:rsidRPr="007D22F0">
        <w:t>The Framework for Enterprise Architecture: Background Description and Utility</w:t>
      </w:r>
      <w:r>
        <w:rPr>
          <w:rFonts w:hint="eastAsia"/>
        </w:rPr>
        <w:t xml:space="preserve">. </w:t>
      </w:r>
      <w:hyperlink r:id="rId7" w:history="1">
        <w:r w:rsidRPr="006A1985">
          <w:rPr>
            <w:rStyle w:val="Hyperlink"/>
          </w:rPr>
          <w:t>https://zachman-feac.com/the-framework-for-enterprise-architecture-background-description-and-utility</w:t>
        </w:r>
      </w:hyperlink>
    </w:p>
    <w:p w14:paraId="71B76B01" w14:textId="73A9E27F" w:rsidR="007D22F0" w:rsidRDefault="007D22F0" w:rsidP="00320BF4">
      <w:r>
        <w:rPr>
          <w:rFonts w:hint="eastAsia"/>
        </w:rPr>
        <w:t xml:space="preserve">David N (2025) </w:t>
      </w:r>
      <w:r w:rsidRPr="007D22F0">
        <w:t>TOGAF ADM Explained: A Guide to the Architecture Development Method</w:t>
      </w:r>
      <w:r>
        <w:rPr>
          <w:rFonts w:hint="eastAsia"/>
        </w:rPr>
        <w:t xml:space="preserve">. </w:t>
      </w:r>
      <w:hyperlink r:id="rId8" w:history="1">
        <w:r w:rsidRPr="006A1985">
          <w:rPr>
            <w:rStyle w:val="Hyperlink"/>
          </w:rPr>
          <w:t>https://www.itar.pro/togaf-adm-explained</w:t>
        </w:r>
      </w:hyperlink>
    </w:p>
    <w:p w14:paraId="006FD606" w14:textId="162336FA" w:rsidR="007D22F0" w:rsidRPr="006324AB" w:rsidRDefault="006324AB" w:rsidP="00320BF4">
      <w:r w:rsidRPr="006324AB">
        <w:t>Sreenivasulu G. (2025). Architectural Transformation of Legacy Financial Systems: A Framework for Microservices, Cloud, and API Integration.</w:t>
      </w:r>
      <w:r w:rsidRPr="006324AB">
        <w:rPr>
          <w:rFonts w:hint="eastAsia"/>
        </w:rPr>
        <w:t xml:space="preserve"> </w:t>
      </w:r>
      <w:hyperlink r:id="rId9" w:history="1">
        <w:r w:rsidRPr="006324AB">
          <w:rPr>
            <w:rStyle w:val="Hyperlink"/>
          </w:rPr>
          <w:t>https://doi.org/10.34218/IJITMIS_16_02_075</w:t>
        </w:r>
      </w:hyperlink>
    </w:p>
    <w:p w14:paraId="726C59B8" w14:textId="77777777" w:rsidR="006324AB" w:rsidRPr="007D22F0" w:rsidRDefault="006324AB" w:rsidP="00320BF4">
      <w:pPr>
        <w:rPr>
          <w:rFonts w:hint="eastAsia"/>
          <w:b/>
          <w:bCs/>
        </w:rPr>
      </w:pPr>
    </w:p>
    <w:sectPr w:rsidR="006324AB" w:rsidRPr="007D22F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C3F"/>
    <w:rsid w:val="001C1BC7"/>
    <w:rsid w:val="00320BF4"/>
    <w:rsid w:val="00327A8E"/>
    <w:rsid w:val="005B05A8"/>
    <w:rsid w:val="006324AB"/>
    <w:rsid w:val="007D22F0"/>
    <w:rsid w:val="00874B2A"/>
    <w:rsid w:val="00B73A34"/>
    <w:rsid w:val="00DE6C3F"/>
    <w:rsid w:val="00F91EA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36989"/>
  <w15:chartTrackingRefBased/>
  <w15:docId w15:val="{D21DABEA-49DC-456B-A1B5-2F96AD27D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C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6C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6C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C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C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C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6C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6C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C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C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C3F"/>
    <w:rPr>
      <w:rFonts w:eastAsiaTheme="majorEastAsia" w:cstheme="majorBidi"/>
      <w:color w:val="272727" w:themeColor="text1" w:themeTint="D8"/>
    </w:rPr>
  </w:style>
  <w:style w:type="paragraph" w:styleId="Title">
    <w:name w:val="Title"/>
    <w:basedOn w:val="Normal"/>
    <w:next w:val="Normal"/>
    <w:link w:val="TitleChar"/>
    <w:uiPriority w:val="10"/>
    <w:qFormat/>
    <w:rsid w:val="00DE6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C3F"/>
    <w:pPr>
      <w:spacing w:before="160"/>
      <w:jc w:val="center"/>
    </w:pPr>
    <w:rPr>
      <w:i/>
      <w:iCs/>
      <w:color w:val="404040" w:themeColor="text1" w:themeTint="BF"/>
    </w:rPr>
  </w:style>
  <w:style w:type="character" w:customStyle="1" w:styleId="QuoteChar">
    <w:name w:val="Quote Char"/>
    <w:basedOn w:val="DefaultParagraphFont"/>
    <w:link w:val="Quote"/>
    <w:uiPriority w:val="29"/>
    <w:rsid w:val="00DE6C3F"/>
    <w:rPr>
      <w:i/>
      <w:iCs/>
      <w:color w:val="404040" w:themeColor="text1" w:themeTint="BF"/>
    </w:rPr>
  </w:style>
  <w:style w:type="paragraph" w:styleId="ListParagraph">
    <w:name w:val="List Paragraph"/>
    <w:basedOn w:val="Normal"/>
    <w:uiPriority w:val="34"/>
    <w:qFormat/>
    <w:rsid w:val="00DE6C3F"/>
    <w:pPr>
      <w:ind w:left="720"/>
      <w:contextualSpacing/>
    </w:pPr>
  </w:style>
  <w:style w:type="character" w:styleId="IntenseEmphasis">
    <w:name w:val="Intense Emphasis"/>
    <w:basedOn w:val="DefaultParagraphFont"/>
    <w:uiPriority w:val="21"/>
    <w:qFormat/>
    <w:rsid w:val="00DE6C3F"/>
    <w:rPr>
      <w:i/>
      <w:iCs/>
      <w:color w:val="2F5496" w:themeColor="accent1" w:themeShade="BF"/>
    </w:rPr>
  </w:style>
  <w:style w:type="paragraph" w:styleId="IntenseQuote">
    <w:name w:val="Intense Quote"/>
    <w:basedOn w:val="Normal"/>
    <w:next w:val="Normal"/>
    <w:link w:val="IntenseQuoteChar"/>
    <w:uiPriority w:val="30"/>
    <w:qFormat/>
    <w:rsid w:val="00DE6C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C3F"/>
    <w:rPr>
      <w:i/>
      <w:iCs/>
      <w:color w:val="2F5496" w:themeColor="accent1" w:themeShade="BF"/>
    </w:rPr>
  </w:style>
  <w:style w:type="character" w:styleId="IntenseReference">
    <w:name w:val="Intense Reference"/>
    <w:basedOn w:val="DefaultParagraphFont"/>
    <w:uiPriority w:val="32"/>
    <w:qFormat/>
    <w:rsid w:val="00DE6C3F"/>
    <w:rPr>
      <w:b/>
      <w:bCs/>
      <w:smallCaps/>
      <w:color w:val="2F5496" w:themeColor="accent1" w:themeShade="BF"/>
      <w:spacing w:val="5"/>
    </w:rPr>
  </w:style>
  <w:style w:type="character" w:styleId="Hyperlink">
    <w:name w:val="Hyperlink"/>
    <w:basedOn w:val="DefaultParagraphFont"/>
    <w:uiPriority w:val="99"/>
    <w:unhideWhenUsed/>
    <w:rsid w:val="00327A8E"/>
    <w:rPr>
      <w:color w:val="0563C1" w:themeColor="hyperlink"/>
      <w:u w:val="single"/>
    </w:rPr>
  </w:style>
  <w:style w:type="character" w:styleId="UnresolvedMention">
    <w:name w:val="Unresolved Mention"/>
    <w:basedOn w:val="DefaultParagraphFont"/>
    <w:uiPriority w:val="99"/>
    <w:semiHidden/>
    <w:unhideWhenUsed/>
    <w:rsid w:val="00327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ar.pro/togaf-adm-explained" TargetMode="External"/><Relationship Id="rId3" Type="http://schemas.openxmlformats.org/officeDocument/2006/relationships/webSettings" Target="webSettings.xml"/><Relationship Id="rId7" Type="http://schemas.openxmlformats.org/officeDocument/2006/relationships/hyperlink" Target="https://zachman-feac.com/the-framework-for-enterprise-architecture-background-description-and-utility?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07/s12599-019-00605-3" TargetMode="External"/><Relationship Id="rId11" Type="http://schemas.openxmlformats.org/officeDocument/2006/relationships/theme" Target="theme/theme1.xml"/><Relationship Id="rId5" Type="http://schemas.openxmlformats.org/officeDocument/2006/relationships/hyperlink" Target="https://doi.org/10.1109/HICSS.2005.241" TargetMode="External"/><Relationship Id="rId10" Type="http://schemas.openxmlformats.org/officeDocument/2006/relationships/fontTable" Target="fontTable.xml"/><Relationship Id="rId4" Type="http://schemas.openxmlformats.org/officeDocument/2006/relationships/hyperlink" Target="http://www.mckinsey.com/business-functions/business-technology/our-insights/delivering-large-scale-it-projects-on-time-on-budget-and-on-value" TargetMode="External"/><Relationship Id="rId9" Type="http://schemas.openxmlformats.org/officeDocument/2006/relationships/hyperlink" Target="https://doi.org/10.34218/IJITMIS_16_02_0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3</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Yin Shen</dc:creator>
  <cp:keywords/>
  <dc:description/>
  <cp:lastModifiedBy>Lee Yin Shen</cp:lastModifiedBy>
  <cp:revision>1</cp:revision>
  <dcterms:created xsi:type="dcterms:W3CDTF">2025-11-15T13:19:00Z</dcterms:created>
  <dcterms:modified xsi:type="dcterms:W3CDTF">2025-11-15T15:08:00Z</dcterms:modified>
</cp:coreProperties>
</file>