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(가상) 보험광고 심의 규정</w:t>
      </w:r>
    </w:p>
    <w:p>
      <w:r>
        <w:t>제1조(목적) 이 규정은 보험상품 광고가 소비자를 오인하게 하지 않도록 심의 기준을 정함을 목적으로 한다.</w:t>
      </w:r>
    </w:p>
    <w:p>
      <w:r>
        <w:t>제2조(심의필 표기) 광고물에는 준법감시인의 심의필 번호와 심의일자를 표기하여야 한다.</w:t>
      </w:r>
    </w:p>
    <w:p>
      <w:r>
        <w:t>제3조(과장 광고 금지) 광고에서 최고, 최대, 1위 등 최상급 표현이나 100%, 무조건 등 단정적 표현은 객관적 근거와 기준일을 함께 표시하지 아니하는 한 사용할 수 없다.</w:t>
      </w:r>
    </w:p>
    <w:p>
      <w:r>
        <w:t>제4조(보장범위 안내) 보험금 지급 사유, 면책기간, 감액지급 기간 등 보장 제한 사항은 보장내용과 동일한 크기로 명확히 알려야 한다.</w:t>
      </w:r>
    </w:p>
    <w:p>
      <w:r>
        <w:t>제5조(예금자보호 안내) 저축성 보험 및 연금보험 광고에는 예금자보호법에 따른 보호 여부 및 보호 한도를 안내하여야 한다.</w:t>
      </w:r>
    </w:p>
    <w:p>
      <w:r>
        <w:t>제6조(해지환급금 안내) 저축성 보험 광고에는 해지환급금이 납입보험료보다 적거나 없을 수 있음을 안내하여야 한다.</w:t>
      </w:r>
    </w:p>
    <w:p>
      <w:r>
        <w:t>제7조(타사 비교 금지) 다른 보험회사의 상품과 비교하여 우월함을 나타내는 표현을 사용할 수 없다.</w:t>
      </w:r>
    </w:p>
    <w:p>
      <w:r>
        <w:t>제8조(갱신형 상품 안내) 갱신형 상품 광고에는 갱신 시 보험료가 인상될 수 있음을 안내하여야 한다.</w:t>
      </w:r>
    </w:p>
    <w:p>
      <w:r>
        <w:t>제9조(글자 크기) 유의사항 등 소비자에게 불리한 내용은 광고 본문의 가장 큰 글자의 일정 비율 이상으로 표기하여야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